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905B88D61E74384AA1948A44D6FE3F3" style="width:451.25pt;height:411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spacing w:after="480"/>
        <w:jc w:val="center"/>
        <w:rPr>
          <w:b/>
          <w:noProof/>
        </w:rPr>
      </w:pPr>
      <w:r>
        <w:rPr>
          <w:b/>
          <w:noProof/>
        </w:rPr>
        <w:t>Списък на проектите или програмите от интерес за Съюза, посочени в член 3, параграф 3</w:t>
      </w: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>Европейски програми по ГНСС („Галилео“ и EGNOS):</w:t>
      </w:r>
    </w:p>
    <w:p>
      <w:pPr>
        <w:pStyle w:val="Text2"/>
        <w:rPr>
          <w:noProof/>
        </w:rPr>
      </w:pPr>
      <w:r>
        <w:rPr>
          <w:noProof/>
        </w:rPr>
        <w:t>Регламент (ЕС) № 1285/2013 на Европейския парламент и на Съвета от 11 декември 2013 г. за изграждане и експлоатация на европейските навигационни спътникови системи и за отмяна на Регламент (ЕО) № 876/2002 на Съвета и на Регламент (ЕО) № 683/2008 на Европейския парламент и на Съвета.</w:t>
      </w:r>
    </w:p>
    <w:p>
      <w:pPr>
        <w:pStyle w:val="Tiret0"/>
        <w:rPr>
          <w:noProof/>
        </w:rPr>
      </w:pPr>
      <w:r>
        <w:rPr>
          <w:noProof/>
        </w:rPr>
        <w:t>„Коперник“:</w:t>
      </w:r>
    </w:p>
    <w:p>
      <w:pPr>
        <w:pStyle w:val="Text2"/>
        <w:rPr>
          <w:noProof/>
        </w:rPr>
      </w:pPr>
      <w:r>
        <w:rPr>
          <w:noProof/>
        </w:rPr>
        <w:t>Регламент (ЕС) № 377/2014 на Европейския парламент и на Съвета от 3 април 2014 г. за създаване на програма „Коперник“; ОВ L 122/44, 24.4.2014 г.</w:t>
      </w:r>
    </w:p>
    <w:p>
      <w:pPr>
        <w:pStyle w:val="Tiret0"/>
        <w:rPr>
          <w:noProof/>
        </w:rPr>
      </w:pPr>
      <w:r>
        <w:rPr>
          <w:noProof/>
        </w:rPr>
        <w:t>„Хоризонт 2020“:</w:t>
      </w:r>
    </w:p>
    <w:p>
      <w:pPr>
        <w:pStyle w:val="Text2"/>
        <w:rPr>
          <w:noProof/>
        </w:rPr>
      </w:pPr>
      <w:r>
        <w:rPr>
          <w:noProof/>
        </w:rPr>
        <w:t xml:space="preserve"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 1982/2006/EO, включително действията по него във връзка с главните базови технологии, например изкуствен интелект, роботика, полупроводникови материали и киберсигурност. </w:t>
      </w:r>
    </w:p>
    <w:p>
      <w:pPr>
        <w:pStyle w:val="Tiret0"/>
        <w:rPr>
          <w:noProof/>
        </w:rPr>
      </w:pPr>
      <w:r>
        <w:rPr>
          <w:noProof/>
        </w:rPr>
        <w:t>Трансевропейска транспортна мрежа (TEN-T):</w:t>
      </w:r>
    </w:p>
    <w:p>
      <w:pPr>
        <w:pStyle w:val="Text2"/>
        <w:rPr>
          <w:noProof/>
        </w:rPr>
      </w:pPr>
      <w:r>
        <w:rPr>
          <w:noProof/>
        </w:rPr>
        <w:t xml:space="preserve">Регламент (ЕС) № 1315/2013 на Европейския парламент и на Съвета от 11 декември 2013 г. относно насоките на Съюза за развитието на трансевропейската транспортна мрежа и за отмяна на Решение № 661/2010/ЕС; ОВ L 348, 20.12.2013 г., стр. 1—128. </w:t>
      </w:r>
    </w:p>
    <w:p>
      <w:pPr>
        <w:pStyle w:val="Tiret0"/>
        <w:rPr>
          <w:noProof/>
        </w:rPr>
      </w:pPr>
      <w:r>
        <w:rPr>
          <w:noProof/>
        </w:rPr>
        <w:t>Трансевропейска енергийна мрежа (TEN-E):</w:t>
      </w:r>
    </w:p>
    <w:p>
      <w:pPr>
        <w:pStyle w:val="Text2"/>
        <w:rPr>
          <w:noProof/>
        </w:rPr>
      </w:pPr>
      <w:r>
        <w:rPr>
          <w:noProof/>
        </w:rPr>
        <w:t xml:space="preserve">Регламент (ЕС) № 347/2013 на Европейския парламент и на Съвета от 17 април 2013 г. относно указания за трансевропейската енергийна инфраструктура и за отмяна на Решение № 1364/2006/ЕО, както и за изменение на регламенти (ЕО) № 713/2009, (ЕО) № 714/2009 и (ЕО) № 715/2009; ОВ L 115, 25.4.2013 г., стр. 39. </w:t>
      </w:r>
    </w:p>
    <w:p>
      <w:pPr>
        <w:pStyle w:val="Tiret0"/>
        <w:rPr>
          <w:noProof/>
        </w:rPr>
      </w:pPr>
      <w:r>
        <w:rPr>
          <w:noProof/>
        </w:rPr>
        <w:t>Трансевропейски мрежи в областта на телекомуникационната инфраструктура:</w:t>
      </w:r>
    </w:p>
    <w:p>
      <w:pPr>
        <w:pStyle w:val="Text2"/>
        <w:rPr>
          <w:noProof/>
        </w:rPr>
      </w:pPr>
      <w:r>
        <w:rPr>
          <w:noProof/>
        </w:rPr>
        <w:t xml:space="preserve">Регламент (ЕС) № 283/2014 на Европейския парламент и на Съвета от 11 март 2014 г. относно насоки за трансевропейските мрежи в областта на телекомуникационната инфраструктура и за отмяна на Решение № 1336/97/ЕО.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F2F8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6621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BA232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87437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6864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102D0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D58AE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BB27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7 09:53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905B88D61E74384AA1948A44D6FE3F3"/>
    <w:docVar w:name="LW_CROSSREFERENCE" w:val="{SWD(2017) 297 final}"/>
    <w:docVar w:name="LW_DocType" w:val="ANNEX"/>
    <w:docVar w:name="LW_EMISSION" w:val="13.9.2017"/>
    <w:docVar w:name="LW_EMISSION_ISODATE" w:val="2017-09-1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EMPTY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\u1079?\u1072? \u1089?\u1098?\u1079?\u1076?\u1072?\u1074?\u1072?\u1085?\u1077? \u1085?\u1072? \u1088?\u1072?\u1084?\u1082?\u1072? \u1079?\u1072? \u1089?\u1082?\u1088?\u1080?\u1085?\u1080?\u1085?\u1075? \u1085?\u1072? \u1087?\u1088?\u1077?\u1082?\u1080? \u1095?\u1091?\u1078?\u1076?\u1077?\u1089?\u1090?\u1088?\u1072?\u1085?\u1085?\u1080? \u1080?\u1085?\u1074?\u1077?\u1089?\u1090?\u1080?\u1094?\u1080?\u1080? \u1074? \u1045?\u1074?\u1088?\u1086?\u1087?\u1077?\u1081?\u1089?\u1082?\u1080?\u1103? \u1089?\u1098?\u1102?\u1079?"/>
    <w:docVar w:name="LW_OBJETACTEPRINCIPAL.CP" w:val="_x000b_\u1079?\u1072? \u1089?\u1098?\u1079?\u1076?\u1072?\u1074?\u1072?\u1085?\u1077? \u1085?\u1072? \u1088?\u1072?\u1084?\u1082?\u1072? \u1079?\u1072? \u1089?\u1082?\u1088?\u1080?\u1085?\u1080?\u1085?\u1075? \u1085?\u1072? \u1087?\u1088?\u1077?\u1082?\u1080? \u1095?\u1091?\u1078?\u1076?\u1077?\u1089?\u1090?\u1088?\u1072?\u1085?\u1085?\u1080? \u1080?\u1085?\u1074?\u1077?\u1089?\u1090?\u1080?\u1094?\u1080?\u1080? \u107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87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290</Words>
  <Characters>1619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FARIVAR Rita (DGT)</dc:creator>
  <cp:lastModifiedBy>DIGIT/A3</cp:lastModifiedBy>
  <cp:revision>8</cp:revision>
  <cp:lastPrinted>2017-09-07T11:58:00Z</cp:lastPrinted>
  <dcterms:created xsi:type="dcterms:W3CDTF">2017-10-13T13:55:00Z</dcterms:created>
  <dcterms:modified xsi:type="dcterms:W3CDTF">2017-10-17T07:53:00Z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