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C5F32333684F21A65A5C0F166177B8" style="width:450.75pt;height:423.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отговор на финансовата криза</w:t>
      </w:r>
      <w:r>
        <w:rPr>
          <w:rStyle w:val="FootnoteReference"/>
          <w:noProof/>
        </w:rPr>
        <w:footnoteReference w:id="2"/>
      </w:r>
      <w:r>
        <w:rPr>
          <w:noProof/>
        </w:rPr>
        <w:t xml:space="preserve"> ЕС създаде Европейска система за финансов надзор (ЕСФН), която е изградена върху двустълбова система — за микро- и макропруденциален надзор. </w:t>
      </w:r>
    </w:p>
    <w:p>
      <w:pPr>
        <w:rPr>
          <w:noProof/>
        </w:rPr>
      </w:pPr>
      <w:r>
        <w:rPr>
          <w:noProof/>
        </w:rPr>
        <w:t>Европейският съвет за системен риск (ЕССР), създаден през декември 2010 г., представлява макропруденциалният стълб на ЕСФН. ЕССР отговаря за макропруденциалния надзор на финансовата система в рамките на ЕС.</w:t>
      </w:r>
      <w:r>
        <w:rPr>
          <w:b/>
          <w:noProof/>
        </w:rPr>
        <w:t xml:space="preserve"> </w:t>
      </w:r>
      <w:r>
        <w:rPr>
          <w:noProof/>
        </w:rPr>
        <w:t xml:space="preserve">Задачите му включват: i) да допринася за предотвратяване или намаляване на системните рискове за финансовата стабилност в Съюза, произтичащи от процесите във финансовата система, като отчита макроикономическите тенденции, с цел да се избегнат периоди на мащабни финансови сътресения;  ii) да допринася за безпрепятственото функциониране на вътрешния пазар, осигурявайки устойчив принос на финансовия сектор за икономическия растеж. </w:t>
      </w:r>
    </w:p>
    <w:p>
      <w:pPr>
        <w:rPr>
          <w:noProof/>
        </w:rPr>
      </w:pPr>
      <w:r>
        <w:rPr>
          <w:noProof/>
        </w:rPr>
        <w:t>Съставът на ЕССР е с широк обхват — сред членовете му са национални централни банки, надзорни органи и европейски институции. В дейността си си служи със специфични инструменти, като например препоръки и предупреждения, с които спомага за моделирането на политиката за макропруденциален надзор в ЕС. Тъй като мандатът на ЕССР обхваща цялата система, това е от особено значение за мониторинга и оценката на междусекторните и трансграничните рискове и странични ефекти, а същевременно координиращата роля на ЕССР ограничава риска от верижна реакция. Като улеснява признаването на националните макропруденциални мерки, ЕССР гарантира, че трансграничните въздействия и регулаторният арбитраж се свеждат до минимум. Така ЕССР влияе пряко върху ефективността на макропруденциалните мерки на държавите от ЕС, а оттам и върху равнището на финансовата стабилност в ЕС. В този контекст се очаква подобреното функциониране на ЕССР да повиши ефективността на макропруденциалната политика.</w:t>
      </w:r>
    </w:p>
    <w:p>
      <w:pPr>
        <w:pBdr>
          <w:top w:val="nil"/>
          <w:left w:val="nil"/>
          <w:bottom w:val="nil"/>
          <w:right w:val="nil"/>
          <w:between w:val="nil"/>
          <w:bar w:val="nil"/>
        </w:pBdr>
        <w:spacing w:before="0" w:after="240"/>
        <w:rPr>
          <w:noProof/>
        </w:rPr>
      </w:pPr>
      <w:r>
        <w:rPr>
          <w:noProof/>
        </w:rPr>
        <w:t xml:space="preserve">От създаването си насам ЕССР: </w:t>
      </w:r>
    </w:p>
    <w:p>
      <w:pPr>
        <w:pStyle w:val="Bullet1"/>
        <w:numPr>
          <w:ilvl w:val="0"/>
          <w:numId w:val="10"/>
        </w:numPr>
        <w:rPr>
          <w:noProof/>
        </w:rPr>
      </w:pPr>
      <w:r>
        <w:rPr>
          <w:noProof/>
        </w:rPr>
        <w:t xml:space="preserve">издава препоръки и предупреждения, предназначени за широк кръг адресати; </w:t>
      </w:r>
    </w:p>
    <w:p>
      <w:pPr>
        <w:pStyle w:val="Bullet1"/>
        <w:rPr>
          <w:noProof/>
        </w:rPr>
      </w:pPr>
      <w:r>
        <w:rPr>
          <w:noProof/>
        </w:rPr>
        <w:t xml:space="preserve">допринася за непрекъснатото развитие на макропруденциалната рамка в ЕС; </w:t>
      </w:r>
    </w:p>
    <w:p>
      <w:pPr>
        <w:pStyle w:val="Bullet1"/>
        <w:rPr>
          <w:noProof/>
        </w:rPr>
      </w:pPr>
      <w:r>
        <w:rPr>
          <w:noProof/>
        </w:rPr>
        <w:t xml:space="preserve">успешно използва ресурсите и експертния опит, осигурени посредством големия брой членуващи институции и независимия академичен принос от страна на Консултативния научен комитет; </w:t>
      </w:r>
    </w:p>
    <w:p>
      <w:pPr>
        <w:pStyle w:val="Bullet1"/>
        <w:rPr>
          <w:noProof/>
        </w:rPr>
      </w:pPr>
      <w:r>
        <w:rPr>
          <w:noProof/>
        </w:rPr>
        <w:t xml:space="preserve">играе важна роля при координацията и оценката на уведомленията за макропруденциалните мерки в ЕС. </w:t>
      </w:r>
    </w:p>
    <w:p>
      <w:pPr>
        <w:pBdr>
          <w:top w:val="nil"/>
          <w:left w:val="nil"/>
          <w:bottom w:val="nil"/>
          <w:right w:val="nil"/>
          <w:between w:val="nil"/>
          <w:bar w:val="nil"/>
        </w:pBdr>
        <w:spacing w:before="0" w:after="240"/>
        <w:rPr>
          <w:noProof/>
        </w:rPr>
      </w:pPr>
      <w:r>
        <w:rPr>
          <w:noProof/>
        </w:rPr>
        <w:t xml:space="preserve">ЕССР играе важна роля и като координационна платформа и информационен център за наблюдение на риска на равнището на целия ЕС и за определяне на насоки относно използването на инструменти за макропруденциален надзор. </w:t>
      </w:r>
    </w:p>
    <w:p>
      <w:pPr>
        <w:pBdr>
          <w:top w:val="nil"/>
          <w:left w:val="nil"/>
          <w:bottom w:val="nil"/>
          <w:right w:val="nil"/>
          <w:between w:val="nil"/>
          <w:bar w:val="nil"/>
        </w:pBdr>
        <w:spacing w:before="0" w:after="240"/>
        <w:rPr>
          <w:noProof/>
        </w:rPr>
      </w:pPr>
      <w:r>
        <w:rPr>
          <w:noProof/>
        </w:rPr>
        <w:t xml:space="preserve">Неотдавнашните институционални промени във връзка с банковия съюз и усилията за изграждане на съюз на капиталовите пазари обаче формират контекст за функционирането на ЕССР, който е различен от този при неговото създаване. Това има значение основно за състава и организацията на ЕССР. Необходими са подобрения, свързани със състава на ЕССР и с начина на сътрудничество с европейските институции, за да се вземат под внимание постепенно настъпващите промени в макропруденциалната рамка и периодичните изменения в нормативната уредба. </w:t>
      </w:r>
    </w:p>
    <w:p>
      <w:pPr>
        <w:pBdr>
          <w:top w:val="nil"/>
          <w:left w:val="nil"/>
          <w:bottom w:val="nil"/>
          <w:right w:val="nil"/>
          <w:between w:val="nil"/>
          <w:bar w:val="nil"/>
        </w:pBdr>
        <w:spacing w:before="0" w:after="240"/>
        <w:rPr>
          <w:noProof/>
        </w:rPr>
      </w:pPr>
      <w:r>
        <w:rPr>
          <w:noProof/>
        </w:rPr>
        <w:t xml:space="preserve">Освен това са необходими изменения, с които да се гарантира, че ЕССР може да извършва макропруденциален надзор върху цялата финансова система в условията на все по-голямото значение на пазарното финансиране, особено със създаването на съюза на капиталовите пазари. </w:t>
      </w:r>
    </w:p>
    <w:p>
      <w:pPr>
        <w:pBdr>
          <w:top w:val="nil"/>
          <w:left w:val="nil"/>
          <w:bottom w:val="nil"/>
          <w:right w:val="nil"/>
          <w:between w:val="nil"/>
          <w:bar w:val="nil"/>
        </w:pBdr>
        <w:spacing w:before="0" w:after="240"/>
        <w:rPr>
          <w:noProof/>
        </w:rPr>
      </w:pPr>
      <w:r>
        <w:rPr>
          <w:noProof/>
        </w:rPr>
        <w:t>Подобрената ефикасност и ефективност на ЕССР на свой ред ще подобрят координацията на макропруденциалните политики в рамките на ЕС и ще му дадат възможност по-успешно да изпълни своя мандат. По-подробни разяснения по предложението са дадени в анализа на ефекта.</w:t>
      </w:r>
    </w:p>
    <w:p>
      <w:pPr>
        <w:pStyle w:val="ManualHeading2"/>
        <w:rPr>
          <w:rFonts w:eastAsia="Arial Unicode MS"/>
          <w:noProof/>
          <w:u w:color="000000"/>
          <w:bdr w:val="nil"/>
        </w:rPr>
      </w:pPr>
      <w:r>
        <w:rPr>
          <w:noProof/>
        </w:rPr>
        <w:t>•</w:t>
      </w:r>
      <w:r>
        <w:rPr>
          <w:noProof/>
        </w:rPr>
        <w:tab/>
        <w:t>Съгласуваност с действащите разпоредби в областта на политиката</w:t>
      </w:r>
    </w:p>
    <w:p>
      <w:pPr>
        <w:pBdr>
          <w:top w:val="nil"/>
          <w:left w:val="nil"/>
          <w:bottom w:val="nil"/>
          <w:right w:val="nil"/>
          <w:between w:val="nil"/>
          <w:bar w:val="nil"/>
        </w:pBdr>
        <w:spacing w:before="0" w:after="240"/>
        <w:rPr>
          <w:noProof/>
        </w:rPr>
      </w:pPr>
      <w:r>
        <w:rPr>
          <w:noProof/>
        </w:rPr>
        <w:t xml:space="preserve">Настоящото предложение следва да се разглежда в контекста на текущия преглед на дейността на европейските надзорни органи (ЕНО). ЕССР и ЕНО представляват съответно макро- и микропруденциалният стълб на ЕСФН. </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Прегледът на дейността на ЕССР се извършва в контекста на изграждането на банковия съюз и съюза на капиталовите пазари. Очакваното задълбочаване и по-нататъшно интегриране на капиталовите пазари в ЕС изисква и съответно приспособяване на рамката за надзор на системни рискове.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Правното основание за предложените промени е същото, както при изменение на законодателен акт, т.е. член 114 от ДФЕС. Регламентът за създаване на ЕССР е допълнен с регламент на Съвета, с който на Европейската централна банка (ЕЦБ) се възлага задачата да ръководи секретариата на ЕССР. </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spacing w:before="100" w:beforeAutospacing="1" w:after="100" w:afterAutospacing="1"/>
        <w:rPr>
          <w:noProof/>
        </w:rPr>
      </w:pPr>
      <w:r>
        <w:rPr>
          <w:noProof/>
        </w:rPr>
        <w:t xml:space="preserve">ЕССР е орган без юридическа правосубектност.  Той отговаря за макропруденциалния надзор върху финансовата система в ЕС. Целите на предложението, а именно да се подобри ефективността на ЕССР и да се засили макропруденциалната координация в ЕС, могат да бъдат постигнати чрез допълване на вече съществуващото законодателство на ЕС, тоест, те могат да се постигнат най-добре на равнището на ЕС, а не чрез различни национални инициативи. Тъй като ЕССР играе важна роля за реципрочното прилагане на националните макропруденциални мерки, той помага на националните органи да се справят със системните рискове, възникващи на национално равнище.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С предложението се изменя съществуващ регламент. Промените са изрично насочени към изясняването или подсилването на действието на съществуващите разпоредби, следователно тези промени са пропорционални на установените проблеми. Основната структура на ЕССР като цяло ще остане непроменена.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Изменение на съществуващ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Съгласно изискването в Регламента за ЕССР Комисията извърши преглед, за да установи дали е необходимо мисията и организацията на ЕССР да бъдат актуализирани. Първият преглед на Регламента за ЕССР бе извършен през 2014 г.</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През втората половина на 2016 г. беше организирана обществена консултация относно макропруденциалната рамка, както и публично изслушване. Като цяло заинтересованите страни бяха на мнение, че мандатът и задачите на ЕССР са целесъобразни с оглед на ефикасността и ефективността на политиките за макропруденциален надзор, и до известна степен подкрепиха идеята за актуализиране на работните практики на ЕССР с цел по-голяма ефективност. Повечето респонденти подкрепиха предложението председателят на ЕЦБ да продължи да бъде председател на ЕССР. Някои респонденти препоръчаха Единният надзорен механизъм и Единният съвет за преструктуриране да бъдат представени в Генералния съвет на ЕССР, за да се отрази създаването на банковия съюз, но повечето участници не виждат необходимост от съществени промени в състава на съвета. Някои респонденти подкрепиха идеята за укрепване на дейността на секретариата на ЕССР и засилване на ролята на ЕССР с оглед рационализирането на процедурите за уведомяване на равнището на ЕС.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 — чрез консултации със заинтересованите страни и публично изслушване, вж. по-горе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Комисията направи анализ на ефекта, който ще окажат предложените изменения на Регламента за ЕССР. Не беше извършена официална оценка на въздействието поради целенасочеността на промените, които се въвеждат със законодателното предложение.</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Разходите, свързани със секретариата на ЕССР, се поемат от ЕЦБ и нямат пряко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Регламентът ще бъде преразгледан след 5 години. </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Председател</w:t>
      </w:r>
    </w:p>
    <w:p>
      <w:pPr>
        <w:pBdr>
          <w:top w:val="nil"/>
          <w:left w:val="nil"/>
          <w:bottom w:val="nil"/>
          <w:right w:val="nil"/>
          <w:between w:val="nil"/>
          <w:bar w:val="nil"/>
        </w:pBdr>
        <w:spacing w:before="0" w:after="240"/>
        <w:rPr>
          <w:noProof/>
        </w:rPr>
      </w:pPr>
      <w:r>
        <w:rPr>
          <w:noProof/>
        </w:rPr>
        <w:t xml:space="preserve">Съгласно настоящата нормативна уредба ЕССР се председателства от председателя на ЕЦБ. Като председател на ЕССР председателят на ЕЦБ гарантира авторитета и надеждността на ЕССР, давайки му възможност реално да използва и да разчита на експертния опит на ЕЦБ в областта на финансовата стабилност. Поради това се предлага председателят на ЕЦБ да стане постоянен председател на ЕССР. </w:t>
      </w:r>
    </w:p>
    <w:p>
      <w:pPr>
        <w:pBdr>
          <w:top w:val="nil"/>
          <w:left w:val="nil"/>
          <w:bottom w:val="nil"/>
          <w:right w:val="nil"/>
          <w:between w:val="nil"/>
          <w:bar w:val="nil"/>
        </w:pBdr>
        <w:spacing w:before="0" w:after="240"/>
        <w:rPr>
          <w:noProof/>
        </w:rPr>
      </w:pPr>
      <w:r>
        <w:rPr>
          <w:noProof/>
        </w:rPr>
        <w:t xml:space="preserve">Секретариат на ЕССР </w:t>
      </w:r>
    </w:p>
    <w:p>
      <w:pPr>
        <w:pBdr>
          <w:top w:val="nil"/>
          <w:left w:val="nil"/>
          <w:bottom w:val="nil"/>
          <w:right w:val="nil"/>
          <w:between w:val="nil"/>
          <w:bar w:val="nil"/>
        </w:pBdr>
        <w:spacing w:before="0" w:after="240"/>
        <w:rPr>
          <w:noProof/>
        </w:rPr>
      </w:pPr>
      <w:r>
        <w:rPr>
          <w:noProof/>
        </w:rPr>
        <w:t xml:space="preserve">Тъй като Генералният съвет на ЕССР няма членове на пълно работно време, включително председателят и заместник-председателите, нито един от неговите членове не може да посвети цялото си време на ЕССР и задълженията, свързани с него. Освен това официалните задачи на ръководителя на секретариата на ЕССР са ограничени. Това може да направи дейността на ЕССР по-малко видима въпреки редовното участие на неговия председател в изслушванията в Парламента. Една по-активна роля на ръководителя на секретариата на ЕССР би засилила въздействието и ефективността на предупрежденията и препоръките. </w:t>
      </w:r>
    </w:p>
    <w:p>
      <w:pPr>
        <w:pBdr>
          <w:top w:val="nil"/>
          <w:left w:val="nil"/>
          <w:bottom w:val="nil"/>
          <w:right w:val="nil"/>
          <w:between w:val="nil"/>
          <w:bar w:val="nil"/>
        </w:pBdr>
        <w:spacing w:before="0" w:after="240"/>
        <w:rPr>
          <w:noProof/>
        </w:rPr>
      </w:pPr>
      <w:r>
        <w:rPr>
          <w:noProof/>
        </w:rPr>
        <w:t>Предложението е да се въведе процедура на консултация, при която Генералният съвет оценява кандидатите, предложени от ЕЦБ за длъжността ръководител на секретариата на ЕССР, по-специално техните качества и опита, необходими за управлението на секретариата. Парламентът и Съветът ще бъдат информирани за процедурата. Така връзката с ЕЦБ ще се запази, а ръководителят на секретариата ще продължи да се отчита пред Генералния съвет. Това ще направи процедурата по-прозрачна и ще се подчертае ролята на ръководителя на секретариата. Предлага се задачите на ръководителя на секретариата да се уточнят допълнително, включително възможността председателят на ЕССР да му делегира задачи, свързани с представителството пред трети лица.</w:t>
      </w:r>
    </w:p>
    <w:p>
      <w:pPr>
        <w:pBdr>
          <w:top w:val="nil"/>
          <w:left w:val="nil"/>
          <w:bottom w:val="nil"/>
          <w:right w:val="nil"/>
          <w:between w:val="nil"/>
          <w:bar w:val="nil"/>
        </w:pBdr>
        <w:spacing w:before="0" w:after="240"/>
        <w:rPr>
          <w:noProof/>
        </w:rPr>
      </w:pPr>
      <w:r>
        <w:rPr>
          <w:noProof/>
        </w:rPr>
        <w:t xml:space="preserve">Състав на ЕССР  </w:t>
      </w:r>
    </w:p>
    <w:p>
      <w:pPr>
        <w:pBdr>
          <w:top w:val="nil"/>
          <w:left w:val="nil"/>
          <w:bottom w:val="nil"/>
          <w:right w:val="nil"/>
          <w:between w:val="nil"/>
          <w:bar w:val="nil"/>
        </w:pBdr>
        <w:spacing w:before="0" w:after="240"/>
        <w:rPr>
          <w:noProof/>
        </w:rPr>
      </w:pPr>
      <w:r>
        <w:rPr>
          <w:noProof/>
        </w:rPr>
        <w:t xml:space="preserve">С настоящото предложение се актуализира Регламентът за ЕССР, за да се отрази създаването на банковия съюз, както и за да се включат Единният надзорен механизъм и Единният съвет за преструктуриране като членове с право на глас на Генералния съвет на ЕССР. Следва да бъдат направени съответни изменения и по отношение на Консултативния технически комитет и Управителния комитет. </w:t>
      </w:r>
    </w:p>
    <w:p>
      <w:pPr>
        <w:pBdr>
          <w:top w:val="nil"/>
          <w:left w:val="nil"/>
          <w:bottom w:val="nil"/>
          <w:right w:val="nil"/>
          <w:between w:val="nil"/>
          <w:bar w:val="nil"/>
        </w:pBdr>
        <w:spacing w:before="0" w:after="240"/>
        <w:rPr>
          <w:noProof/>
        </w:rPr>
      </w:pPr>
      <w:r>
        <w:rPr>
          <w:noProof/>
        </w:rPr>
        <w:t>Адресати на предупрежденията и препоръките на ЕССР</w:t>
      </w:r>
    </w:p>
    <w:p>
      <w:pPr>
        <w:pBdr>
          <w:top w:val="nil"/>
          <w:left w:val="nil"/>
          <w:bottom w:val="nil"/>
          <w:right w:val="nil"/>
          <w:between w:val="nil"/>
          <w:bar w:val="nil"/>
        </w:pBdr>
        <w:spacing w:before="0" w:after="240"/>
        <w:rPr>
          <w:noProof/>
        </w:rPr>
      </w:pPr>
      <w:r>
        <w:rPr>
          <w:noProof/>
        </w:rPr>
        <w:t xml:space="preserve">Предлага се също така ЕЦБ да се включи като евентуален адресат на предупрежденията и препоръките на ЕССР по отношение на задачите, възложени ѝ с Регламента за Единния надзорен механизъм (Регламент (ЕО) № 1024/2013), т.е.  надзорни задачи, които не са свързани с провеждането на паричната политика. Това би позволило да се коригира сегашната асиметрия, при която националните органи могат да получават такива предупреждения и препоръки в качеството си на членове на Генералния съвет, но не и ЕЦБ, която е компетентният или определеният орган на равнището на банковия съюз. </w:t>
      </w:r>
    </w:p>
    <w:p>
      <w:pPr>
        <w:pBdr>
          <w:top w:val="nil"/>
          <w:left w:val="nil"/>
          <w:bottom w:val="nil"/>
          <w:right w:val="nil"/>
          <w:between w:val="nil"/>
          <w:bar w:val="nil"/>
        </w:pBdr>
        <w:spacing w:before="0" w:after="240"/>
        <w:rPr>
          <w:noProof/>
        </w:rPr>
      </w:pPr>
      <w:r>
        <w:rPr>
          <w:noProof/>
        </w:rPr>
        <w:t>По-добро регулиране</w:t>
      </w:r>
    </w:p>
    <w:p>
      <w:pPr>
        <w:rPr>
          <w:noProof/>
        </w:rPr>
      </w:pPr>
      <w:r>
        <w:rPr>
          <w:noProof/>
        </w:rPr>
        <w:t>Когато е целесъобразно, и в съответствие с принципите за по-добро регулиране, се очаква консултативните комитети на ЕССР да провеждат консултации относно своите становища, препоръки и решения със заинтересованите страни, като например пазарни участници, организации на потребителите и експерти.</w:t>
      </w:r>
    </w:p>
    <w:p>
      <w:pPr>
        <w:rPr>
          <w:noProof/>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2017/0232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1092/2010 за пруденциалния надзор върху финансовата система на Европейския съюз на макроравнище и за създаване на Европейски съвет за системен риск</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
      </w:r>
      <w:r>
        <w:rPr>
          <w:noProof/>
        </w:rPr>
        <w:t>,</w:t>
      </w:r>
    </w:p>
    <w:p>
      <w:pPr>
        <w:rPr>
          <w:noProof/>
        </w:rPr>
      </w:pPr>
      <w:r>
        <w:rPr>
          <w:noProof/>
        </w:rPr>
        <w:t>в съответствие с обикновената законодателна процедура,</w:t>
      </w:r>
    </w:p>
    <w:p>
      <w:pPr>
        <w:rPr>
          <w:noProof/>
        </w:rPr>
      </w:pPr>
    </w:p>
    <w:p>
      <w:pPr>
        <w:rPr>
          <w:noProof/>
        </w:rPr>
      </w:pPr>
      <w:r>
        <w:rPr>
          <w:noProof/>
        </w:rPr>
        <w:t>като имат предвид, че:</w:t>
      </w:r>
    </w:p>
    <w:p>
      <w:pPr>
        <w:pStyle w:val="ManualConsidrant"/>
        <w:rPr>
          <w:noProof/>
        </w:rPr>
      </w:pPr>
      <w:r>
        <w:rPr>
          <w:noProof/>
        </w:rPr>
        <w:t>(1)</w:t>
      </w:r>
      <w:r>
        <w:rPr>
          <w:noProof/>
        </w:rPr>
        <w:tab/>
        <w:t>В съответствие с член 20 от Регламент (ЕС) № 1092/2010</w:t>
      </w:r>
      <w:r>
        <w:rPr>
          <w:rStyle w:val="FootnoteReference"/>
          <w:noProof/>
        </w:rPr>
        <w:footnoteReference w:id="4"/>
      </w:r>
      <w:r>
        <w:rPr>
          <w:noProof/>
        </w:rPr>
        <w:t xml:space="preserve"> (Регламента за ЕССР), Европейският парламент и Съветът прегледаха Регламента за ЕССР въз основа на доклад</w:t>
      </w:r>
      <w:r>
        <w:rPr>
          <w:rStyle w:val="FootnoteReference"/>
          <w:noProof/>
        </w:rPr>
        <w:footnoteReference w:id="5"/>
      </w:r>
      <w:r>
        <w:rPr>
          <w:noProof/>
        </w:rPr>
        <w:t xml:space="preserve"> от Комисията, за да определят дали е необходимо мисията и организацията на ЕССР да бъдат преразгледани. Прегледът обхвана също реда и условията за назначаване на председателя на ЕССР.</w:t>
      </w:r>
    </w:p>
    <w:p>
      <w:pPr>
        <w:pStyle w:val="ManualConsidrant"/>
        <w:rPr>
          <w:noProof/>
        </w:rPr>
      </w:pPr>
      <w:r>
        <w:rPr>
          <w:noProof/>
        </w:rPr>
        <w:t>(2)</w:t>
      </w:r>
      <w:r>
        <w:rPr>
          <w:noProof/>
        </w:rPr>
        <w:tab/>
        <w:t>В доклада на Комисията от 2017 г. относно мисията и организацията на ЕССР</w:t>
      </w:r>
      <w:r>
        <w:rPr>
          <w:rStyle w:val="FootnoteReference"/>
          <w:noProof/>
        </w:rPr>
        <w:footnoteReference w:id="6"/>
      </w:r>
      <w:r>
        <w:rPr>
          <w:noProof/>
        </w:rPr>
        <w:t xml:space="preserve"> се стига до заключението, че макар ЕССР като цяло да функционира добре, в някои области са необходими подобрения.</w:t>
      </w:r>
    </w:p>
    <w:p>
      <w:pPr>
        <w:pStyle w:val="ManualConsidrant"/>
        <w:rPr>
          <w:noProof/>
        </w:rPr>
      </w:pPr>
      <w:r>
        <w:rPr>
          <w:noProof/>
        </w:rPr>
        <w:t>(3)</w:t>
      </w:r>
      <w:r>
        <w:rPr>
          <w:noProof/>
        </w:rPr>
        <w:tab/>
        <w:t>Широкият обхват на състава на Генералния съвет на ЕССР е основно негово предимство. Последните тенденции в областта на финансовия надзор в Съюза, и по-специално създаването на банковия съюз, обаче не са отразени в състава на Генералния съвет. Затова председателят на Надзорния съвет на ЕЦБ и председателят на Единния съвет за преструктуриране следва да бъдат членове на Генералния съвет на ЕССР с право на глас. По отношение на Управителния комитет и Консултативния технически комитет също следва да бъдат направени съответни промени.</w:t>
      </w:r>
    </w:p>
    <w:p>
      <w:pPr>
        <w:pStyle w:val="ManualConsidrant"/>
        <w:rPr>
          <w:noProof/>
        </w:rPr>
      </w:pPr>
      <w:r>
        <w:rPr>
          <w:noProof/>
        </w:rPr>
        <w:t>(4)</w:t>
      </w:r>
      <w:r>
        <w:rPr>
          <w:noProof/>
        </w:rPr>
        <w:tab/>
        <w:t>Председателят на ЕЦБ изпълняваше длъжността на председател на ЕССР през първите 5 години от съществуването му, след което продължава да е председател на ЕССР само временно. През този период председателят на ЕЦБ гарантираше авторитета и надеждността на ЕССР, давайки му възможност реално да използва и да разчита на експертния опит на ЕЦБ в областта на финансовата стабилност. Поради това е целесъобразно председателят на ЕЦБ да стане постоянен председател на ЕССР.</w:t>
      </w:r>
    </w:p>
    <w:p>
      <w:pPr>
        <w:pStyle w:val="ManualConsidrant"/>
        <w:rPr>
          <w:noProof/>
        </w:rPr>
      </w:pPr>
      <w:r>
        <w:rPr>
          <w:noProof/>
        </w:rPr>
        <w:t>(5)</w:t>
      </w:r>
      <w:r>
        <w:rPr>
          <w:noProof/>
        </w:rPr>
        <w:tab/>
        <w:t xml:space="preserve">За да се даде по-голяма видимост на ЕССР като орган, който е отделен от своите конкретни членове, председателят на ЕССР следва да може да делегира на ръководителя на секретариата на ЕССР задачи, свързани с представителството на ЕССР пред трети лица. </w:t>
      </w:r>
    </w:p>
    <w:p>
      <w:pPr>
        <w:pStyle w:val="ManualConsidrant"/>
        <w:rPr>
          <w:noProof/>
        </w:rPr>
      </w:pPr>
      <w:r>
        <w:rPr>
          <w:noProof/>
        </w:rPr>
        <w:t>(6)</w:t>
      </w:r>
      <w:r>
        <w:rPr>
          <w:noProof/>
        </w:rPr>
        <w:tab/>
        <w:t>В член 3, параграф 2 от Регламент (ЕС) № 1096/2010 на Съвета</w:t>
      </w:r>
      <w:r>
        <w:rPr>
          <w:rStyle w:val="FootnoteReference"/>
          <w:noProof/>
        </w:rPr>
        <w:footnoteReference w:id="7"/>
      </w:r>
      <w:r>
        <w:rPr>
          <w:noProof/>
        </w:rPr>
        <w:t xml:space="preserve"> е предвидено ръководителят на секретариата на ЕССР да се назначава от ЕЦБ след консултации с Генералния съвет на ЕССР. За да се придаде по-голямо значение на ролята, изпълнявана от ръководителя на секретариата на ЕССР, Генералният съвет на ЕССР следва да прецени, в дух на откритост и прозрачност, дали одобрените на този етап кандидати за длъжността ръководител на секретариата на ЕССР притежават необходимите качества и опит, за да ръководят секретариата на ЕССР. Генералният съвет следва да информира Европейския парламент и Съвета за процедурата по оценяване на кандидатите. Освен това задачите на ръководителя на секретариата на ЕССР следва да бъдат изяснени.</w:t>
      </w:r>
    </w:p>
    <w:p>
      <w:pPr>
        <w:pStyle w:val="ManualConsidrant"/>
        <w:rPr>
          <w:noProof/>
        </w:rPr>
      </w:pPr>
      <w:r>
        <w:rPr>
          <w:noProof/>
        </w:rPr>
        <w:t>(7)</w:t>
      </w:r>
      <w:r>
        <w:rPr>
          <w:noProof/>
        </w:rPr>
        <w:tab/>
        <w:t>В съответствие с член 5, параграф 2 от Регламент (ЕС) № 1092/2010 първият заместник-председател на ЕССР досега се избираше от  членовете на Генералния съвет на ЕЦБ и измежду тях с оглед на необходимостта да се осигури балансирано представителство на държавите членки като цяло, на държавите членки, чиято парична единица е еврото, както и на държавите членки с друга парична единица. След създаването на банковия съюз е целесъобразно позоваването на държавите членки, чиято парична единица е еврото, както и на тези с друга парична единица, да се замени с позоваване на държавите членки, които участват в банковия съюз, както и на тези, които не участват в него.</w:t>
      </w:r>
    </w:p>
    <w:p>
      <w:pPr>
        <w:pStyle w:val="ManualConsidrant"/>
        <w:rPr>
          <w:noProof/>
        </w:rPr>
      </w:pPr>
      <w:r>
        <w:rPr>
          <w:noProof/>
        </w:rPr>
        <w:t>(8)</w:t>
      </w:r>
      <w:r>
        <w:rPr>
          <w:noProof/>
        </w:rPr>
        <w:tab/>
        <w:t>Като се имат предвид измененията в Споразумението за Европейското икономическо пространство (ЕИП)</w:t>
      </w:r>
      <w:r>
        <w:rPr>
          <w:rStyle w:val="FootnoteReference"/>
          <w:noProof/>
        </w:rPr>
        <w:footnoteReference w:id="8"/>
      </w:r>
      <w:r>
        <w:rPr>
          <w:noProof/>
        </w:rPr>
        <w:t xml:space="preserve">, и по-специално приемането на Регламент (ЕС) № 1092/2010 от държавите — членки на ЕИП, член 9, параграф 5 от посочения регламент вече не е актуален и съответно следва да бъде заличен. </w:t>
      </w:r>
    </w:p>
    <w:p>
      <w:pPr>
        <w:pStyle w:val="ManualConsidrant"/>
        <w:rPr>
          <w:noProof/>
        </w:rPr>
      </w:pPr>
      <w:r>
        <w:rPr>
          <w:noProof/>
        </w:rPr>
        <w:t>(9)</w:t>
      </w:r>
      <w:r>
        <w:rPr>
          <w:noProof/>
        </w:rPr>
        <w:tab/>
        <w:t>За да се намалят разходите и да се подобри процедурната ефективност, броят на представителите на Комисията в Консултативния технически комитет на ЕССР следва да бъде намален от досегашните двама на един представител.</w:t>
      </w:r>
    </w:p>
    <w:p>
      <w:pPr>
        <w:pStyle w:val="ManualConsidrant"/>
        <w:rPr>
          <w:noProof/>
        </w:rPr>
      </w:pPr>
      <w:r>
        <w:rPr>
          <w:noProof/>
        </w:rPr>
        <w:t>(10)</w:t>
      </w:r>
      <w:r>
        <w:rPr>
          <w:noProof/>
        </w:rPr>
        <w:tab/>
        <w:t>В член 16, параграф 3 от Регламент (ЕС) № 1092/2010 се изисква предупрежденията и препоръките на ЕССР да се изпращат на Съвета и на Комисията, а когато адресати са един или повече национални надзорни органи, и на ЕНО. С оглед укрепването на демократичния контрол и прозрачността тези предупреждения и препоръки следва да се предават също и на Европейския парламент и на ЕНО.</w:t>
      </w:r>
    </w:p>
    <w:p>
      <w:pPr>
        <w:pStyle w:val="ManualConsidrant"/>
        <w:rPr>
          <w:noProof/>
        </w:rPr>
      </w:pPr>
      <w:r>
        <w:rPr>
          <w:noProof/>
        </w:rPr>
        <w:t>(11)</w:t>
      </w:r>
      <w:r>
        <w:rPr>
          <w:noProof/>
        </w:rPr>
        <w:tab/>
        <w:t>За да се гарантира качеството и адекватността на становищата, препоръките и решенията на ЕССР, от Консултативния технически комитет и Консултативния научен комитет се очаква да се консултират със заинтересованите страни, когато това е целесъобразно, на ранен етап и в дух на откритост и прозрачност.</w:t>
      </w:r>
    </w:p>
    <w:p>
      <w:pPr>
        <w:pStyle w:val="ManualConsidrant"/>
        <w:rPr>
          <w:noProof/>
        </w:rPr>
      </w:pPr>
      <w:r>
        <w:rPr>
          <w:noProof/>
        </w:rPr>
        <w:t>(12)</w:t>
      </w:r>
      <w:r>
        <w:rPr>
          <w:noProof/>
        </w:rPr>
        <w:tab/>
        <w:t>Поради това Регламент (ЕС) № 1092/2010 следва да бъде съответно изменен,</w:t>
      </w:r>
    </w:p>
    <w:p>
      <w:pPr>
        <w:rPr>
          <w:noProof/>
        </w:rPr>
      </w:pP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1092/2010 се изменя, както следва:</w:t>
      </w:r>
    </w:p>
    <w:p>
      <w:pPr>
        <w:tabs>
          <w:tab w:val="left" w:pos="567"/>
        </w:tabs>
        <w:rPr>
          <w:noProof/>
        </w:rPr>
      </w:pPr>
      <w:r>
        <w:rPr>
          <w:noProof/>
        </w:rPr>
        <w:t>(1)</w:t>
      </w:r>
      <w:r>
        <w:rPr>
          <w:noProof/>
        </w:rPr>
        <w:tab/>
        <w:t>Член 4 се изменя, както следва:</w:t>
      </w:r>
    </w:p>
    <w:p>
      <w:pPr>
        <w:ind w:left="1134" w:hanging="567"/>
        <w:rPr>
          <w:noProof/>
        </w:rPr>
      </w:pPr>
      <w:r>
        <w:rPr>
          <w:noProof/>
        </w:rPr>
        <w:t>a)</w:t>
      </w:r>
      <w:r>
        <w:rPr>
          <w:noProof/>
        </w:rPr>
        <w:tab/>
        <w:t>вмъква се следният параграф 2a:</w:t>
      </w:r>
    </w:p>
    <w:p>
      <w:pPr>
        <w:tabs>
          <w:tab w:val="left" w:pos="1701"/>
        </w:tabs>
        <w:ind w:left="1134"/>
        <w:rPr>
          <w:noProof/>
        </w:rPr>
      </w:pPr>
      <w:r>
        <w:rPr>
          <w:noProof/>
        </w:rPr>
        <w:t xml:space="preserve">„2а. </w:t>
      </w:r>
      <w:r>
        <w:rPr>
          <w:noProof/>
        </w:rPr>
        <w:tab/>
        <w:t xml:space="preserve">След консултация относно назначаването на ръководител на секретариата на ЕССР в съответствие с член 3, параграф 2 от Регламент (ЕС) № 1096/2010 на Съвета*, Генералният съвет, посредством открита и прозрачна процедура, преценява дали одобрените на този етап кандидати за длъжността ръководител на секретариата на ЕССР притежават необходимите качества и опит, за да ръководят дейността на секретариата на ЕССР.  Генералният съвет уведомява Европейския парламент и Съвета за процедурата на консултация. </w:t>
      </w:r>
    </w:p>
    <w:p>
      <w:pPr>
        <w:tabs>
          <w:tab w:val="left" w:pos="1701"/>
        </w:tabs>
        <w:ind w:left="1134"/>
        <w:rPr>
          <w:rFonts w:eastAsia="Times New Roman"/>
          <w:noProof/>
          <w:sz w:val="20"/>
          <w:szCs w:val="20"/>
        </w:rPr>
      </w:pPr>
      <w:r>
        <w:rPr>
          <w:noProof/>
          <w:sz w:val="20"/>
        </w:rPr>
        <w:t>*</w:t>
      </w:r>
      <w:r>
        <w:rPr>
          <w:noProof/>
        </w:rPr>
        <w:tab/>
      </w:r>
      <w:r>
        <w:rPr>
          <w:noProof/>
          <w:sz w:val="20"/>
        </w:rPr>
        <w:t>Регламент (ЕС) № 1096/2010 на Съвета от 17 ноември 2010 г. за възлагане на Европейската централна банка на специфични задачи, свързани с дейността на Европейския съвет за системен риск (ОВ L 331, 15.12.2010 г., стр. 162).“;</w:t>
      </w:r>
    </w:p>
    <w:p>
      <w:pPr>
        <w:tabs>
          <w:tab w:val="left" w:pos="1701"/>
        </w:tabs>
        <w:ind w:left="1134"/>
        <w:rPr>
          <w:rFonts w:eastAsia="Times New Roman"/>
          <w:noProof/>
          <w:sz w:val="20"/>
          <w:szCs w:val="20"/>
        </w:rPr>
      </w:pPr>
      <w:r>
        <w:rPr>
          <w:noProof/>
          <w:sz w:val="20"/>
        </w:rPr>
        <w:t>_______________________________________________________________________________</w:t>
      </w:r>
    </w:p>
    <w:p>
      <w:pPr>
        <w:ind w:left="1134" w:hanging="567"/>
        <w:rPr>
          <w:noProof/>
        </w:rPr>
      </w:pPr>
      <w:r>
        <w:rPr>
          <w:noProof/>
        </w:rPr>
        <w:t>б)</w:t>
      </w:r>
      <w:r>
        <w:rPr>
          <w:noProof/>
        </w:rPr>
        <w:tab/>
        <w:t>вмъква се следният параграф 3a:</w:t>
      </w:r>
    </w:p>
    <w:p>
      <w:pPr>
        <w:tabs>
          <w:tab w:val="left" w:pos="1701"/>
        </w:tabs>
        <w:ind w:left="1134"/>
        <w:rPr>
          <w:noProof/>
        </w:rPr>
      </w:pPr>
      <w:r>
        <w:rPr>
          <w:noProof/>
        </w:rPr>
        <w:t xml:space="preserve">„3а. </w:t>
      </w:r>
      <w:r>
        <w:rPr>
          <w:noProof/>
        </w:rPr>
        <w:tab/>
        <w:t>В насоките, които дават на ръководителя на секретариата на ЕССР в съответствие с член 4, параграф 1 от Регламент (ЕС) № 1096/2010 на Съвета, председателят на ЕССР и Управителният комитет могат да включат по-специално следните аспекти:</w:t>
      </w:r>
    </w:p>
    <w:p>
      <w:pPr>
        <w:ind w:left="1701" w:hanging="567"/>
        <w:rPr>
          <w:noProof/>
        </w:rPr>
      </w:pPr>
      <w:r>
        <w:rPr>
          <w:noProof/>
        </w:rPr>
        <w:t>a)</w:t>
      </w:r>
      <w:r>
        <w:rPr>
          <w:noProof/>
        </w:rPr>
        <w:tab/>
        <w:t>управление на ежедневната дейност на секретариата на ЕССР;</w:t>
      </w:r>
    </w:p>
    <w:p>
      <w:pPr>
        <w:ind w:left="1701" w:hanging="567"/>
        <w:rPr>
          <w:noProof/>
        </w:rPr>
      </w:pPr>
      <w:r>
        <w:rPr>
          <w:noProof/>
        </w:rPr>
        <w:t>б)</w:t>
      </w:r>
      <w:r>
        <w:rPr>
          <w:noProof/>
        </w:rPr>
        <w:tab/>
        <w:t>всякакви административни и бюджетни въпроси, свързани със секретариата на ЕССР;</w:t>
      </w:r>
    </w:p>
    <w:p>
      <w:pPr>
        <w:ind w:left="1701" w:hanging="567"/>
        <w:rPr>
          <w:noProof/>
        </w:rPr>
      </w:pPr>
      <w:r>
        <w:rPr>
          <w:noProof/>
        </w:rPr>
        <w:t>в)</w:t>
      </w:r>
      <w:r>
        <w:rPr>
          <w:noProof/>
        </w:rPr>
        <w:tab/>
        <w:t>координация и подготовка на работата, както и вземането на решения от Генералния съвет;</w:t>
      </w:r>
    </w:p>
    <w:p>
      <w:pPr>
        <w:ind w:left="1701" w:hanging="567"/>
        <w:rPr>
          <w:noProof/>
        </w:rPr>
      </w:pPr>
      <w:r>
        <w:rPr>
          <w:noProof/>
        </w:rPr>
        <w:t>г)</w:t>
      </w:r>
      <w:r>
        <w:rPr>
          <w:noProof/>
        </w:rPr>
        <w:tab/>
        <w:t>подготовка на проекта за годишната програма на ЕССР и нейното изпълнение;</w:t>
      </w:r>
    </w:p>
    <w:p>
      <w:pPr>
        <w:ind w:left="1701" w:hanging="567"/>
        <w:rPr>
          <w:noProof/>
        </w:rPr>
      </w:pPr>
      <w:r>
        <w:rPr>
          <w:noProof/>
        </w:rPr>
        <w:t>д)</w:t>
      </w:r>
      <w:r>
        <w:rPr>
          <w:noProof/>
        </w:rPr>
        <w:tab/>
        <w:t>подготовка на годишния доклад за дейността на ЕССР, както и на докладването до Генералния съвет за изпълнението на програмата.“</w:t>
      </w:r>
    </w:p>
    <w:p>
      <w:pPr>
        <w:tabs>
          <w:tab w:val="left" w:pos="567"/>
        </w:tabs>
        <w:rPr>
          <w:noProof/>
        </w:rPr>
      </w:pPr>
      <w:r>
        <w:rPr>
          <w:noProof/>
        </w:rPr>
        <w:t>(2)</w:t>
      </w:r>
      <w:r>
        <w:rPr>
          <w:noProof/>
        </w:rPr>
        <w:tab/>
        <w:t>Член 5 се изменя, както следва:</w:t>
      </w:r>
    </w:p>
    <w:p>
      <w:pPr>
        <w:ind w:left="1134" w:hanging="567"/>
        <w:rPr>
          <w:noProof/>
        </w:rPr>
      </w:pPr>
      <w:r>
        <w:rPr>
          <w:noProof/>
        </w:rPr>
        <w:t>a)</w:t>
      </w:r>
      <w:r>
        <w:rPr>
          <w:noProof/>
        </w:rPr>
        <w:tab/>
        <w:t>параграфи 1 и 2 се заменят със следното:</w:t>
      </w:r>
    </w:p>
    <w:p>
      <w:pPr>
        <w:tabs>
          <w:tab w:val="left" w:pos="1701"/>
        </w:tabs>
        <w:ind w:left="1134"/>
        <w:rPr>
          <w:noProof/>
        </w:rPr>
      </w:pPr>
      <w:r>
        <w:rPr>
          <w:noProof/>
        </w:rPr>
        <w:t>„1.</w:t>
      </w:r>
      <w:r>
        <w:rPr>
          <w:noProof/>
        </w:rPr>
        <w:tab/>
        <w:t>ЕССР се председателства от председателя на ЕЦБ.</w:t>
      </w:r>
    </w:p>
    <w:p>
      <w:pPr>
        <w:tabs>
          <w:tab w:val="left" w:pos="1701"/>
        </w:tabs>
        <w:ind w:left="1134"/>
        <w:rPr>
          <w:rFonts w:eastAsia="Times New Roman"/>
          <w:noProof/>
          <w:szCs w:val="24"/>
        </w:rPr>
      </w:pPr>
      <w:r>
        <w:rPr>
          <w:noProof/>
        </w:rPr>
        <w:t>2.</w:t>
      </w:r>
      <w:r>
        <w:rPr>
          <w:noProof/>
        </w:rPr>
        <w:tab/>
        <w:t>Първият заместник-председател се избира от членовете на Генералния съвет на ЕЦБ и измежду тях с мандат от 5 години, като се отчита необходимостта от балансирано представителство на държавите членки като цяло, на участващите държави членки съгласно определението в член 2, параграф 1 от Регламент (ЕС) № 1024/2013 на Съвета**, както и на държавите членки, които не са участващи. Първият заместник-председател може да бъде преизбран веднъж.</w:t>
      </w:r>
    </w:p>
    <w:p>
      <w:pPr>
        <w:ind w:left="1134"/>
        <w:rPr>
          <w:rFonts w:eastAsia="Times New Roman"/>
          <w:noProof/>
          <w:szCs w:val="24"/>
        </w:rPr>
      </w:pPr>
      <w:r>
        <w:rPr>
          <w:noProof/>
        </w:rPr>
        <w:t>__________________________________________________________________</w:t>
      </w:r>
    </w:p>
    <w:p>
      <w:pPr>
        <w:ind w:left="1701" w:hanging="567"/>
        <w:rPr>
          <w:rFonts w:eastAsia="Times New Roman"/>
          <w:noProof/>
          <w:sz w:val="20"/>
          <w:szCs w:val="20"/>
        </w:rPr>
      </w:pPr>
      <w:r>
        <w:rPr>
          <w:noProof/>
          <w:sz w:val="20"/>
        </w:rPr>
        <w:t>**</w:t>
      </w:r>
      <w:r>
        <w:rPr>
          <w:noProof/>
        </w:rPr>
        <w:tab/>
      </w:r>
      <w:r>
        <w:rPr>
          <w:noProof/>
          <w:sz w:val="20"/>
        </w:rPr>
        <w:t>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 (ОВ L 287, 29.10.2013 г., стр. 63).“</w:t>
      </w:r>
    </w:p>
    <w:p>
      <w:pPr>
        <w:ind w:left="1134" w:hanging="567"/>
        <w:rPr>
          <w:rFonts w:eastAsia="Times New Roman"/>
          <w:noProof/>
          <w:szCs w:val="24"/>
        </w:rPr>
      </w:pPr>
      <w:r>
        <w:rPr>
          <w:noProof/>
        </w:rPr>
        <w:t>б)</w:t>
      </w:r>
      <w:r>
        <w:rPr>
          <w:noProof/>
        </w:rPr>
        <w:tab/>
        <w:t>параграф 8 се заменя със следното:</w:t>
      </w:r>
    </w:p>
    <w:p>
      <w:pPr>
        <w:tabs>
          <w:tab w:val="left" w:pos="1701"/>
        </w:tabs>
        <w:ind w:left="1134"/>
        <w:rPr>
          <w:rFonts w:eastAsia="Times New Roman"/>
          <w:noProof/>
          <w:szCs w:val="24"/>
        </w:rPr>
      </w:pPr>
      <w:r>
        <w:rPr>
          <w:noProof/>
        </w:rPr>
        <w:t>„8.</w:t>
      </w:r>
      <w:r>
        <w:rPr>
          <w:noProof/>
        </w:rPr>
        <w:tab/>
        <w:t>Председателят представлява ЕССР пред трети лица. Председателят може да делегира задачи, свързани с представителството на ЕССР пред трети лица, на ръководителя на секретариата.“;</w:t>
      </w:r>
    </w:p>
    <w:p>
      <w:pPr>
        <w:tabs>
          <w:tab w:val="left" w:pos="567"/>
        </w:tabs>
        <w:rPr>
          <w:noProof/>
        </w:rPr>
      </w:pPr>
      <w:r>
        <w:rPr>
          <w:noProof/>
        </w:rPr>
        <w:t>(3)</w:t>
      </w:r>
      <w:r>
        <w:rPr>
          <w:noProof/>
        </w:rPr>
        <w:tab/>
        <w:t>Член 6 се изменя, както следва:</w:t>
      </w:r>
    </w:p>
    <w:p>
      <w:pPr>
        <w:ind w:left="1134" w:hanging="567"/>
        <w:rPr>
          <w:noProof/>
        </w:rPr>
      </w:pPr>
      <w:r>
        <w:rPr>
          <w:noProof/>
        </w:rPr>
        <w:t>a)</w:t>
      </w:r>
      <w:r>
        <w:rPr>
          <w:noProof/>
        </w:rPr>
        <w:tab/>
        <w:t>параграф 1 се изменя, както следва:</w:t>
      </w:r>
    </w:p>
    <w:p>
      <w:pPr>
        <w:ind w:left="1701" w:hanging="567"/>
        <w:rPr>
          <w:noProof/>
        </w:rPr>
      </w:pPr>
      <w:r>
        <w:rPr>
          <w:noProof/>
        </w:rPr>
        <w:t>i)</w:t>
      </w:r>
      <w:r>
        <w:rPr>
          <w:noProof/>
        </w:rPr>
        <w:tab/>
        <w:t>добавят се следните букви еа) и еб):</w:t>
      </w:r>
    </w:p>
    <w:p>
      <w:pPr>
        <w:ind w:left="2268" w:hanging="567"/>
        <w:rPr>
          <w:rFonts w:eastAsia="Times New Roman"/>
          <w:noProof/>
          <w:szCs w:val="24"/>
        </w:rPr>
      </w:pPr>
      <w:r>
        <w:rPr>
          <w:noProof/>
        </w:rPr>
        <w:t>„еа)</w:t>
      </w:r>
      <w:r>
        <w:rPr>
          <w:noProof/>
        </w:rPr>
        <w:tab/>
        <w:t>председателят на Надзорния съвет на ЕЦБ;</w:t>
      </w:r>
    </w:p>
    <w:p>
      <w:pPr>
        <w:ind w:left="2268" w:hanging="567"/>
        <w:rPr>
          <w:rFonts w:eastAsia="Times New Roman"/>
          <w:noProof/>
          <w:szCs w:val="24"/>
        </w:rPr>
      </w:pPr>
      <w:r>
        <w:rPr>
          <w:noProof/>
        </w:rPr>
        <w:t>еб)</w:t>
      </w:r>
      <w:r>
        <w:rPr>
          <w:noProof/>
        </w:rPr>
        <w:tab/>
        <w:t>председателят на Единния съвет за преструктуриране;“;</w:t>
      </w:r>
    </w:p>
    <w:p>
      <w:pPr>
        <w:ind w:left="1701" w:hanging="567"/>
        <w:rPr>
          <w:rFonts w:eastAsia="Times New Roman"/>
          <w:noProof/>
          <w:szCs w:val="24"/>
        </w:rPr>
      </w:pPr>
      <w:r>
        <w:rPr>
          <w:noProof/>
        </w:rPr>
        <w:t>ii)</w:t>
      </w:r>
      <w:r>
        <w:rPr>
          <w:noProof/>
        </w:rPr>
        <w:tab/>
        <w:t>буква ж) се заменя със следното:</w:t>
      </w:r>
    </w:p>
    <w:p>
      <w:pPr>
        <w:ind w:left="2268" w:hanging="567"/>
        <w:rPr>
          <w:rFonts w:eastAsia="Times New Roman"/>
          <w:noProof/>
          <w:szCs w:val="24"/>
        </w:rPr>
      </w:pPr>
      <w:r>
        <w:rPr>
          <w:noProof/>
        </w:rPr>
        <w:t>„ж)</w:t>
      </w:r>
      <w:r>
        <w:rPr>
          <w:noProof/>
        </w:rPr>
        <w:tab/>
        <w:t xml:space="preserve">председателят на Консултативния научен комитет;“; </w:t>
      </w:r>
    </w:p>
    <w:p>
      <w:pPr>
        <w:ind w:left="1134" w:hanging="567"/>
        <w:rPr>
          <w:rFonts w:eastAsia="Times New Roman"/>
          <w:noProof/>
          <w:szCs w:val="24"/>
        </w:rPr>
      </w:pPr>
      <w:r>
        <w:rPr>
          <w:noProof/>
        </w:rPr>
        <w:t>б)</w:t>
      </w:r>
      <w:r>
        <w:rPr>
          <w:noProof/>
        </w:rPr>
        <w:tab/>
        <w:t>параграф 2 се изменя, както следва:</w:t>
      </w:r>
    </w:p>
    <w:p>
      <w:pPr>
        <w:ind w:left="1701" w:hanging="567"/>
        <w:rPr>
          <w:noProof/>
        </w:rPr>
      </w:pPr>
      <w:r>
        <w:rPr>
          <w:noProof/>
        </w:rPr>
        <w:t>i)</w:t>
      </w:r>
      <w:r>
        <w:rPr>
          <w:noProof/>
        </w:rPr>
        <w:tab/>
        <w:t>буква а) се заменя със следното:</w:t>
      </w:r>
    </w:p>
    <w:p>
      <w:pPr>
        <w:ind w:left="2268" w:hanging="567"/>
        <w:rPr>
          <w:rFonts w:eastAsia="Times New Roman"/>
          <w:noProof/>
          <w:szCs w:val="24"/>
        </w:rPr>
      </w:pPr>
      <w:r>
        <w:rPr>
          <w:noProof/>
        </w:rPr>
        <w:t>„а)</w:t>
      </w:r>
      <w:r>
        <w:rPr>
          <w:noProof/>
        </w:rPr>
        <w:tab/>
        <w:t>един представител на високо равнище от всяка държава членка — от националните ѝ компетентни органи или от националните органи, определени за прилагане на мерки за отстраняване на системни или макропруденциални рискове — в съответствие с параграф 3;“;</w:t>
      </w:r>
    </w:p>
    <w:p>
      <w:pPr>
        <w:ind w:left="1134" w:hanging="567"/>
        <w:rPr>
          <w:rFonts w:eastAsia="Times New Roman"/>
          <w:noProof/>
          <w:szCs w:val="24"/>
        </w:rPr>
      </w:pPr>
      <w:r>
        <w:rPr>
          <w:noProof/>
        </w:rPr>
        <w:t>в)</w:t>
      </w:r>
      <w:r>
        <w:rPr>
          <w:noProof/>
        </w:rPr>
        <w:tab/>
        <w:t>параграф 3 се заменя със следното:</w:t>
      </w:r>
    </w:p>
    <w:p>
      <w:pPr>
        <w:tabs>
          <w:tab w:val="left" w:pos="1701"/>
        </w:tabs>
        <w:ind w:left="1134"/>
        <w:rPr>
          <w:rFonts w:eastAsia="Times New Roman"/>
          <w:noProof/>
          <w:szCs w:val="24"/>
        </w:rPr>
      </w:pPr>
      <w:r>
        <w:rPr>
          <w:noProof/>
        </w:rPr>
        <w:t>„3.</w:t>
      </w:r>
      <w:r>
        <w:rPr>
          <w:noProof/>
        </w:rPr>
        <w:tab/>
        <w:t>Що се отнася до представителството на националните органи по параграф 2, буква а), съответните представители на високо равнище се сменят на ротационен принцип в зависимост от характера на обсъжданите въпроси, освен ако националните надзорни органи на определена държава членка не са се споразумели за общ представител.“</w:t>
      </w:r>
    </w:p>
    <w:p>
      <w:pPr>
        <w:ind w:left="567" w:hanging="567"/>
        <w:rPr>
          <w:rFonts w:eastAsia="Times New Roman"/>
          <w:noProof/>
          <w:szCs w:val="24"/>
        </w:rPr>
      </w:pPr>
      <w:r>
        <w:rPr>
          <w:noProof/>
        </w:rPr>
        <w:t>(4)</w:t>
      </w:r>
      <w:r>
        <w:rPr>
          <w:noProof/>
        </w:rPr>
        <w:tab/>
        <w:t xml:space="preserve">В член 9 параграф 5 се заличава. </w:t>
      </w:r>
    </w:p>
    <w:p>
      <w:pPr>
        <w:ind w:left="567" w:hanging="567"/>
        <w:rPr>
          <w:rFonts w:eastAsia="Times New Roman"/>
          <w:noProof/>
          <w:szCs w:val="24"/>
        </w:rPr>
      </w:pPr>
      <w:r>
        <w:rPr>
          <w:noProof/>
        </w:rPr>
        <w:t>(5)</w:t>
      </w:r>
      <w:r>
        <w:rPr>
          <w:noProof/>
        </w:rPr>
        <w:tab/>
        <w:t>Член 11 се изменя, както следва:</w:t>
      </w:r>
    </w:p>
    <w:p>
      <w:pPr>
        <w:ind w:left="1134" w:hanging="567"/>
        <w:rPr>
          <w:rFonts w:eastAsia="Times New Roman"/>
          <w:noProof/>
          <w:szCs w:val="24"/>
        </w:rPr>
      </w:pPr>
      <w:r>
        <w:rPr>
          <w:noProof/>
        </w:rPr>
        <w:t>a)</w:t>
      </w:r>
      <w:r>
        <w:rPr>
          <w:noProof/>
        </w:rPr>
        <w:tab/>
        <w:t>параграф 1 се изменя, както следва:</w:t>
      </w:r>
    </w:p>
    <w:p>
      <w:pPr>
        <w:ind w:left="1701" w:hanging="567"/>
        <w:rPr>
          <w:rFonts w:eastAsia="Times New Roman"/>
          <w:noProof/>
          <w:szCs w:val="24"/>
        </w:rPr>
      </w:pPr>
      <w:r>
        <w:rPr>
          <w:noProof/>
        </w:rPr>
        <w:t>i)</w:t>
      </w:r>
      <w:r>
        <w:rPr>
          <w:noProof/>
        </w:rPr>
        <w:tab/>
        <w:t>буква в) се заменя със следното:</w:t>
      </w:r>
    </w:p>
    <w:p>
      <w:pPr>
        <w:ind w:left="2268" w:hanging="567"/>
        <w:rPr>
          <w:rFonts w:eastAsia="Times New Roman"/>
          <w:noProof/>
          <w:szCs w:val="24"/>
        </w:rPr>
      </w:pPr>
      <w:r>
        <w:rPr>
          <w:noProof/>
        </w:rPr>
        <w:t>„в)</w:t>
      </w:r>
      <w:r>
        <w:rPr>
          <w:noProof/>
        </w:rPr>
        <w:tab/>
        <w:t>четирима други членове на Генералния съвет, които са и членове на Генералния съвет на ЕЦБ, като се отчита необходимостта да се осигури балансирано представителство на държавите членки като цяло, на участващите държави членки съгласно определението в член 2, параграф 1 от Регламент (ЕС) № 1024/2013 на Съвета, както и на държавите членки, които не са участващи. Те се избират от членовете на Генералния съвет, които са и членове на Генералния съвет на ЕЦБ, и измежду тях, с мандат от 3 години;“</w:t>
      </w:r>
    </w:p>
    <w:p>
      <w:pPr>
        <w:ind w:left="1701" w:hanging="567"/>
        <w:rPr>
          <w:rFonts w:eastAsia="Times New Roman"/>
          <w:noProof/>
          <w:szCs w:val="24"/>
        </w:rPr>
      </w:pPr>
      <w:r>
        <w:rPr>
          <w:noProof/>
        </w:rPr>
        <w:t>ii)</w:t>
      </w:r>
      <w:r>
        <w:rPr>
          <w:noProof/>
        </w:rPr>
        <w:tab/>
        <w:t>добавят се следните букви жа) и жб):</w:t>
      </w:r>
    </w:p>
    <w:p>
      <w:pPr>
        <w:ind w:left="2268" w:hanging="567"/>
        <w:rPr>
          <w:rFonts w:eastAsia="Times New Roman"/>
          <w:noProof/>
          <w:szCs w:val="24"/>
        </w:rPr>
      </w:pPr>
      <w:r>
        <w:rPr>
          <w:noProof/>
        </w:rPr>
        <w:t>„жа)</w:t>
      </w:r>
      <w:r>
        <w:rPr>
          <w:noProof/>
        </w:rPr>
        <w:tab/>
        <w:t>председателя на Надзорния съвет на ЕЦБ;</w:t>
      </w:r>
    </w:p>
    <w:p>
      <w:pPr>
        <w:ind w:left="2268" w:hanging="567"/>
        <w:rPr>
          <w:rFonts w:eastAsia="Times New Roman"/>
          <w:noProof/>
          <w:szCs w:val="24"/>
        </w:rPr>
      </w:pPr>
      <w:r>
        <w:rPr>
          <w:noProof/>
        </w:rPr>
        <w:t>жб)</w:t>
      </w:r>
      <w:r>
        <w:rPr>
          <w:noProof/>
        </w:rPr>
        <w:tab/>
        <w:t>председателя на Единния съвет за преструктуриране;“</w:t>
      </w:r>
    </w:p>
    <w:p>
      <w:pPr>
        <w:tabs>
          <w:tab w:val="left" w:pos="567"/>
        </w:tabs>
        <w:rPr>
          <w:rFonts w:eastAsia="Times New Roman"/>
          <w:noProof/>
          <w:szCs w:val="24"/>
        </w:rPr>
      </w:pPr>
      <w:r>
        <w:rPr>
          <w:noProof/>
        </w:rPr>
        <w:t>(6)</w:t>
      </w:r>
      <w:r>
        <w:rPr>
          <w:noProof/>
        </w:rPr>
        <w:tab/>
        <w:t>Член 12 се изменя, както следва:</w:t>
      </w:r>
    </w:p>
    <w:p>
      <w:pPr>
        <w:ind w:left="1134" w:hanging="567"/>
        <w:rPr>
          <w:rFonts w:eastAsia="Times New Roman"/>
          <w:noProof/>
          <w:szCs w:val="24"/>
        </w:rPr>
      </w:pPr>
      <w:r>
        <w:rPr>
          <w:noProof/>
        </w:rPr>
        <w:t>a)</w:t>
      </w:r>
      <w:r>
        <w:rPr>
          <w:noProof/>
        </w:rPr>
        <w:tab/>
        <w:t>параграф 5 се заменя със следното:</w:t>
      </w:r>
    </w:p>
    <w:p>
      <w:pPr>
        <w:tabs>
          <w:tab w:val="left" w:pos="1701"/>
        </w:tabs>
        <w:ind w:left="1134"/>
        <w:rPr>
          <w:rFonts w:eastAsia="Times New Roman"/>
          <w:noProof/>
          <w:szCs w:val="24"/>
        </w:rPr>
      </w:pPr>
      <w:r>
        <w:rPr>
          <w:noProof/>
        </w:rPr>
        <w:t>„5.</w:t>
      </w:r>
      <w:r>
        <w:rPr>
          <w:noProof/>
        </w:rPr>
        <w:tab/>
        <w:t>Когато е целесъобразно, Консултативният научен комитет организира консултации със заинтересованите лица на ранен етап и в дух на откритост и прозрачност, като отчита изискването за поверителност.“</w:t>
      </w:r>
    </w:p>
    <w:p>
      <w:pPr>
        <w:tabs>
          <w:tab w:val="left" w:pos="567"/>
        </w:tabs>
        <w:rPr>
          <w:rFonts w:eastAsia="Times New Roman"/>
          <w:noProof/>
          <w:szCs w:val="24"/>
        </w:rPr>
      </w:pPr>
      <w:r>
        <w:rPr>
          <w:noProof/>
        </w:rPr>
        <w:t xml:space="preserve"> (7)</w:t>
      </w:r>
      <w:r>
        <w:rPr>
          <w:noProof/>
        </w:rPr>
        <w:tab/>
        <w:t>Член 13 се изменя, както следва:</w:t>
      </w:r>
    </w:p>
    <w:p>
      <w:pPr>
        <w:ind w:left="1134" w:hanging="567"/>
        <w:rPr>
          <w:rFonts w:eastAsia="Times New Roman"/>
          <w:noProof/>
          <w:szCs w:val="24"/>
        </w:rPr>
      </w:pPr>
      <w:r>
        <w:rPr>
          <w:noProof/>
        </w:rPr>
        <w:t>a)</w:t>
      </w:r>
      <w:r>
        <w:rPr>
          <w:noProof/>
        </w:rPr>
        <w:tab/>
        <w:t>параграф 1 се изменя, както следва:</w:t>
      </w:r>
    </w:p>
    <w:p>
      <w:pPr>
        <w:ind w:left="1701" w:hanging="567"/>
        <w:rPr>
          <w:rFonts w:eastAsia="Times New Roman"/>
          <w:noProof/>
          <w:szCs w:val="24"/>
        </w:rPr>
      </w:pPr>
      <w:r>
        <w:rPr>
          <w:noProof/>
        </w:rPr>
        <w:t>i)</w:t>
      </w:r>
      <w:r>
        <w:rPr>
          <w:noProof/>
        </w:rPr>
        <w:tab/>
        <w:t>буква е) се заменя със следното:</w:t>
      </w:r>
    </w:p>
    <w:p>
      <w:pPr>
        <w:ind w:left="2268" w:hanging="567"/>
        <w:rPr>
          <w:rFonts w:eastAsia="Times New Roman"/>
          <w:noProof/>
          <w:szCs w:val="24"/>
        </w:rPr>
      </w:pPr>
      <w:r>
        <w:rPr>
          <w:noProof/>
        </w:rPr>
        <w:t>„е)</w:t>
      </w:r>
      <w:r>
        <w:rPr>
          <w:noProof/>
        </w:rPr>
        <w:tab/>
        <w:t>представител на Комисията;“;</w:t>
      </w:r>
    </w:p>
    <w:p>
      <w:pPr>
        <w:ind w:left="1701" w:hanging="567"/>
        <w:rPr>
          <w:rFonts w:eastAsia="Times New Roman"/>
          <w:noProof/>
          <w:szCs w:val="24"/>
        </w:rPr>
      </w:pPr>
      <w:r>
        <w:rPr>
          <w:noProof/>
        </w:rPr>
        <w:t>ii)</w:t>
      </w:r>
      <w:r>
        <w:rPr>
          <w:noProof/>
        </w:rPr>
        <w:tab/>
        <w:t>добавят се следните букви еа) и еб):</w:t>
      </w:r>
    </w:p>
    <w:p>
      <w:pPr>
        <w:ind w:left="2268" w:hanging="567"/>
        <w:rPr>
          <w:rFonts w:eastAsia="Times New Roman"/>
          <w:noProof/>
          <w:szCs w:val="24"/>
        </w:rPr>
      </w:pPr>
      <w:r>
        <w:rPr>
          <w:noProof/>
        </w:rPr>
        <w:t>„еа)</w:t>
      </w:r>
      <w:r>
        <w:rPr>
          <w:noProof/>
        </w:rPr>
        <w:tab/>
        <w:t>представител на Надзорния съвет на ЕЦБ;</w:t>
      </w:r>
    </w:p>
    <w:p>
      <w:pPr>
        <w:ind w:left="2268" w:hanging="567"/>
        <w:rPr>
          <w:rFonts w:eastAsia="Times New Roman"/>
          <w:noProof/>
          <w:szCs w:val="24"/>
        </w:rPr>
      </w:pPr>
      <w:r>
        <w:rPr>
          <w:noProof/>
        </w:rPr>
        <w:t>еб)</w:t>
      </w:r>
      <w:r>
        <w:rPr>
          <w:noProof/>
        </w:rPr>
        <w:tab/>
        <w:t>представител на Единния съвет за преструктуриране;“;</w:t>
      </w:r>
    </w:p>
    <w:p>
      <w:pPr>
        <w:ind w:left="1134" w:hanging="567"/>
        <w:rPr>
          <w:rFonts w:eastAsia="Times New Roman"/>
          <w:noProof/>
          <w:szCs w:val="24"/>
        </w:rPr>
      </w:pPr>
      <w:r>
        <w:rPr>
          <w:noProof/>
        </w:rPr>
        <w:t>б)</w:t>
      </w:r>
      <w:r>
        <w:rPr>
          <w:noProof/>
        </w:rPr>
        <w:tab/>
        <w:t>вмъква се следният параграф 4a:</w:t>
      </w:r>
    </w:p>
    <w:p>
      <w:pPr>
        <w:tabs>
          <w:tab w:val="left" w:pos="1701"/>
        </w:tabs>
        <w:ind w:left="1134"/>
        <w:rPr>
          <w:rFonts w:eastAsia="Times New Roman"/>
          <w:noProof/>
          <w:szCs w:val="24"/>
        </w:rPr>
      </w:pPr>
      <w:r>
        <w:rPr>
          <w:noProof/>
        </w:rPr>
        <w:t xml:space="preserve">„4а. </w:t>
      </w:r>
      <w:r>
        <w:rPr>
          <w:noProof/>
        </w:rPr>
        <w:tab/>
        <w:t>Когато е целесъобразно, Консултативният технически комитет организира консултации със заинтересованите лица на ранен етап и в дух на откритост и прозрачност, като отчита изискването за поверителност.“</w:t>
      </w:r>
    </w:p>
    <w:p>
      <w:pPr>
        <w:tabs>
          <w:tab w:val="left" w:pos="567"/>
        </w:tabs>
        <w:rPr>
          <w:rFonts w:eastAsia="Times New Roman"/>
          <w:noProof/>
          <w:szCs w:val="24"/>
        </w:rPr>
      </w:pPr>
      <w:r>
        <w:rPr>
          <w:noProof/>
        </w:rPr>
        <w:t>(8)</w:t>
      </w:r>
      <w:r>
        <w:rPr>
          <w:noProof/>
        </w:rPr>
        <w:tab/>
        <w:t>Член 16 се изменя, както следва:</w:t>
      </w:r>
    </w:p>
    <w:p>
      <w:pPr>
        <w:ind w:left="1134" w:hanging="567"/>
        <w:rPr>
          <w:rFonts w:eastAsia="Times New Roman"/>
          <w:noProof/>
          <w:szCs w:val="24"/>
        </w:rPr>
      </w:pPr>
      <w:r>
        <w:rPr>
          <w:noProof/>
        </w:rPr>
        <w:t>a)</w:t>
      </w:r>
      <w:r>
        <w:rPr>
          <w:noProof/>
        </w:rPr>
        <w:tab/>
        <w:t>в параграф 2 първото изречение се заменя със следното:</w:t>
      </w:r>
    </w:p>
    <w:p>
      <w:pPr>
        <w:ind w:left="1134"/>
        <w:rPr>
          <w:rFonts w:eastAsia="Times New Roman"/>
          <w:noProof/>
          <w:szCs w:val="24"/>
        </w:rPr>
      </w:pPr>
      <w:r>
        <w:rPr>
          <w:noProof/>
        </w:rPr>
        <w:t>„Предупрежденията или препоръките, издадени от ЕССР в съответствие с член 3, параграф 2, букви в) и г), могат да бъдат от общ или специален характер, като могат да бъдат отправяни, по-специално, до Съюза, до една или повече държави членки, до един или повече ЕНО, до един или повече национални компетентни органи или до ЕЦБ по отношение на задачите, възложени ѝ в съответствие с член 4, параграфи 1 и 2 и член 5, параграф 2 от Регламент (ЕС) № 1024/2013.“;</w:t>
      </w:r>
    </w:p>
    <w:p>
      <w:pPr>
        <w:ind w:left="1134" w:hanging="567"/>
        <w:rPr>
          <w:rFonts w:eastAsia="Times New Roman"/>
          <w:noProof/>
          <w:szCs w:val="24"/>
        </w:rPr>
      </w:pPr>
      <w:r>
        <w:rPr>
          <w:noProof/>
        </w:rPr>
        <w:t>б)</w:t>
      </w:r>
      <w:r>
        <w:rPr>
          <w:noProof/>
        </w:rPr>
        <w:tab/>
        <w:t>параграф 3 се заменя със следното:</w:t>
      </w:r>
    </w:p>
    <w:p>
      <w:pPr>
        <w:tabs>
          <w:tab w:val="left" w:pos="1701"/>
        </w:tabs>
        <w:ind w:left="1134"/>
        <w:rPr>
          <w:rFonts w:eastAsia="Times New Roman"/>
          <w:noProof/>
          <w:szCs w:val="24"/>
        </w:rPr>
      </w:pPr>
      <w:r>
        <w:rPr>
          <w:noProof/>
        </w:rPr>
        <w:t>„3.</w:t>
      </w:r>
      <w:r>
        <w:rPr>
          <w:noProof/>
        </w:rPr>
        <w:tab/>
        <w:t xml:space="preserve">Едновременно с предаването им на адресатите в съответствие с параграф 2, предупрежденията или препоръките се предават на Съвета, Европейския парламент, Комисията и ЕНО в съответствие със строги правила за поверителност.“ </w:t>
      </w:r>
    </w:p>
    <w:p>
      <w:pPr>
        <w:tabs>
          <w:tab w:val="left" w:pos="567"/>
        </w:tabs>
        <w:rPr>
          <w:rFonts w:eastAsia="Times New Roman"/>
          <w:noProof/>
          <w:szCs w:val="24"/>
        </w:rPr>
      </w:pPr>
      <w:r>
        <w:rPr>
          <w:noProof/>
        </w:rPr>
        <w:t>(9)</w:t>
      </w:r>
      <w:r>
        <w:rPr>
          <w:noProof/>
        </w:rPr>
        <w:tab/>
        <w:t>В член 17 параграфи 1 и 2 се заменят със следното:</w:t>
      </w:r>
    </w:p>
    <w:p>
      <w:pPr>
        <w:tabs>
          <w:tab w:val="left" w:pos="1701"/>
        </w:tabs>
        <w:ind w:left="1134"/>
        <w:rPr>
          <w:rFonts w:eastAsia="Times New Roman"/>
          <w:noProof/>
          <w:szCs w:val="24"/>
        </w:rPr>
      </w:pPr>
      <w:r>
        <w:rPr>
          <w:noProof/>
        </w:rPr>
        <w:t>„1.</w:t>
      </w:r>
      <w:r>
        <w:rPr>
          <w:noProof/>
        </w:rPr>
        <w:tab/>
        <w:t>Когато препоръките, посочени в член 3, параграф 2, буква г), са отправени до Комисията, до една или повече държави членки, до един или повече ЕНО, или до един или повече национални компетентни органи, адресатите съобщават на Европейския парламент, Съвета и на ЕССР действията, предприети в отговор на препоръките, като представят обосновка за всеки случай на бездействие. Когато е приложимо, ЕССР незабавно уведомява ЕНО за получените отговори при спазване на строги правила за поверителност.</w:t>
      </w:r>
    </w:p>
    <w:p>
      <w:pPr>
        <w:tabs>
          <w:tab w:val="left" w:pos="1701"/>
        </w:tabs>
        <w:ind w:left="1134"/>
        <w:rPr>
          <w:rFonts w:eastAsia="Times New Roman"/>
          <w:noProof/>
          <w:szCs w:val="24"/>
        </w:rPr>
      </w:pPr>
      <w:r>
        <w:rPr>
          <w:noProof/>
        </w:rPr>
        <w:t>2.</w:t>
      </w:r>
      <w:r>
        <w:rPr>
          <w:noProof/>
        </w:rPr>
        <w:tab/>
        <w:t>Ако ЕССР вземе решение, че негова препоръка не е била спазена или че адресатите не са предоставили обосновка за своето бездействие, ЕССР уведомява за това адресатите, Европейския парламент, Съвета и, когато е приложимо, съответните ЕНО, при спазване на строги правила за поверителност.“</w:t>
      </w:r>
    </w:p>
    <w:p>
      <w:pPr>
        <w:ind w:left="567" w:hanging="567"/>
        <w:rPr>
          <w:rFonts w:eastAsia="Times New Roman"/>
          <w:noProof/>
          <w:szCs w:val="24"/>
        </w:rPr>
      </w:pPr>
      <w:r>
        <w:rPr>
          <w:noProof/>
        </w:rPr>
        <w:t>(10)</w:t>
      </w:r>
      <w:r>
        <w:rPr>
          <w:noProof/>
        </w:rPr>
        <w:tab/>
        <w:t>Член 20 се заменя със следното:</w:t>
      </w:r>
    </w:p>
    <w:p>
      <w:pPr>
        <w:ind w:left="567"/>
        <w:rPr>
          <w:rFonts w:eastAsia="Times New Roman"/>
          <w:noProof/>
          <w:szCs w:val="24"/>
        </w:rPr>
      </w:pPr>
      <w:r>
        <w:rPr>
          <w:noProof/>
        </w:rPr>
        <w:t xml:space="preserve">„Не по-рано от пет години след [датата на влизане в сила да се впише от Службата за публикации] Комисията извършва оценка на настоящия регламент и представя основните констатации от нея в доклад до Европейския парламент, Съвета и Европейския икономически и социален комитет.“ </w:t>
      </w:r>
    </w:p>
    <w:p>
      <w:pPr>
        <w:pStyle w:val="Titrearticle"/>
        <w:rPr>
          <w:noProof/>
        </w:rPr>
      </w:pPr>
      <w:r>
        <w:rPr>
          <w:noProof/>
        </w:rPr>
        <w:t>Член 2</w:t>
      </w:r>
    </w:p>
    <w:p>
      <w:pPr>
        <w:rPr>
          <w:noProof/>
        </w:rPr>
      </w:pPr>
      <w:r>
        <w:rPr>
          <w:noProof/>
        </w:rPr>
        <w:t xml:space="preserve">Настоящият регламент влиза в сила на […]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В доклада „Дьо Ларозиер“ (чийто окончателен вариант бе представен на 25 февруари 2009 г.) бе отправена препоръка за създаването на съюз с цел упражняване на надзор върху рисковете в цялата финансова система.</w:t>
      </w:r>
    </w:p>
  </w:footnote>
  <w:footnote w:id="3">
    <w:p>
      <w:pPr>
        <w:pStyle w:val="FootnoteText"/>
        <w:ind w:left="567" w:hanging="567"/>
      </w:pPr>
      <w:r>
        <w:rPr>
          <w:rStyle w:val="FootnoteReference"/>
        </w:rPr>
        <w:footnoteRef/>
      </w:r>
      <w:r>
        <w:tab/>
        <w:t>ОВ С [...], [...] г., стр. [...].</w:t>
      </w:r>
    </w:p>
  </w:footnote>
  <w:footnote w:id="4">
    <w:p>
      <w:pPr>
        <w:pStyle w:val="FootnoteText"/>
        <w:ind w:left="567" w:hanging="567"/>
      </w:pPr>
      <w:r>
        <w:rPr>
          <w:rStyle w:val="FootnoteReference"/>
        </w:rPr>
        <w:footnoteRef/>
      </w:r>
      <w:r>
        <w:tab/>
        <w:t>Регламент (ЕС) № 1092/2010 на Европейския парламент и на Съвета от 24 ноември 2010 г. за пруденциалния надзор върху финансовата система на Европейския съюз на макроравнище и за създаване на Европейски съвет за системен риск (ОВ L 331, 15.12.2010 г., стр. 1).</w:t>
      </w:r>
    </w:p>
  </w:footnote>
  <w:footnote w:id="5">
    <w:p>
      <w:pPr>
        <w:pStyle w:val="FootnoteText"/>
        <w:ind w:left="567" w:hanging="567"/>
      </w:pPr>
      <w:r>
        <w:rPr>
          <w:rStyle w:val="FootnoteReference"/>
        </w:rPr>
        <w:footnoteRef/>
      </w:r>
      <w:r>
        <w:tab/>
        <w:t>Доклад на Комисията до Европейския парламент и до Съвета относно мисията и организацията на Европейския съвет за системен риск, COM(2014) 508 final.</w:t>
      </w:r>
    </w:p>
  </w:footnote>
  <w:footnote w:id="6">
    <w:p>
      <w:pPr>
        <w:pStyle w:val="FootnoteText"/>
        <w:ind w:left="567" w:hanging="567"/>
        <w:jc w:val="left"/>
      </w:pPr>
      <w:r>
        <w:rPr>
          <w:rStyle w:val="FootnoteReference"/>
        </w:rPr>
        <w:footnoteRef/>
      </w:r>
      <w:r>
        <w:tab/>
        <w:t>Работен документ на службите на Комисията, Анализ на ефекта, изменения на регламента за ЕССР, COM(2017).</w:t>
      </w:r>
    </w:p>
  </w:footnote>
  <w:footnote w:id="7">
    <w:p>
      <w:pPr>
        <w:pStyle w:val="FootnoteText"/>
        <w:ind w:left="567" w:hanging="567"/>
      </w:pPr>
      <w:r>
        <w:rPr>
          <w:rStyle w:val="FootnoteReference"/>
        </w:rPr>
        <w:footnoteRef/>
      </w:r>
      <w:r>
        <w:tab/>
        <w:t>Регламент (ЕС) № 1096/2010 на Съвета от 17 ноември 2010 г. за възлагане на Европейската централна банка на специфични задачи, свързани с дейността на Европейския съвет за системен риск (ОВ L 331, 15.12.2010 г., стр. 162).</w:t>
      </w:r>
    </w:p>
  </w:footnote>
  <w:footnote w:id="8">
    <w:p>
      <w:pPr>
        <w:pStyle w:val="FootnoteText"/>
        <w:ind w:left="567" w:hanging="567"/>
      </w:pPr>
      <w:r>
        <w:rPr>
          <w:rStyle w:val="FootnoteReference"/>
        </w:rPr>
        <w:footnoteRef/>
      </w:r>
      <w:r>
        <w:tab/>
        <w:t>Решение на Съвместния комитет на ЕИП № 198/2016 от 30 септември 2016 г. за изменение на приложение IX (Финансови услуги) към Споразумението за ЕИП [2017/275] (OВ L 46, 23.2.2017 г., стp.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C48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E2D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B07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369C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B40E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F63D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EABF90"/>
    <w:lvl w:ilvl="0">
      <w:start w:val="1"/>
      <w:numFmt w:val="decimal"/>
      <w:pStyle w:val="ListNumber"/>
      <w:lvlText w:val="%1."/>
      <w:lvlJc w:val="left"/>
      <w:pPr>
        <w:tabs>
          <w:tab w:val="num" w:pos="360"/>
        </w:tabs>
        <w:ind w:left="360" w:hanging="360"/>
      </w:pPr>
    </w:lvl>
  </w:abstractNum>
  <w:abstractNum w:abstractNumId="7">
    <w:nsid w:val="FFFFFF89"/>
    <w:multiLevelType w:val="singleLevel"/>
    <w:tmpl w:val="67F6B6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17"/>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NotTrackFormatting/>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7 10:20: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1"/>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0C5F32333684F21A65A5C0F166177B8"/>
    <w:docVar w:name="LW_CROSSREFERENCE" w:val="{SWD(2017) 313 final}"/>
    <w:docVar w:name="LW_DocType" w:val="COM"/>
    <w:docVar w:name="LW_EMISSION" w:val="20.9.2017"/>
    <w:docVar w:name="LW_EMISSION_ISODATE" w:val="2017-09-2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EMPTY&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2"/>
    <w:docVar w:name="LW_REF.II.NEW.CP_YEAR" w:val="2017"/>
    <w:docVar w:name="LW_REF.INST.NEW" w:val="COM"/>
    <w:docVar w:name="LW_REF.INST.NEW_ADOPTED" w:val="final"/>
    <w:docVar w:name="LW_REF.INST.NEW_TEXT" w:val="(2017) 538"/>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092/2010 \u1079?\u1072? \u1087?\u1088?\u1091?\u1076?\u1077?\u1085?\u1094?\u1080?\u1072?\u1083?\u1085?\u1080?\u1103? \u1085?\u1072?\u1076?\u1079?\u1086?\u1088? \u1074?\u1098?\u1088?\u1093?\u1091? \u1092?\u1080?\u1085?\u1072?\u1085?\u1089?\u1086?\u1074?\u1072?\u1090?\u1072? \u1089?\u1080?\u1089?\u1090?\u1077?\u1084?\u1072? \u1085?\u1072? \u1045?\u1074?\u1088?\u1086?\u1087?\u1077?\u1081?\u1089?\u1082?\u1080?\u1103? \u1089?\u1098?\u1102?\u1079? \u1085?\u1072? \u1084?\u1072?\u1082?\u1088?\u1086?\u1088?\u1072?\u1074?\u1085?\u1080?\u1097?\u1077? \u1080? \u1079?\u1072? \u1089?\u1098?\u1079?\u1076?\u1072?\u1074?\u1072?\u1085?\u1077? \u1085?\u1072? \u1045?\u1074?\u1088?\u1086?\u1087?\u1077?\u1081?\u1089?\u1082?\u1080? \u1089?\u1098?\u1074?\u1077?\u1090? \u1079?\u1072? \u1089?\u1080?\u1089?\u1090?\u1077?\u1084?\u1077?\u1085? \u1088?\u1080?\u1089?\u108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qFormat/>
    <w:pPr>
      <w:numPr>
        <w:numId w:val="9"/>
      </w:numPr>
    </w:pPr>
    <w:rPr>
      <w:rFonts w:eastAsia="Times New Roman"/>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qFormat/>
    <w:pPr>
      <w:numPr>
        <w:numId w:val="9"/>
      </w:numPr>
    </w:pPr>
    <w:rPr>
      <w:rFonts w:eastAsia="Times New Roman"/>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Pr>
      <w:rFonts w:ascii="Calibri" w:eastAsia="Times New Roman" w:hAnsi="Calibri" w:cs="Times New Roman"/>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08717">
      <w:bodyDiv w:val="1"/>
      <w:marLeft w:val="0"/>
      <w:marRight w:val="0"/>
      <w:marTop w:val="0"/>
      <w:marBottom w:val="0"/>
      <w:divBdr>
        <w:top w:val="none" w:sz="0" w:space="0" w:color="auto"/>
        <w:left w:val="none" w:sz="0" w:space="0" w:color="auto"/>
        <w:bottom w:val="none" w:sz="0" w:space="0" w:color="auto"/>
        <w:right w:val="none" w:sz="0" w:space="0" w:color="auto"/>
      </w:divBdr>
    </w:div>
    <w:div w:id="19158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EF55457B25D324AB5A962373D51122B" ma:contentTypeVersion="12" ma:contentTypeDescription="Create a new document in this library." ma:contentTypeScope="" ma:versionID="ce20a0fec3b8eca0de618e1f293e03d1">
  <xsd:schema xmlns:xsd="http://www.w3.org/2001/XMLSchema" xmlns:xs="http://www.w3.org/2001/XMLSchema" xmlns:p="http://schemas.microsoft.com/office/2006/metadata/properties" xmlns:ns3="9777fc59-4bfd-4309-88dc-a0c9db34825d" targetNamespace="http://schemas.microsoft.com/office/2006/metadata/properties" ma:root="true" ma:fieldsID="241a214c4651a1e2d4036c5aaa3854e7" ns3:_="">
    <xsd:import namespace="9777fc59-4bfd-4309-88dc-a0c9db34825d"/>
    <xsd:element name="properties">
      <xsd:complexType>
        <xsd:sequence>
          <xsd:element name="documentManagement">
            <xsd:complexType>
              <xsd:all>
                <xsd:element ref="ns3:EC_Collab_Status"/>
                <xsd:element ref="ns3:EC_Collab_DocumentLanguage"/>
                <xsd:element ref="ns3:EC_Collab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7fc59-4bfd-4309-88dc-a0c9db34825d" elementFormDefault="qualified">
    <xsd:import namespace="http://schemas.microsoft.com/office/2006/documentManagement/types"/>
    <xsd:import namespace="http://schemas.microsoft.com/office/infopath/2007/PartnerControls"/>
    <xsd:element name="EC_Collab_Status" ma:index="12"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Reference" ma:index="14" nillable="true" ma:displayName="Reference" ma:internalName="EC_Collab_Referenc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9777fc59-4bfd-4309-88dc-a0c9db34825d">Not Started</EC_Collab_Status>
    <EC_Collab_DocumentLanguage xmlns="9777fc59-4bfd-4309-88dc-a0c9db34825d">EN</EC_Collab_DocumentLanguage>
    <EC_Collab_Reference xmlns="9777fc59-4bfd-4309-88dc-a0c9db3482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6CBB-6688-41F2-8BA9-70E2548E3E15}">
  <ds:schemaRefs>
    <ds:schemaRef ds:uri="http://schemas.microsoft.com/sharepoint/v3/contenttype/forms"/>
  </ds:schemaRefs>
</ds:datastoreItem>
</file>

<file path=customXml/itemProps2.xml><?xml version="1.0" encoding="utf-8"?>
<ds:datastoreItem xmlns:ds="http://schemas.openxmlformats.org/officeDocument/2006/customXml" ds:itemID="{62CC6D82-41CF-47C2-A5DD-36AAB184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7fc59-4bfd-4309-88dc-a0c9db34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2CB00-DD17-40A9-A1BA-3A019C073B01}">
  <ds:schemaRefs>
    <ds:schemaRef ds:uri="http://schemas.microsoft.com/office/2006/metadata/properties"/>
    <ds:schemaRef ds:uri="http://schemas.microsoft.com/office/infopath/2007/PartnerControls"/>
    <ds:schemaRef ds:uri="9777fc59-4bfd-4309-88dc-a0c9db34825d"/>
  </ds:schemaRefs>
</ds:datastoreItem>
</file>

<file path=customXml/itemProps4.xml><?xml version="1.0" encoding="utf-8"?>
<ds:datastoreItem xmlns:ds="http://schemas.openxmlformats.org/officeDocument/2006/customXml" ds:itemID="{EEF19977-7FA2-48C2-ADB1-E5D111A9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3517</Words>
  <Characters>20437</Characters>
  <Application>Microsoft Office Word</Application>
  <DocSecurity>0</DocSecurity>
  <Lines>408</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2017-09-13T13:58:00Z</cp:lastPrinted>
  <dcterms:created xsi:type="dcterms:W3CDTF">2017-10-16T11:51:00Z</dcterms:created>
  <dcterms:modified xsi:type="dcterms:W3CDTF">2017-10-17T08:20:00Z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0x010100258AA79CEB83498886A3A0868112325000EEF55457B25D324AB5A962373D51122B</vt:lpwstr>
  </property>
  <property fmtid="{D5CDD505-2E9C-101B-9397-08002B2CF9AE}" pid="11" name="DQCStatus">
    <vt:lpwstr>Green (DQC version 03)</vt:lpwstr>
  </property>
</Properties>
</file>