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B333EA175A48C4BF71F6146A1446D1"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proposition porte sur un projet de décision du Conseil relative à la troisième tranche des contributions financières à verser par les États membres au Fonds européen de développement (FED) en 2017.</w:t>
      </w:r>
    </w:p>
    <w:p>
      <w:pPr>
        <w:pBdr>
          <w:top w:val="nil"/>
          <w:left w:val="nil"/>
          <w:bottom w:val="nil"/>
          <w:right w:val="nil"/>
          <w:between w:val="nil"/>
          <w:bar w:val="nil"/>
        </w:pBdr>
        <w:spacing w:before="0" w:after="240"/>
        <w:rPr>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w:t>
      </w:r>
    </w:p>
    <w:p>
      <w:pPr>
        <w:pBdr>
          <w:top w:val="nil"/>
          <w:left w:val="nil"/>
          <w:bottom w:val="nil"/>
          <w:right w:val="nil"/>
          <w:between w:val="nil"/>
          <w:bar w:val="nil"/>
        </w:pBdr>
        <w:spacing w:before="0" w:after="240"/>
        <w:rPr>
          <w:noProof/>
        </w:rPr>
      </w:pPr>
      <w:r>
        <w:rPr>
          <w:noProof/>
        </w:rPr>
        <w:t>– 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 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l’article 21, paragraphe 7, du règlement financier applicable au 11</w:t>
      </w:r>
      <w:r>
        <w:rPr>
          <w:noProof/>
          <w:vertAlign w:val="superscript"/>
        </w:rPr>
        <w:t>e</w:t>
      </w:r>
      <w:r>
        <w:rPr>
          <w:noProof/>
        </w:rPr>
        <w:t>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FED, les appels à contributions utilisent d’abord les montants prévus dans les FED antérieurs, les uns après les autres. En ce qui concerne la Commission, tous les montants prévus dans les FED antérieurs ont été utilisés. Les appels à contribution qui font l’objet de la présente proposition concernent donc les montants au titre du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Conformément à l’article 21, paragraphe 5, du règlement financier applicable au 11</w:t>
      </w:r>
      <w:r>
        <w:rPr>
          <w:noProof/>
          <w:vertAlign w:val="superscript"/>
        </w:rPr>
        <w:t>e</w:t>
      </w:r>
      <w:r>
        <w:rPr>
          <w:noProof/>
        </w:rPr>
        <w:t xml:space="preserve"> FED, le Conseil se prononce sur la présente proposition au plus tard 21 jours civils après la présentation par la Commission de sa proposition.</w:t>
      </w:r>
    </w:p>
    <w:p>
      <w:pPr>
        <w:pBdr>
          <w:top w:val="nil"/>
          <w:left w:val="nil"/>
          <w:bottom w:val="nil"/>
          <w:right w:val="nil"/>
          <w:between w:val="nil"/>
          <w:bar w:val="nil"/>
        </w:pBdr>
        <w:spacing w:before="0" w:after="240"/>
        <w:rPr>
          <w:rFonts w:eastAsia="Arial Unicode MS"/>
          <w:noProof/>
        </w:rPr>
      </w:pPr>
      <w:r>
        <w:rPr>
          <w:noProof/>
        </w:rPr>
        <w:t>Conformément à l’article 2 de la décision (UE) 2017/1206 du Conseil</w:t>
      </w:r>
      <w:r>
        <w:rPr>
          <w:rStyle w:val="FootnoteReference"/>
          <w:noProof/>
        </w:rPr>
        <w:footnoteReference w:id="4"/>
      </w:r>
      <w:r>
        <w:rPr>
          <w:noProof/>
        </w:rPr>
        <w:t>, les contributions respectives des États membres indiquées à l’article 1</w:t>
      </w:r>
      <w:r>
        <w:rPr>
          <w:noProof/>
          <w:vertAlign w:val="superscript"/>
        </w:rPr>
        <w:t>er</w:t>
      </w:r>
      <w:r>
        <w:rPr>
          <w:noProof/>
        </w:rPr>
        <w:t>, paragraphe 2, point a), des accords internes relatifs aux 8</w:t>
      </w:r>
      <w:r>
        <w:rPr>
          <w:noProof/>
          <w:vertAlign w:val="superscript"/>
        </w:rPr>
        <w:t>e</w:t>
      </w:r>
      <w:r>
        <w:rPr>
          <w:noProof/>
        </w:rPr>
        <w:t xml:space="preserve"> et 9</w:t>
      </w:r>
      <w:r>
        <w:rPr>
          <w:noProof/>
          <w:vertAlign w:val="superscript"/>
        </w:rPr>
        <w:t>e</w:t>
      </w:r>
      <w:r>
        <w:rPr>
          <w:noProof/>
        </w:rPr>
        <w:t xml:space="preserve"> FED sont réduites. La réduction est mise en œuvre sur la troisième tranche de 2017 et/ou la première tranche de 2018 des contributions des États membres selon l’option d’ajustement choisie par chacun d’entre eux.</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FED prévoit que, au cas où les tranches de contributions exigibles ne sont pas versées dans les délais fixés, l’État membre concerné est redevable d’un intérêt sur la somme non payée, selon les modalités définies dans le même article.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troisième tranche pour 2017</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5"/>
      </w:r>
      <w:r>
        <w:rPr>
          <w:noProof/>
        </w:rPr>
        <w:t xml:space="preserve"> (ci-après l'«accord interne»), et notamment son article 7, paragraphe 2,</w:t>
      </w:r>
    </w:p>
    <w:p>
      <w:pPr>
        <w:rPr>
          <w:noProof/>
        </w:rPr>
      </w:pPr>
      <w:r>
        <w:rPr>
          <w:noProof/>
        </w:rPr>
        <w:t>vu le règlement (UE) 2015/323 du Conseil du 2 mars 2015 portant règlement financier applicable au 11</w:t>
      </w:r>
      <w:r>
        <w:rPr>
          <w:noProof/>
          <w:vertAlign w:val="superscript"/>
        </w:rPr>
        <w:t>e</w:t>
      </w:r>
      <w:r>
        <w:rPr>
          <w:noProof/>
        </w:rPr>
        <w:t xml:space="preserve"> Fonds européen de développement (ci-après le «règlement financier applicable au 11</w:t>
      </w:r>
      <w:r>
        <w:rPr>
          <w:noProof/>
          <w:vertAlign w:val="superscript"/>
        </w:rPr>
        <w:t>e</w:t>
      </w:r>
      <w:r>
        <w:rPr>
          <w:noProof/>
        </w:rPr>
        <w:t xml:space="preserve"> FED»)</w:t>
      </w:r>
      <w:r>
        <w:rPr>
          <w:rStyle w:val="FootnoteReference"/>
          <w:noProof/>
        </w:rPr>
        <w:footnoteReference w:id="6"/>
      </w:r>
      <w:r>
        <w:rPr>
          <w:noProof/>
        </w:rPr>
        <w:t>, et notamment son article 21,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5, du règlement financier applicable au 11</w:t>
      </w:r>
      <w:r>
        <w:rPr>
          <w:noProof/>
          <w:vertAlign w:val="superscript"/>
        </w:rPr>
        <w:t>e</w:t>
      </w:r>
      <w:r>
        <w:rPr>
          <w:noProof/>
        </w:rPr>
        <w:t xml:space="preserve"> FED, la Commission présente, pour le 10 octobre 2017, une proposition qui précise a) le montant de la troisième tranche des contributions pour 2017 et b) le montant annuel des contributions pour l’exercice 2017, révisé à la lumière des véritables besoins au cas où le montant s’écarte desdits besoins.</w:t>
      </w:r>
    </w:p>
    <w:p>
      <w:pPr>
        <w:pStyle w:val="ManualConsidrant"/>
        <w:rPr>
          <w:noProof/>
        </w:rPr>
      </w:pPr>
      <w:r>
        <w:t>(2)</w:t>
      </w:r>
      <w:r>
        <w:tab/>
      </w:r>
      <w:r>
        <w:rPr>
          <w:noProof/>
        </w:rPr>
        <w:t>Conformément à l’article 52 du règlement financier applicable au 11</w:t>
      </w:r>
      <w:r>
        <w:rPr>
          <w:noProof/>
          <w:vertAlign w:val="superscript"/>
        </w:rPr>
        <w:t>e</w:t>
      </w:r>
      <w:r>
        <w:rPr>
          <w:noProof/>
        </w:rPr>
        <w:t> FED, la Banque européenne d’investissement a communiqué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xml:space="preserve"> FED dispose que les appels à contributions utilisent d’abord les montants prévus dans les FED antérieurs. Il convient, par conséquent, de faire un appel de fonds au titre du 11</w:t>
      </w:r>
      <w:r>
        <w:rPr>
          <w:noProof/>
          <w:vertAlign w:val="superscript"/>
        </w:rPr>
        <w:t>e</w:t>
      </w:r>
      <w:r>
        <w:rPr>
          <w:noProof/>
        </w:rPr>
        <w:t xml:space="preserve"> FED pour le versement de fonds à la Commission européenne.</w:t>
      </w:r>
    </w:p>
    <w:p>
      <w:pPr>
        <w:pStyle w:val="ManualConsidrant"/>
        <w:rPr>
          <w:noProof/>
          <w:szCs w:val="24"/>
        </w:rPr>
      </w:pPr>
      <w:r>
        <w:t>(4)</w:t>
      </w:r>
      <w:r>
        <w:tab/>
      </w:r>
      <w:r>
        <w:rPr>
          <w:noProof/>
        </w:rPr>
        <w:t>Par la décision (UE) 2016/2026, le Conseil a adopté, le 11 novembre 2016, sur proposition de la Commission européenne, la décision de fixer le plafond du montant annuel des contributions des États membres au FED pour l’exercice 2017 à 3 850 000 000 EUR pour la Commission européenne, et à 150 000 000 EUR pour la Banque européenne d’investissement</w:t>
      </w:r>
      <w:r>
        <w:rPr>
          <w:rStyle w:val="FootnoteReference"/>
          <w:noProof/>
        </w:rPr>
        <w:footnoteReference w:id="7"/>
      </w:r>
      <w:r>
        <w:rPr>
          <w:noProof/>
        </w:rPr>
        <w:t>.</w:t>
      </w:r>
    </w:p>
    <w:p>
      <w:pPr>
        <w:pStyle w:val="ManualConsidrant"/>
        <w:rPr>
          <w:noProof/>
          <w:szCs w:val="24"/>
        </w:rPr>
      </w:pPr>
      <w:r>
        <w:t>(5)</w:t>
      </w:r>
      <w:r>
        <w:tab/>
      </w:r>
      <w:r>
        <w:rPr>
          <w:noProof/>
        </w:rPr>
        <w:t>Le Conseil a adopté une réduction de la contribution d’un montant de 200 000 000 EUR provenant de fonds dégagés au titre des 8</w:t>
      </w:r>
      <w:r>
        <w:rPr>
          <w:noProof/>
          <w:vertAlign w:val="superscript"/>
        </w:rPr>
        <w:t>e</w:t>
      </w:r>
      <w:r>
        <w:rPr>
          <w:noProof/>
        </w:rPr>
        <w:t xml:space="preserve"> et 9</w:t>
      </w:r>
      <w:r>
        <w:rPr>
          <w:noProof/>
          <w:vertAlign w:val="superscript"/>
        </w:rPr>
        <w:t>e</w:t>
      </w:r>
      <w:r>
        <w:rPr>
          <w:noProof/>
        </w:rPr>
        <w:t xml:space="preserve"> FED</w:t>
      </w:r>
      <w:r>
        <w:rPr>
          <w:rStyle w:val="FootnoteReference"/>
          <w:noProof/>
        </w:rPr>
        <w:footnoteReference w:id="8"/>
      </w:r>
      <w:r>
        <w:rPr>
          <w:noProof/>
        </w:rPr>
        <w:t>,</w:t>
      </w:r>
    </w:p>
    <w:p>
      <w:pPr>
        <w:pStyle w:val="Formuledadoption"/>
        <w:spacing w:before="480"/>
        <w:rPr>
          <w:noProof/>
        </w:rPr>
      </w:pPr>
      <w:r>
        <w:rPr>
          <w:noProof/>
        </w:rPr>
        <w:t>A ADOPTÉ LA PRÉSENTE DÉCISION:</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troisième tranche pour 2017 sont indiquées dans le tableau figurant à l’annexe de la présente décision.</w:t>
      </w:r>
    </w:p>
    <w:p>
      <w:pPr>
        <w:rPr>
          <w:noProof/>
        </w:rPr>
      </w:pPr>
      <w:r>
        <w:rPr>
          <w:noProof/>
        </w:rPr>
        <w:t>Les versements de ces contributions peuvent être combinés avec les adaptations résultant de l’application de la réduction des contributions d’un montant de 200 000 000 EUR provenant de fonds dégagés au titre des 8</w:t>
      </w:r>
      <w:r>
        <w:rPr>
          <w:noProof/>
          <w:vertAlign w:val="superscript"/>
        </w:rPr>
        <w:t>e</w:t>
      </w:r>
      <w:r>
        <w:rPr>
          <w:noProof/>
        </w:rPr>
        <w:t xml:space="preserve"> et 9</w:t>
      </w:r>
      <w:r>
        <w:rPr>
          <w:noProof/>
          <w:vertAlign w:val="superscript"/>
        </w:rPr>
        <w:t>e</w:t>
      </w:r>
      <w:r>
        <w:rPr>
          <w:noProof/>
        </w:rPr>
        <w:t xml:space="preserve"> FED, selon le plan d’adaptation communiqué par chaque État membre.</w:t>
      </w:r>
    </w:p>
    <w:p>
      <w:pPr>
        <w:pStyle w:val="Titrearticle"/>
        <w:keepNext w:val="0"/>
        <w:rPr>
          <w:noProof/>
        </w:rPr>
      </w:pPr>
      <w:r>
        <w:rPr>
          <w:noProof/>
        </w:rPr>
        <w:t>Article 2</w:t>
      </w:r>
    </w:p>
    <w:p>
      <w:pPr>
        <w:rPr>
          <w:noProof/>
        </w:rPr>
      </w:pPr>
      <w:r>
        <w:rPr>
          <w:noProof/>
        </w:rPr>
        <w:t>Les États membres sont destinataires de la présente décision.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L 58 du 3.3.2015, p. 17.</w:t>
      </w:r>
    </w:p>
  </w:footnote>
  <w:footnote w:id="4">
    <w:p>
      <w:pPr>
        <w:pStyle w:val="FootnoteText"/>
        <w:rPr>
          <w:lang w:val="pl-PL"/>
        </w:rPr>
      </w:pPr>
      <w:r>
        <w:rPr>
          <w:rStyle w:val="FootnoteReference"/>
        </w:rPr>
        <w:footnoteRef/>
      </w:r>
      <w:r>
        <w:tab/>
        <w:t>JO L 173 du 6.7.2017, p. 15.</w:t>
      </w:r>
    </w:p>
  </w:footnote>
  <w:footnote w:id="5">
    <w:p>
      <w:pPr>
        <w:pStyle w:val="FootnoteText"/>
        <w:rPr>
          <w:lang w:val="pl-PL"/>
        </w:rPr>
      </w:pPr>
      <w:r>
        <w:rPr>
          <w:rStyle w:val="FootnoteReference"/>
        </w:rPr>
        <w:footnoteRef/>
      </w:r>
      <w:r>
        <w:tab/>
        <w:t>JO L 210 du 6.8.2013, p. 1.</w:t>
      </w:r>
    </w:p>
  </w:footnote>
  <w:footnote w:id="6">
    <w:p>
      <w:pPr>
        <w:pStyle w:val="FootnoteText"/>
        <w:rPr>
          <w:lang w:val="pl-PL"/>
        </w:rPr>
      </w:pPr>
      <w:r>
        <w:rPr>
          <w:rStyle w:val="FootnoteReference"/>
        </w:rPr>
        <w:footnoteRef/>
      </w:r>
      <w:r>
        <w:tab/>
        <w:t>JO L 58 du 3.3.2015, p. 17.</w:t>
      </w:r>
    </w:p>
  </w:footnote>
  <w:footnote w:id="7">
    <w:p>
      <w:pPr>
        <w:pStyle w:val="FootnoteText"/>
        <w:rPr>
          <w:lang w:val="pl-PL"/>
        </w:rPr>
      </w:pPr>
      <w:r>
        <w:rPr>
          <w:rStyle w:val="FootnoteReference"/>
        </w:rPr>
        <w:footnoteRef/>
      </w:r>
      <w:r>
        <w:tab/>
        <w:t>JO L 313 du 19.11.2016, p. 25.</w:t>
      </w:r>
    </w:p>
  </w:footnote>
  <w:footnote w:id="8">
    <w:p>
      <w:pPr>
        <w:pStyle w:val="FootnoteText"/>
        <w:rPr>
          <w:lang w:val="pl-PL"/>
        </w:rPr>
      </w:pPr>
      <w:r>
        <w:rPr>
          <w:rStyle w:val="FootnoteReference"/>
        </w:rPr>
        <w:footnoteRef/>
      </w:r>
      <w:r>
        <w:tab/>
        <w:t>JO L 173 du 6.7.2017,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68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86B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2EA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0EE7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D8B7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E02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166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1251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9 10:48: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B333EA175A48C4BF71F6146A1446D1"/>
    <w:docVar w:name="LW_CROSSREFERENCE" w:val="&lt;UNUSED&gt;"/>
    <w:docVar w:name="LW_DocType" w:val="COM"/>
    <w:docVar w:name="LW_EMISSION" w:val="18.10.2017"/>
    <w:docVar w:name="LW_EMISSION_ISODATE" w:val="2017-10-1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61"/>
    <w:docVar w:name="LW_REF.II.NEW.CP_YEAR" w:val="2017"/>
    <w:docVar w:name="LW_REF.INST.NEW" w:val="COM"/>
    <w:docVar w:name="LW_REF.INST.NEW_ADOPTED" w:val="final"/>
    <w:docVar w:name="LW_REF.INST.NEW_TEXT" w:val="(2017) 599"/>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a troisième tranche pour 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F009-C194-4234-BC7C-A54227E7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1313</Words>
  <Characters>7304</Characters>
  <Application>Microsoft Office Word</Application>
  <DocSecurity>0</DocSecurity>
  <Lines>146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2017-08-23T12:38:00Z</cp:lastPrinted>
  <dcterms:created xsi:type="dcterms:W3CDTF">2017-09-25T13:26:00Z</dcterms:created>
  <dcterms:modified xsi:type="dcterms:W3CDTF">2017-10-09T08:48:00Z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