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28C17E6E994F91B2C92B5520155682" style="width:450.75pt;height:447.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Икономическата комисия за Европа на Организацията на обединените нации (ИКЕ на ООН) разработва на международно равнище хармонизирани изисквания, чиято цел е да се отстранят техническите пречки пред търговията с моторни превозни средства между договарящите се страни по Ревизираното споразумение от 1958 г. и да се гарантира, че тези превозни средства осигуряват висока степен на безопасност и опазване на околната среда.</w:t>
      </w:r>
    </w:p>
    <w:p>
      <w:pPr>
        <w:rPr>
          <w:noProof/>
        </w:rPr>
      </w:pPr>
      <w:r>
        <w:rPr>
          <w:noProof/>
        </w:rPr>
        <w:t>В съответствие с Решение 97/836/ЕО на Съвета от 27 ноември 1997 г.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а в съответствие с 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Съюзът се присъедини към Паралелното споразумение.</w:t>
      </w:r>
    </w:p>
    <w:p>
      <w:pPr>
        <w:rPr>
          <w:noProof/>
        </w:rPr>
      </w:pPr>
      <w:r>
        <w:rPr>
          <w:noProof/>
        </w:rPr>
        <w:t>Заседанията на Работна група 29 (WP.29) на ИКЕ на ООН — Световния форум за хармонизация на правилата за превозните средства — се провеждат три пъти всяка календарна година: през март, юни и ноември. На всяко заседание се приемат нови правила на ООН, нови глобални технически правила на ООН (ГТП на ООН) и/или изменения на съществуващи правила на ООН или глобални технически правила на ООН (ГТП на ООН), за да се отчете техническият прогрес. Преди всяко заседание на Работна група 29 една от шестте работни комисии към нея приема тези изменения.</w:t>
      </w:r>
    </w:p>
    <w:p>
      <w:pPr>
        <w:rPr>
          <w:noProof/>
        </w:rPr>
      </w:pPr>
      <w:r>
        <w:rPr>
          <w:noProof/>
        </w:rPr>
        <w:t>След това по време на заседанието на Работна група 29 се гласува за окончателното приемане на измененията, допълненията и поправките, стига да е налице кворум и квалифицирано мнозинство от договарящите се страни. ЕС е договаряща се страна по две споразумения (съответно от 1958 г. и 1998 г.) в обхвата на дейност на Работна група 29. Всеки път се изготвя решение на Съвета, известно като „мегарешение“, което съдържа списък на правилата, измененията, допълненията и поправките и с което Комисията се упълномощава да гласува от името на Съюза на съответното заседание на Работна група 29.</w:t>
      </w:r>
    </w:p>
    <w:p>
      <w:pPr>
        <w:rPr>
          <w:noProof/>
        </w:rPr>
      </w:pPr>
      <w:r>
        <w:rPr>
          <w:noProof/>
        </w:rPr>
        <w:t>С настоящото решение на Съвета се определя позицията на Съюза при гласуване на правилата, измененията, допълненията и поправките по време на заседанието на Работна група 29 през ноември 2017 г., предвидено да се проведе от 13 до 17 ноември 2017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допълва и е в пълно съответствие с политиката на Съюза в областта на вътрешния пазар по отношение на автомобилната промишленост.</w:t>
      </w:r>
    </w:p>
    <w:p>
      <w:pPr>
        <w:rPr>
          <w:noProof/>
        </w:rPr>
      </w:pPr>
      <w:r>
        <w:rPr>
          <w:noProof/>
        </w:rPr>
        <w:lastRenderedPageBreak/>
        <w:t>Системата на Работна група 29 допринася за постигането на по-висока степен на хармонизиране в международен план на стандартите за превозните средства. Споразумението от 1958 г. има основна роля за постигането на тази цел, тъй като производителите от ЕС могат да използват общ набор от правила за одобрение на типа със съзнанието, че договарящите се страни ще признаят съответствието на продуктите им с тяхното национално законодателство. Тази схема направи възможно например чрез Регламент (ЕО) № 661/2009 относно общата безопасност на моторните превозни средства да се отменят повече от 50 директиви на ЕС и същите да се заменят със съответните правила, разработени съгласно Споразумението от 1958 г.</w:t>
      </w:r>
    </w:p>
    <w:p>
      <w:pPr>
        <w:rPr>
          <w:noProof/>
        </w:rPr>
      </w:pPr>
      <w:r>
        <w:rPr>
          <w:noProof/>
        </w:rPr>
        <w:t>Подобен подход бе приложен и при Директива 2007/46/ЕО, с която системите за одобрение в отделните държави членки бяха заменени с процедура на Съюза за одобрение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на ООН бяха инкорпорирани в системата на ЕС за одобрение на типа като изисквания за одобрение на типа или като алтернативи на законодателството на Съюза. След приемането на посочената директива правилата на ООН във все по-голяма степен биват инкорпорирани в законодателството на Съюза в рамките на системата на ЕС за одобрение на типа.</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Системата на Работна група 29 е свързана с политиката на Съюза в областта на конкурентоспособността, върху която тази инициатива има положително въздействие. Настоящото предложение е в съответствие и с политиката на Съюза в областта на транспорта и енергетиката, която е надлежно взета предвид в процеса на изготвяне и приемане на правилата на ООН, попадащи в обхвата на Споразумението от 1958 г.</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rFonts w:eastAsia="Arial Unicode MS"/>
          <w:noProof/>
        </w:rPr>
      </w:pPr>
      <w:r>
        <w:rPr>
          <w:noProof/>
        </w:rPr>
        <w:t>Правното основание на настоящото предложение е член 114 във връзка с член 218, параграф 9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Субсидиарност</w:t>
      </w:r>
    </w:p>
    <w:p>
      <w:pPr>
        <w:rPr>
          <w:noProof/>
        </w:rPr>
      </w:pPr>
      <w:r>
        <w:rPr>
          <w:noProof/>
        </w:rPr>
        <w:t>Гласуването в подкрепа на такива международни инструменти, като предложения за правила на ООН, изменения на правила на ООН и проекти на глобални технически правила, и инкорпорирането им в системата на Съюза за одобрение на типа на моторните превозни средства, може да бъде направено единствено от Съюза. По този начин не само се предотвратява раздробяването на вътрешния пазар, но също така се гарантират еднакви стандарти за опазване на околната среда и за безопасност в Съюза. Налице са и предимства, свързани с икономии от мащаба: продуктите може да се произвеждат за целия пазар на Съюза и дори за международния пазар, вместо да се адаптират, за да получат национално одобрение на типа за всяка отделна държава членка.</w:t>
      </w:r>
    </w:p>
    <w:p>
      <w:pPr>
        <w:rPr>
          <w:noProof/>
        </w:rPr>
      </w:pPr>
      <w:r>
        <w:rPr>
          <w:noProof/>
        </w:rPr>
        <w:t>Поради това настоящото предложение е в съответствие с принципа на субсидиарност.</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С настоящото решение на Съвета Комисията се упълномощава да гласува от името на Съюза, като това решение е пропорционален инструмент в съответствие с член 5, параграф 1 от Решение 97/836/ЕО на Съвета за целите на определянето на единна позиция на ЕС в ИКЕ на ООН по отношение на гласуването по работните документи, предложени в дневния ред на заседанието на Работна група 29. Следователно настоящото предложение е в съответствие с принципа на пропорционалност, тъй като не надхвърля необходимото за постигане на поставените цели — да се осигури доброто функциониране на вътрешния пазар, като същевременно се гарантира висока степен на обществена безопасност и защита.</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В член 218, параграф 9 от ДФЕС е предвидено, че за да бъдат определени позициите, които да се заемат от името на Съюза в рамките на орган, създаден с международно споразумение, е необходимо решение на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са приложими в случая с настоящото предложение. То обаче беше разгледано от Техническия комитет по моторните превозни средства.</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Настоящото предложение не може да бъде предмет на оценка на въздействието, тъй като няма законодателен характер и не съществуват или не са възможни алтернативни варианти на политиката.</w:t>
      </w:r>
    </w:p>
    <w:p>
      <w:pPr>
        <w:pStyle w:val="ManualHeading2"/>
        <w:rPr>
          <w:rFonts w:eastAsia="Arial Unicode MS"/>
          <w:noProof/>
          <w:u w:color="000000"/>
          <w:bdr w:val="nil"/>
        </w:rPr>
      </w:pPr>
      <w:r>
        <w:rPr>
          <w:noProof/>
        </w:rPr>
        <w:t>•</w:t>
      </w:r>
      <w:r>
        <w:rPr>
          <w:noProof/>
        </w:rPr>
        <w:tab/>
        <w:t>Регулаторна пригодност и опростяване</w:t>
      </w:r>
    </w:p>
    <w:p>
      <w:pPr>
        <w:rPr>
          <w:noProof/>
        </w:rPr>
      </w:pPr>
      <w:r>
        <w:rPr>
          <w:noProof/>
        </w:rPr>
        <w:t>Настоящата инициатива няма отражение върху административната тежест, тъй като с приложените към мегарешението позовавания на въпросните изменения не се въвеждат нови задължения за докладване или други административни задължения за предприятията, включително за МСП. Напротив, цели се намаляване на административната тежест, тъй като прилагането на хармонизирани в световен мащаб изисквания дава възможност на производителите да представят документация за одобрение на системи и компоненти не само в ЕС, но и на експортните пазари на договарящите се страни по Споразумението от 1958 г. извън ЕС.</w:t>
      </w:r>
    </w:p>
    <w:p>
      <w:pPr>
        <w:rPr>
          <w:noProof/>
        </w:rPr>
      </w:pPr>
      <w:r>
        <w:rPr>
          <w:noProof/>
        </w:rPr>
        <w:t xml:space="preserve">Предложението има много положително въздействие върху конкурентоспособността на автомобилната промишленост в ЕС и върху международната търговия. Приемането на международно хармонизирани правила за превозните средства от страна на търговските партньори на ЕС се признава като най-добрият начин за премахване на нетарифните </w:t>
      </w:r>
      <w:r>
        <w:rPr>
          <w:noProof/>
        </w:rPr>
        <w:lastRenderedPageBreak/>
        <w:t>пречки пред търговията и за отваряне или разширяване на достъпа до съответните пазари за автомобилни предприятия от ЕС.</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Предложението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Настоящата инициатива няма отражение върху бюджета.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rPr>
      </w:pPr>
      <w:r>
        <w:rPr>
          <w:noProof/>
        </w:rPr>
        <w:t>Не е приложимо.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rPr>
          <w:noProof/>
        </w:rPr>
      </w:pPr>
      <w:r>
        <w:rPr>
          <w:noProof/>
        </w:rPr>
        <w:t xml:space="preserve">С предложението се определя позицията на Съюза при гласуване на: </w:t>
      </w:r>
    </w:p>
    <w:p>
      <w:pPr>
        <w:pStyle w:val="Tiret0"/>
        <w:numPr>
          <w:ilvl w:val="0"/>
          <w:numId w:val="2"/>
        </w:numPr>
        <w:rPr>
          <w:noProof/>
        </w:rPr>
      </w:pPr>
      <w:r>
        <w:rPr>
          <w:noProof/>
        </w:rPr>
        <w:t xml:space="preserve">предложенията за изменения на правила №№ 12, 14, 16, 17, 43, 44, 46, 48, 49, 110, 121, 129 и 134 на ООН; </w:t>
      </w:r>
    </w:p>
    <w:p>
      <w:pPr>
        <w:pStyle w:val="Tiret0"/>
        <w:numPr>
          <w:ilvl w:val="0"/>
          <w:numId w:val="2"/>
        </w:numPr>
        <w:rPr>
          <w:noProof/>
        </w:rPr>
      </w:pPr>
      <w:r>
        <w:rPr>
          <w:noProof/>
        </w:rPr>
        <w:t xml:space="preserve">предложенията за изменения на глобални технически правила №№ 6 и 15 на ООН; </w:t>
      </w:r>
    </w:p>
    <w:p>
      <w:pPr>
        <w:pStyle w:val="Tiret0"/>
        <w:rPr>
          <w:noProof/>
        </w:rPr>
      </w:pPr>
      <w:r>
        <w:rPr>
          <w:noProof/>
        </w:rPr>
        <w:t>предложенията за три нови правила на ООН съответно относно международното одобрение на типа на цяло превозно средство, относно системите за спешни повиквания при пътнотранспортни произшествия и относно системите за закрепване на седалки за деца;</w:t>
      </w:r>
    </w:p>
    <w:p>
      <w:pPr>
        <w:pStyle w:val="Tiret0"/>
        <w:rPr>
          <w:noProof/>
        </w:rPr>
      </w:pPr>
      <w:r>
        <w:rPr>
          <w:noProof/>
        </w:rPr>
        <w:t>предложението за ново глобално техническо правило на ООН относно безопасността на електрическите превозни средства;</w:t>
      </w:r>
    </w:p>
    <w:p>
      <w:pPr>
        <w:pStyle w:val="Tiret0"/>
        <w:rPr>
          <w:noProof/>
        </w:rPr>
      </w:pPr>
      <w:r>
        <w:rPr>
          <w:noProof/>
        </w:rPr>
        <w:t xml:space="preserve">предложението за нова обща резолюция (M.R.3) в рамките на Споразуменията от 1958 г. и 1998 г. във връзка с качеството на въздуха в превозните средства; </w:t>
      </w:r>
    </w:p>
    <w:p>
      <w:pPr>
        <w:pStyle w:val="Tiret0"/>
        <w:rPr>
          <w:noProof/>
        </w:rPr>
      </w:pPr>
      <w:r>
        <w:rPr>
          <w:noProof/>
        </w:rPr>
        <w:t>предложението за изменение на Общите насоки за регулаторните процедури на ООН и преходните разпоредби в правилата на ООН; и</w:t>
      </w:r>
    </w:p>
    <w:p>
      <w:pPr>
        <w:pStyle w:val="Tiret0"/>
        <w:rPr>
          <w:noProof/>
        </w:rPr>
      </w:pPr>
      <w:r>
        <w:rPr>
          <w:noProof/>
        </w:rPr>
        <w:t xml:space="preserve">предложението за изменение на процедурния правилник на Работна група 29. </w:t>
      </w:r>
    </w:p>
    <w:p>
      <w:pPr>
        <w:pStyle w:val="Tiret0"/>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2017/0262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съответните комитети на Икономическата комисия за Европа на Организацията на обединените нации по отношение на предложенията за изменения на правила №№ 12, 14, 16, 17, 43, 44, 46, 48, 49, 110, 121, 129 и 134 на ООН, на глобални технически правила №№ 6 и 15 на ООН, на процедурния правилник на Работна група 29 и на Общите насоки за регулаторните процедури на ООН и преходните разпоредби в правилата на ООН, както и по отношение на предложенията за три нови правила на ООН и едно ново глобално техническо правило на ООН и на предложението за нова обща резолюция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Решение 97/836/ЕО на Съвета</w:t>
      </w:r>
      <w:r>
        <w:rPr>
          <w:rStyle w:val="FootnoteReference"/>
          <w:noProof/>
        </w:rPr>
        <w:footnoteReference w:id="1"/>
      </w:r>
      <w:r>
        <w:rPr>
          <w:noProof/>
        </w:rPr>
        <w:t xml:space="preserve"> Съюзът се присъедини към Споразумението на Икономическата комисия за Европа на Организацията на обединените нации (ИКЕ на ООН)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(„Ревизираното споразумение от 1958 г.“).</w:t>
      </w:r>
    </w:p>
    <w:p>
      <w:pPr>
        <w:pStyle w:val="ManualConsidrant"/>
        <w:rPr>
          <w:noProof/>
        </w:rPr>
      </w:pPr>
      <w:r>
        <w:t>(2)</w:t>
      </w:r>
      <w:r>
        <w:tab/>
      </w:r>
      <w:r>
        <w:rPr>
          <w:noProof/>
        </w:rPr>
        <w:t>С Решение 2000/125/ЕО на Съвета</w:t>
      </w:r>
      <w:r>
        <w:rPr>
          <w:rStyle w:val="FootnoteReference"/>
          <w:noProof/>
        </w:rPr>
        <w:footnoteReference w:id="2"/>
      </w:r>
      <w:r>
        <w:rPr>
          <w:noProof/>
        </w:rPr>
        <w:t xml:space="preserve"> Съюзът се присъедини към Споразумението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(„Паралелното споразумение“).</w:t>
      </w:r>
    </w:p>
    <w:p>
      <w:pPr>
        <w:pStyle w:val="ManualConsidrant"/>
        <w:rPr>
          <w:noProof/>
        </w:rPr>
      </w:pPr>
      <w:r>
        <w:lastRenderedPageBreak/>
        <w:t>(3)</w:t>
      </w:r>
      <w:r>
        <w:tab/>
      </w:r>
      <w:r>
        <w:rPr>
          <w:noProof/>
        </w:rPr>
        <w:t>С Директива 2007/46/ЕО на Европейския парламент и на Съвета</w:t>
      </w:r>
      <w:r>
        <w:rPr>
          <w:rStyle w:val="FootnoteReference"/>
          <w:noProof/>
        </w:rPr>
        <w:footnoteReference w:id="3"/>
      </w:r>
      <w:r>
        <w:rPr>
          <w:noProof/>
        </w:rPr>
        <w:t xml:space="preserve"> системите за одобрение в отделните държави членки бяха заменени с процедура на Съюза за одобрение и беше създадена хармонизирана рамка, съдържаща административните разпоредби и общите технически изисквания по отношение на всички нови превозни средства, системи, компоненти и отделни технически възли. С посочената директива правилата, приети съгласно Ревизираното споразумение от 1958 г. („правилата на ООН“), бяха инкорпорирани в системата на ЕС за одобрение на типа като изисквания за одобрение на типа или като алтернативи на законодателството на Съюза. След приемането на Директива 2007/46/ЕО правилата на ООН във все по-голяма степен биват инкорпорирани в законодателството на Съюза.</w:t>
      </w:r>
    </w:p>
    <w:p>
      <w:pPr>
        <w:pStyle w:val="ManualConsidrant"/>
        <w:rPr>
          <w:noProof/>
        </w:rPr>
      </w:pPr>
      <w:r>
        <w:t>(4)</w:t>
      </w:r>
      <w:r>
        <w:tab/>
      </w:r>
      <w:r>
        <w:rPr>
          <w:noProof/>
        </w:rPr>
        <w:t>С оглед на натрупания опит и на постигнатия техническия напредък изискванията по отношение на някои елементи или характеристики, попадащи в обхвата на правила №№ 12, 14, 16, 17, 43, 44, 46, 48, 49, 110, 121, 129 и 134 на ООН, както и на глобални технически правила №№ 6 и 15 на ООН, е необходимо да бъдат адаптирани.</w:t>
      </w:r>
    </w:p>
    <w:p>
      <w:pPr>
        <w:pStyle w:val="ManualConsidrant"/>
        <w:rPr>
          <w:noProof/>
        </w:rPr>
      </w:pPr>
      <w:r>
        <w:t>(5)</w:t>
      </w:r>
      <w:r>
        <w:tab/>
      </w:r>
      <w:r>
        <w:rPr>
          <w:noProof/>
        </w:rPr>
        <w:t>За да бъдат формулирани единни разпоредби относно международното одобрение на типа на цяло превозно средство, системите за спешни повиквания при пътнотранспортни произшествия и системите за закрепване на седалки за деца, е необходимо да бъде прието предложението за нови правила на ООН във връзка с тези въпроси.</w:t>
      </w:r>
    </w:p>
    <w:p>
      <w:pPr>
        <w:pStyle w:val="ManualConsidrant"/>
        <w:rPr>
          <w:noProof/>
        </w:rPr>
      </w:pPr>
      <w:r>
        <w:t>(6)</w:t>
      </w:r>
      <w:r>
        <w:tab/>
      </w:r>
      <w:r>
        <w:rPr>
          <w:noProof/>
        </w:rPr>
        <w:t>За да бъдат формулирани единни разпоредби относно безопасността на електрическите превозни средства, е необходимо да бъде прието предложението за глобално техническо правило (ГТП) на ООН.</w:t>
      </w:r>
    </w:p>
    <w:p>
      <w:pPr>
        <w:pStyle w:val="ManualConsidrant"/>
        <w:rPr>
          <w:noProof/>
        </w:rPr>
      </w:pPr>
      <w:r>
        <w:t>(7)</w:t>
      </w:r>
      <w:r>
        <w:tab/>
      </w:r>
      <w:r>
        <w:rPr>
          <w:noProof/>
        </w:rPr>
        <w:t>За да бъдат формулирани разпоредби и да бъде определена хармонизирана процедура за изпитване за измерване на емисиите в превозните средства, като при това се вземат предвид съществуващите стандарти, е необходимо да бъде прието предложението за нова обща резолюция (M.R.3) относно качеството на въздуха в превозните средства в рамките на Ревизираното споразумение от 1958 г. и Паралелното споразумение.</w:t>
      </w:r>
    </w:p>
    <w:p>
      <w:pPr>
        <w:pStyle w:val="ManualConsidrant"/>
        <w:rPr>
          <w:noProof/>
        </w:rPr>
      </w:pPr>
      <w:r>
        <w:t>(8)</w:t>
      </w:r>
      <w:r>
        <w:tab/>
      </w:r>
      <w:r>
        <w:rPr>
          <w:noProof/>
        </w:rPr>
        <w:t>За да се уточнят регулаторните процедури след Ревизия 3 на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w:t>
      </w:r>
      <w:r>
        <w:rPr>
          <w:rStyle w:val="FootnoteReference"/>
          <w:noProof/>
        </w:rPr>
        <w:footnoteReference w:id="4"/>
      </w:r>
      <w:r>
        <w:rPr>
          <w:noProof/>
        </w:rPr>
        <w:t xml:space="preserve">, да се рационализира бъдещата работа на спомагателните органи на Световния форум за хармонизация на правилата за превозните средства (WP.29), да се избегнат различия в разбирането и да се гарантира добра нормативна практика, е </w:t>
      </w:r>
      <w:r>
        <w:rPr>
          <w:noProof/>
        </w:rPr>
        <w:lastRenderedPageBreak/>
        <w:t xml:space="preserve">необходимо да бъдат заменени Общите насоки за регулаторните процедури на ООН и преходните разпоредби в правилата на ООН. </w:t>
      </w:r>
    </w:p>
    <w:p>
      <w:pPr>
        <w:pStyle w:val="ManualConsidrant"/>
        <w:rPr>
          <w:noProof/>
        </w:rPr>
      </w:pPr>
      <w:r>
        <w:t>(9)</w:t>
      </w:r>
      <w:r>
        <w:tab/>
      </w:r>
      <w:r>
        <w:rPr>
          <w:noProof/>
        </w:rPr>
        <w:t>За да се даде възможност на неправителствените организации, които нямат съвещателен статут в рамките на Икономическия и социален съвет на ООН, да участват в заседанията на Работна група 29 със съвещателен глас, е необходимо да се направят промени в нейния процедурен правилник.</w:t>
      </w:r>
    </w:p>
    <w:p>
      <w:pPr>
        <w:pStyle w:val="ManualConsidrant"/>
        <w:rPr>
          <w:noProof/>
        </w:rPr>
      </w:pPr>
      <w:r>
        <w:t>(10)</w:t>
      </w:r>
      <w:r>
        <w:tab/>
      </w:r>
      <w:r>
        <w:rPr>
          <w:noProof/>
        </w:rPr>
        <w:t>Целесъобразно е да се определи позицията, която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относно приемането на посочените предложения,</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Административния комитет по Ревизираното споразумение от 1958 г. и на Изпълнителния комитет по Паралелното споразумение по време на заседанието, което ще се проведе в периода 13—17 ноември 2017 г., е да се гласува в подкрепа на предложенията, изброени в приложението към настоящото решение.</w:t>
      </w:r>
    </w:p>
    <w:p>
      <w:pPr>
        <w:jc w:val="center"/>
        <w:rPr>
          <w:i/>
          <w:noProof/>
        </w:rPr>
      </w:pPr>
      <w:r>
        <w:rPr>
          <w:i/>
          <w:noProof/>
        </w:rPr>
        <w:t>Член 2</w:t>
      </w:r>
    </w:p>
    <w:p>
      <w:pPr>
        <w:rPr>
          <w:noProof/>
        </w:rPr>
      </w:pPr>
      <w:r>
        <w:rPr>
          <w:noProof/>
        </w:rPr>
        <w:t>Адресат на настоящото решение е Комисията.</w:t>
      </w:r>
    </w:p>
    <w:p>
      <w:pPr>
        <w:pStyle w:val="Fait"/>
        <w:rPr>
          <w:noProof/>
        </w:rPr>
      </w:pPr>
      <w:r>
        <w:rPr>
          <w:noProof/>
        </w:rPr>
        <w:t>Съставено в Брюксел на  година.</w:t>
      </w:r>
    </w:p>
    <w:p>
      <w:pPr>
        <w:pStyle w:val="Institutionquisigne"/>
        <w:spacing w:before="120"/>
        <w:rPr>
          <w:noProof/>
        </w:rPr>
      </w:pPr>
      <w:r>
        <w:rPr>
          <w:noProof/>
        </w:rPr>
        <w:tab/>
        <w:t>За Съвета</w:t>
      </w:r>
    </w:p>
    <w:p>
      <w:pPr>
        <w:pStyle w:val="Institutionquisigne"/>
        <w:spacing w:before="120"/>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97/836/ЕО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година“) (ОВ L 346, 17.12.1997 г., стр. 78).</w:t>
      </w:r>
    </w:p>
  </w:footnote>
  <w:footnote w:id="2">
    <w:p>
      <w:pPr>
        <w:pStyle w:val="FootnoteText"/>
      </w:pPr>
      <w:r>
        <w:rPr>
          <w:rStyle w:val="FootnoteReference"/>
        </w:rPr>
        <w:footnoteRef/>
      </w:r>
      <w:r>
        <w:tab/>
        <w:t>Решение 2000/125/ЕО на Съвета от 31 януари 2000 г. относно сключването на споразумение относно създаването на глобални технически регламенти за колесните пътни превозни средства, оборудване и части, които могат да бъдат монтирани и/или използвани на колесните пътни превозни средства („Паралелно споразумение“) (ОВ L 35, 10.2.2000 г., стр. 12).</w:t>
      </w:r>
    </w:p>
  </w:footnote>
  <w:footnote w:id="3">
    <w:p>
      <w:pPr>
        <w:pStyle w:val="FootnoteText"/>
      </w:pPr>
      <w:r>
        <w:rPr>
          <w:rStyle w:val="FootnoteReference"/>
        </w:rPr>
        <w:footnoteRef/>
      </w:r>
      <w:r>
        <w:tab/>
        <w:t>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 (Рамкова директива) (ОВ L 263, 9.10.2007 г., стр. 1).</w:t>
      </w:r>
    </w:p>
  </w:footnote>
  <w:footnote w:id="4">
    <w:p>
      <w:pPr>
        <w:pStyle w:val="FootnoteText"/>
      </w:pPr>
      <w:r>
        <w:rPr>
          <w:rStyle w:val="FootnoteReference"/>
        </w:rPr>
        <w:footnoteRef/>
      </w:r>
      <w:r>
        <w:tab/>
        <w:t>Одобрена от името на Съюза с Решение (ЕС) 2016/1790 на Съвета от 12 февруари 2016 г. (ОВ L 274, стр. 2, 11.10.2016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C240F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89298A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049E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3C89B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D640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C46A88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0A82540"/>
    <w:lvl w:ilvl="0">
      <w:start w:val="1"/>
      <w:numFmt w:val="decimal"/>
      <w:pStyle w:val="ListNumber"/>
      <w:lvlText w:val="%1."/>
      <w:lvlJc w:val="left"/>
      <w:pPr>
        <w:tabs>
          <w:tab w:val="num" w:pos="360"/>
        </w:tabs>
        <w:ind w:left="360" w:hanging="360"/>
      </w:pPr>
    </w:lvl>
  </w:abstractNum>
  <w:abstractNum w:abstractNumId="7">
    <w:nsid w:val="FFFFFF89"/>
    <w:multiLevelType w:val="singleLevel"/>
    <w:tmpl w:val="13C00B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8"/>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12 18:2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128C17E6E994F91B2C92B5520155682"/>
    <w:docVar w:name="LW_CROSSREFERENCE" w:val="&lt;UNUSED&gt;"/>
    <w:docVar w:name="LW_DocType" w:val="COM"/>
    <w:docVar w:name="LW_EMISSION" w:val="18.10.2017"/>
    <w:docVar w:name="LW_EMISSION_ISODATE" w:val="2017-10-1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62"/>
    <w:docVar w:name="LW_REF.II.NEW.CP_YEAR" w:val="2017"/>
    <w:docVar w:name="LW_REF.INST.NEW" w:val="COM"/>
    <w:docVar w:name="LW_REF.INST.NEW_ADOPTED" w:val="final"/>
    <w:docVar w:name="LW_REF.INST.NEW_TEXT" w:val="(2017) 602"/>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9?\u1098?\u1086?\u1090?\u1074?\u1077?\u1090?\u1085?\u1080?\u1090?\u1077? \u1082?\u1086?\u1084?\u1080?\u1090?\u1077?\u1090?\u1080? \u1085?\u1072? \u1048?\u1082?\u1086?\u1085?\u1086?\u1084?\u1080?\u1095?\u1077?\u1089?\u1082?\u1072?\u1090?\u1072? \u1082?\u1086?\u1084?\u1080?\u1089?\u1080?\u1103? \u1079?\u1072? \u1045?\u1074?\u1088?\u1086?\u1087?\u1072? \u1085?\u1072? \u1054?\u1088?\u1075?\u1072?\u1085?\u1080?\u1079?\u1072?\u1094?\u1080?\u1103?\u1090?\u1072? \u1085?\u1072? \u1086?\u1073?\u1077?\u1076?\u1080?\u1085?\u1077?\u1085?\u1080?\u1090?\u1077? \u1085?\u1072?\u1094?\u1080?\u1080? \u1087?\u1086? \u1086?\u1090?\u1085?\u1086?\u1096?\u1077?\u1085?\u1080?\u1077? \u1085?\u1072? \u1087?\u1088?\u1077?\u1076?\u1083?\u1086?\u1078?\u1077?\u1085?\u1080?\u1103?\u1090?\u1072? \u1079?\u1072? \u1080?\u1079?\u1084?\u1077?\u1085?\u1077?\u1085?\u1080?\u1103? \u1085?\u1072? \u1087?\u1088?\u1072?\u1074?\u1080?\u1083?\u1072? \u8470?\u8470? 12, 14, 16, 17, 43, 44, 46, 48, 49, 110, 121, 129 \u1080? 134 \u1085?\u1072? \u1054?\u1054?\u1053?, \u1085?\u1072? \u1075?\u1083?\u1086?\u1073?\u1072?\u1083?\u1085?\u1080? \u1090?\u1077?\u1093?\u1085?\u1080?\u1095?\u1077?\u1089?\u1082?\u1080? \u1087?\u1088?\u1072?\u1074?\u1080?\u1083?\u1072? \u8470?\u8470? 6 \u1080? 15 \u1085?\u1072? \u1054?\u1054?\u1053?, \u1085?\u1072? \u1087?\u1088?\u1086?\u1094?\u1077?\u1076?\u1091?\u1088?\u1085?\u1080?\u1103? \u1087?\u1088?\u1072?\u1074?\u1080?\u1083?\u1085?\u1080?\u1082? \u1085?\u1072? \u1056?\u1072?\u1073?\u1086?\u1090?\u1085?\u1072? \u1075?\u1088?\u1091?\u1087?\u1072? 29 \u1080? \u1085?\u1072? \u1054?\u1073?\u1097?\u1080?\u1090?\u1077? \u1085?\u1072?\u1089?\u1086?\u1082?\u1080? \u1079?\u1072? \u1088?\u1077?\u1075?\u1091?\u1083?\u1072?\u1090?\u1086?\u1088?\u1085?\u1080?\u1090?\u1077? \u1087?\u1088?\u1086?\u1094?\u1077?\u1076?\u1091?\u1088?\u1080? \u1085?\u1072? \u1054?\u1054?\u1053? \u1080? \u1087?\u1088?\u1077?\u1093?\u1086?\u1076?\u1085?\u1080?\u1090?\u1077? \u1088?\u1072?\u1079?\u1087?\u1086?\u1088?\u1077?\u1076?\u1073?\u1080? \u1074? \u1087?\u1088?\u1072?\u1074?\u1080?\u1083?\u1072?\u1090?\u1072? \u1085?\u1072? \u1054?\u1054?\u1053?, \u1082?\u1072?\u1082?\u1090?\u1086? \u1080? \u1087?\u1086? \u1086?\u1090?\u1085?\u1086?\u1096?\u1077?\u1085?\u1080?\u1077? \u1085?\u1072? \u1087?\u1088?\u1077?\u1076?\u1083?\u1086?\u1078?\u1077?\u1085?\u1080?\u1103?\u1090?\u1072? \u1079?\u1072? \u1090?\u1088?\u1080? \u1085?\u1086?\u1074?\u1080? \u1087?\u1088?\u1072?\u1074?\u1080?\u1083?\u1072? \u1085?\u1072? \u1054?\u1054?\u1053? \u1080? \u1077?\u1076?\u1085?\u1086? \u1085?\u1086?\u1074?\u1086? \u1075?\u1083?\u1086?\u1073?\u1072?\u1083?\u1085?\u1086? \u1090?\u1077?\u1093?\u1085?\u1080?\u1095?\u1077?\u1089?\u1082?\u1086? \u1087?\u1088?\u1072?\u1074?\u1080?\u1083?\u1086? \u1085?\u1072? \u1054?\u1054?\u1053? \u1080? \u1085?\u1072? \u1087?\u1088?\u1077?\u1076?\u1083?\u1086?\u1078?\u1077?\u1085?\u1080?\u1077?\u1090?\u1086? \u1079?\u1072? \u1085?\u1086?\u1074?\u1072? \u1086?\u1073?\u1097?\u1072? \u1088?\u1077?\u1079?\u1086?\u1083?\u1102?\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7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D2B06-43F4-4C62-86A1-2FB4AE760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2286</Words>
  <Characters>13150</Characters>
  <Application>Microsoft Office Word</Application>
  <DocSecurity>0</DocSecurity>
  <Lines>248</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2017-09-21T15:01:00Z</cp:lastPrinted>
  <dcterms:created xsi:type="dcterms:W3CDTF">2017-10-09T09:11:00Z</dcterms:created>
  <dcterms:modified xsi:type="dcterms:W3CDTF">2017-10-12T16:29:00Z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