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DA91CE776D5427881F9CBE070393BE3" style="width:450.75pt;height:480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ANNEXE</w:t>
      </w:r>
    </w:p>
    <w:p>
      <w:pPr>
        <w:rPr>
          <w:noProof/>
        </w:rPr>
      </w:pPr>
      <w:r>
        <w:rPr>
          <w:noProof/>
        </w:rPr>
        <w:t xml:space="preserve">Note: Tous les documents référencés dans le tableau ci-après sont publiquement disponibles à l’adresse suivante: </w:t>
      </w:r>
    </w:p>
    <w:p>
      <w:pPr>
        <w:rPr>
          <w:noProof/>
        </w:rPr>
      </w:pPr>
      <w:hyperlink r:id="rId16">
        <w:r>
          <w:rPr>
            <w:rStyle w:val="Hyperlink"/>
            <w:noProof/>
          </w:rPr>
          <w:t>http://www.unece.org/trans/main/wp29/wp29wgs/wp29gen/gen2017.html</w:t>
        </w:r>
      </w:hyperlink>
    </w:p>
    <w:p>
      <w:pPr>
        <w:rPr>
          <w:noProof/>
        </w:rPr>
      </w:pPr>
    </w:p>
    <w:p>
      <w:pPr>
        <w:rPr>
          <w:noProof/>
        </w:rPr>
      </w:pPr>
    </w:p>
    <w:tbl>
      <w:tblPr>
        <w:tblW w:w="8797" w:type="dxa"/>
        <w:tblInd w:w="93" w:type="dxa"/>
        <w:tblLook w:val="04A0" w:firstRow="1" w:lastRow="0" w:firstColumn="1" w:lastColumn="0" w:noHBand="0" w:noVBand="1"/>
      </w:tblPr>
      <w:tblGrid>
        <w:gridCol w:w="1309"/>
        <w:gridCol w:w="4766"/>
        <w:gridCol w:w="2722"/>
      </w:tblGrid>
      <w:tr>
        <w:trPr>
          <w:trHeight w:val="630"/>
        </w:trPr>
        <w:tc>
          <w:tcPr>
            <w:tcW w:w="1120" w:type="dxa"/>
            <w:tcBorders>
              <w:top w:val="single" w:sz="8" w:space="0" w:color="auto"/>
              <w:left w:val="single" w:sz="8" w:space="0" w:color="auto"/>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Règlement nº</w:t>
            </w:r>
          </w:p>
        </w:tc>
        <w:tc>
          <w:tcPr>
            <w:tcW w:w="4955"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Titre du point</w:t>
            </w:r>
          </w:p>
        </w:tc>
        <w:tc>
          <w:tcPr>
            <w:tcW w:w="2722"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Référence du document</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12</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5 à la série 04 d’amendements au règlement nº 12 de l’ONU (mécanisme de direction)</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ECE/TRANS/WP.29/2017/118</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14</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série 08 d’amendements au règlement nº 14 de l’ONU (ancrages de ceintures de sécurité)</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ECE/TRANS/WP.29/2017/119</w:t>
            </w:r>
          </w:p>
        </w:tc>
      </w:tr>
      <w:tr>
        <w:trPr>
          <w:trHeight w:val="705"/>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14</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série 08 d’amendements au règlement nº 14 de l’ONU (ancrages de ceintures de sécurité)</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ECE/TRANS/WP.29/2017/128</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16</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10 à la série 06 d’amendements et de complément 2 à la série 07 d’amendements au règlement nº 16 de l’ONU (ceintures de sécurité)</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ECE/TRANS/WP.29/2017/120</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17</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rectificatif 1 à la révision 5 du règlement nº 17 de l’ONU (résistance des sièges)</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ECE/TRANS/WP.29/2017/121</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17</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4 à la série 08 d’amendements au règlement nº 17 de l’ONU (résistance des sièges)</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ECE/TRANS/WP.29/2017/122</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43</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6 à la série 01 d’amendements au règlement nº 43 de l’ONU (vitrage de sécurité)</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ECE/TRANS/WP.29/2017/111</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43</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rectificatif 6 à la révision 3 du règlement nº 43 de l’ONU (vitrage de sécurité)</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ECE/TRANS/WP.29/2017/112</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43</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rectificatif 1 à la révision 4 du règlement nº 43 de l’ONU (vitrage de sécurité)</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ECE/TRANS/WP.29/2017/117</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44</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13 à la série 04 d’amendements au règlement nº 44 de l’ONU (systèmes de retenue pour enfant)</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ECE/TRANS/WP.29/2017/123</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46</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5 à la série 04 d’amendements au règlement nº 46 de l’ONU (dispositifs de vision indirecte)</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ECE/TRANS/WP.29/2017/113</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48</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 xml:space="preserve">Proposition de complément 10 à la série 06 d’amendements au règlement nº 48 de l’ONU (installation des dispositifs d’éclairage et de </w:t>
            </w:r>
            <w:r>
              <w:rPr>
                <w:rFonts w:ascii="Times" w:hAnsi="Times"/>
                <w:noProof/>
                <w:sz w:val="20"/>
              </w:rPr>
              <w:lastRenderedPageBreak/>
              <w:t>signalisation lumineuse)</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lastRenderedPageBreak/>
              <w:t>ECE/TRANS/WP.29/2017/110</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lastRenderedPageBreak/>
              <w:t>49</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9 à la série 05 d’amendements au règlement nº 49 de l’ONU (moteurs à allumage par compression et à allumage commandé fonctionnant au gaz naturel comprimé ou au gaz de pétrole liquéfié)</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ECE/TRANS/WP.29/2017/129</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49</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5 à la série 06 d’amendements au règlement nº 49 de l’ONU (moteurs à allumage par compression et à allumage commandé fonctionnant au gaz naturel comprimé ou au gaz de pétrole liquéfié)</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ECE/TRANS/WP.29/2017/130</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110</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7 à la série 01 d’amendements au règlement nº 110 de l’ONU (véhicules fonctionnant au gaz naturel comprimé ou au gaz de pétrole liquéfié)</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ECE/TRANS/WP.29/2017/114</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110</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1 à la série 02 d’amendements au règlement nº 110 de l’ONU (véhicules fonctionnant au gaz naturel comprimé ou au gaz de pétrole liquéfié)</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ECE/TRANS/WP.29/2017/115</w:t>
            </w:r>
          </w:p>
        </w:tc>
      </w:tr>
      <w:tr>
        <w:trPr>
          <w:trHeight w:val="585"/>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121</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2 à la série 01 d’amendements au règlement nº 121 de l’ONU (identification des commandes manuelles, des témoins et des indicateurs)</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ECE/TRANS/WP.29/2017/116</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129</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6 au règlement nº 129 de l’ONU (dispositifs améliorés de retenue pour enfants)</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ECE/TRANS/WP.29/2017/124</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129</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3 à la série 01 d’amendements au règlement nº 129 de l’ONU (dispositifs améliorés de retenue pour enfants)</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ECE/TRANS/WP.29/2017/125</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129</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2 à la série 02 d’amendements au règlement nº 129 de l’ONU (dispositifs améliorés de retenue pour enfants)</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ECE/TRANS/WP.29/2017/126</w:t>
            </w:r>
          </w:p>
        </w:tc>
      </w:tr>
      <w:tr>
        <w:trPr>
          <w:trHeight w:val="510"/>
        </w:trPr>
        <w:tc>
          <w:tcPr>
            <w:tcW w:w="1120"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134</w:t>
            </w:r>
          </w:p>
        </w:tc>
        <w:tc>
          <w:tcPr>
            <w:tcW w:w="4955"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3 au règlement nº 134 de l’ONU (véhicules à hydrogène et à pile à combustible (HFCV))</w:t>
            </w:r>
          </w:p>
        </w:tc>
        <w:tc>
          <w:tcPr>
            <w:tcW w:w="2722"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ECE/TRANS/WP.29/2017/127</w:t>
            </w:r>
          </w:p>
        </w:tc>
      </w:tr>
      <w:tr>
        <w:trPr>
          <w:trHeight w:val="510"/>
        </w:trPr>
        <w:tc>
          <w:tcPr>
            <w:tcW w:w="1120"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Nouveau règlement 0 de l’ONU</w:t>
            </w:r>
          </w:p>
        </w:tc>
        <w:tc>
          <w:tcPr>
            <w:tcW w:w="4955"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nouveau règlement nº 0 de l’ONU sur l’homologation de type internationale de l’ensemble du véhicule</w:t>
            </w:r>
          </w:p>
        </w:tc>
        <w:tc>
          <w:tcPr>
            <w:tcW w:w="2722"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ECE/TRANS/WP.29/2017/108</w:t>
            </w:r>
          </w:p>
        </w:tc>
      </w:tr>
      <w:tr>
        <w:trPr>
          <w:trHeight w:val="510"/>
        </w:trPr>
        <w:tc>
          <w:tcPr>
            <w:tcW w:w="1120"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Nouveau règlement de l’ONU</w:t>
            </w:r>
          </w:p>
        </w:tc>
        <w:tc>
          <w:tcPr>
            <w:tcW w:w="4955"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nouveau règlement nº XXX de l’ONU sur les systèmes d’appel d’urgence en cas d’accident (SAUA)</w:t>
            </w:r>
          </w:p>
        </w:tc>
        <w:tc>
          <w:tcPr>
            <w:tcW w:w="2722"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ECE/TRANS/WP.29/2017/132</w:t>
            </w:r>
          </w:p>
        </w:tc>
      </w:tr>
      <w:tr>
        <w:trPr>
          <w:trHeight w:val="510"/>
        </w:trPr>
        <w:tc>
          <w:tcPr>
            <w:tcW w:w="1120"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Nouveau règlement de l’ONU</w:t>
            </w:r>
          </w:p>
        </w:tc>
        <w:tc>
          <w:tcPr>
            <w:tcW w:w="4955"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nouveau règlement nº XXX de l’ONU sur les systèmes d’ancrage ISOFIX, les ancrages pour fixation supérieure ISOFIX et les places assises i-Size</w:t>
            </w:r>
          </w:p>
        </w:tc>
        <w:tc>
          <w:tcPr>
            <w:tcW w:w="2722"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ECE/TRANS/WP.29/2017/133</w:t>
            </w:r>
          </w:p>
        </w:tc>
      </w:tr>
    </w:tbl>
    <w:p>
      <w:pPr>
        <w:spacing w:before="0" w:after="200" w:line="276" w:lineRule="auto"/>
        <w:jc w:val="left"/>
        <w:rPr>
          <w:rFonts w:asciiTheme="minorHAnsi" w:hAnsiTheme="minorHAnsi" w:cstheme="minorBidi"/>
          <w:noProof/>
          <w:sz w:val="22"/>
        </w:rPr>
      </w:pPr>
    </w:p>
    <w:tbl>
      <w:tblPr>
        <w:tblW w:w="8690" w:type="dxa"/>
        <w:tblInd w:w="93" w:type="dxa"/>
        <w:tblLook w:val="04A0" w:firstRow="1" w:lastRow="0" w:firstColumn="1" w:lastColumn="0" w:noHBand="0" w:noVBand="1"/>
      </w:tblPr>
      <w:tblGrid>
        <w:gridCol w:w="1309"/>
        <w:gridCol w:w="4659"/>
        <w:gridCol w:w="2722"/>
      </w:tblGrid>
      <w:tr>
        <w:trPr>
          <w:trHeight w:val="465"/>
        </w:trPr>
        <w:tc>
          <w:tcPr>
            <w:tcW w:w="1291" w:type="dxa"/>
            <w:tcBorders>
              <w:top w:val="single" w:sz="8" w:space="0" w:color="auto"/>
              <w:left w:val="single" w:sz="8" w:space="0" w:color="auto"/>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Règlement technique mondial nº</w:t>
            </w:r>
          </w:p>
        </w:tc>
        <w:tc>
          <w:tcPr>
            <w:tcW w:w="4677"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Titre du point à l’ordre du jour</w:t>
            </w:r>
          </w:p>
        </w:tc>
        <w:tc>
          <w:tcPr>
            <w:tcW w:w="2722"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Référence du document</w:t>
            </w:r>
          </w:p>
        </w:tc>
      </w:tr>
      <w:tr>
        <w:trPr>
          <w:trHeight w:val="600"/>
        </w:trPr>
        <w:tc>
          <w:tcPr>
            <w:tcW w:w="1291" w:type="dxa"/>
            <w:tcBorders>
              <w:top w:val="nil"/>
              <w:left w:val="single" w:sz="4" w:space="0" w:color="auto"/>
              <w:bottom w:val="single" w:sz="4" w:space="0" w:color="auto"/>
              <w:right w:val="single" w:sz="4" w:space="0" w:color="auto"/>
            </w:tcBorders>
            <w:shd w:val="clear" w:color="auto" w:fill="auto"/>
            <w:hideMark/>
          </w:tcPr>
          <w:p>
            <w:pPr>
              <w:rPr>
                <w:noProof/>
                <w:sz w:val="20"/>
                <w:szCs w:val="20"/>
              </w:rPr>
            </w:pPr>
            <w:r>
              <w:rPr>
                <w:noProof/>
                <w:sz w:val="20"/>
              </w:rPr>
              <w:t>RTM de l’ONU (nouveau)</w:t>
            </w:r>
          </w:p>
        </w:tc>
        <w:tc>
          <w:tcPr>
            <w:tcW w:w="4677" w:type="dxa"/>
            <w:tcBorders>
              <w:top w:val="nil"/>
              <w:left w:val="nil"/>
              <w:bottom w:val="single" w:sz="4" w:space="0" w:color="auto"/>
              <w:right w:val="single" w:sz="4" w:space="0" w:color="auto"/>
            </w:tcBorders>
            <w:shd w:val="clear" w:color="auto" w:fill="auto"/>
            <w:hideMark/>
          </w:tcPr>
          <w:p>
            <w:pPr>
              <w:rPr>
                <w:noProof/>
                <w:sz w:val="20"/>
                <w:szCs w:val="20"/>
              </w:rPr>
            </w:pPr>
            <w:r>
              <w:rPr>
                <w:noProof/>
                <w:sz w:val="20"/>
              </w:rPr>
              <w:t>Proposition de nouveau RTM de l’ONU sur la sécurité des véhicules électriques (SVE)</w:t>
            </w:r>
          </w:p>
        </w:tc>
        <w:tc>
          <w:tcPr>
            <w:tcW w:w="2722" w:type="dxa"/>
            <w:tcBorders>
              <w:top w:val="nil"/>
              <w:left w:val="nil"/>
              <w:bottom w:val="single" w:sz="4" w:space="0" w:color="auto"/>
              <w:right w:val="single" w:sz="4" w:space="0" w:color="auto"/>
            </w:tcBorders>
            <w:shd w:val="clear" w:color="auto" w:fill="auto"/>
            <w:hideMark/>
          </w:tcPr>
          <w:p>
            <w:pPr>
              <w:rPr>
                <w:noProof/>
                <w:sz w:val="20"/>
                <w:szCs w:val="20"/>
              </w:rPr>
            </w:pPr>
            <w:r>
              <w:rPr>
                <w:noProof/>
                <w:sz w:val="20"/>
              </w:rPr>
              <w:t>ECE/TRANS/WP.29/2017/138</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rPr>
                <w:noProof/>
                <w:sz w:val="20"/>
                <w:szCs w:val="20"/>
              </w:rPr>
            </w:pPr>
            <w:r>
              <w:rPr>
                <w:noProof/>
                <w:sz w:val="20"/>
              </w:rPr>
              <w:t>RTM nº 15 de l’ONU</w:t>
            </w:r>
          </w:p>
        </w:tc>
        <w:tc>
          <w:tcPr>
            <w:tcW w:w="4677" w:type="dxa"/>
            <w:tcBorders>
              <w:top w:val="nil"/>
              <w:left w:val="nil"/>
              <w:bottom w:val="single" w:sz="4" w:space="0" w:color="auto"/>
              <w:right w:val="single" w:sz="4" w:space="0" w:color="auto"/>
            </w:tcBorders>
            <w:shd w:val="clear" w:color="auto" w:fill="auto"/>
            <w:hideMark/>
          </w:tcPr>
          <w:p>
            <w:pPr>
              <w:rPr>
                <w:noProof/>
                <w:sz w:val="20"/>
                <w:szCs w:val="20"/>
              </w:rPr>
            </w:pPr>
            <w:r>
              <w:rPr>
                <w:noProof/>
                <w:sz w:val="20"/>
              </w:rPr>
              <w:t>Proposition d’amendement 3 au RTM nº 15 de l’ONU (procédure d’essai harmonisée au niveau mondial pour les véhicules légers - WLTP)</w:t>
            </w:r>
          </w:p>
        </w:tc>
        <w:tc>
          <w:tcPr>
            <w:tcW w:w="2722" w:type="dxa"/>
            <w:tcBorders>
              <w:top w:val="nil"/>
              <w:left w:val="nil"/>
              <w:bottom w:val="single" w:sz="4" w:space="0" w:color="auto"/>
              <w:right w:val="single" w:sz="4" w:space="0" w:color="auto"/>
            </w:tcBorders>
            <w:shd w:val="clear" w:color="auto" w:fill="auto"/>
            <w:hideMark/>
          </w:tcPr>
          <w:p>
            <w:pPr>
              <w:rPr>
                <w:noProof/>
                <w:sz w:val="20"/>
                <w:szCs w:val="20"/>
              </w:rPr>
            </w:pPr>
            <w:r>
              <w:rPr>
                <w:noProof/>
                <w:sz w:val="20"/>
              </w:rPr>
              <w:t>ECE/TRANS/WP.29/2017/140</w:t>
            </w: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rPr>
                <w:noProof/>
                <w:sz w:val="20"/>
                <w:szCs w:val="20"/>
              </w:rPr>
            </w:pPr>
            <w:r>
              <w:rPr>
                <w:noProof/>
                <w:sz w:val="20"/>
              </w:rPr>
              <w:t>RTM nº 6 de l’ONU</w:t>
            </w:r>
          </w:p>
        </w:tc>
        <w:tc>
          <w:tcPr>
            <w:tcW w:w="4677" w:type="dxa"/>
            <w:tcBorders>
              <w:top w:val="nil"/>
              <w:left w:val="nil"/>
              <w:bottom w:val="single" w:sz="4" w:space="0" w:color="auto"/>
              <w:right w:val="single" w:sz="4" w:space="0" w:color="auto"/>
            </w:tcBorders>
            <w:shd w:val="clear" w:color="auto" w:fill="auto"/>
            <w:hideMark/>
          </w:tcPr>
          <w:p>
            <w:pPr>
              <w:rPr>
                <w:noProof/>
                <w:sz w:val="20"/>
                <w:szCs w:val="20"/>
              </w:rPr>
            </w:pPr>
            <w:r>
              <w:rPr>
                <w:noProof/>
                <w:sz w:val="20"/>
              </w:rPr>
              <w:t>Proposition de rectificatif 2 au RTM nº 6 de l’ONU (vitrage de sécurité)</w:t>
            </w:r>
          </w:p>
        </w:tc>
        <w:tc>
          <w:tcPr>
            <w:tcW w:w="2722" w:type="dxa"/>
            <w:tcBorders>
              <w:top w:val="nil"/>
              <w:left w:val="nil"/>
              <w:bottom w:val="single" w:sz="4" w:space="0" w:color="auto"/>
              <w:right w:val="single" w:sz="4" w:space="0" w:color="auto"/>
            </w:tcBorders>
            <w:shd w:val="clear" w:color="auto" w:fill="auto"/>
            <w:hideMark/>
          </w:tcPr>
          <w:p>
            <w:pPr>
              <w:rPr>
                <w:noProof/>
                <w:sz w:val="20"/>
                <w:szCs w:val="20"/>
              </w:rPr>
            </w:pPr>
            <w:r>
              <w:rPr>
                <w:noProof/>
                <w:sz w:val="20"/>
              </w:rPr>
              <w:t>ECE/TRANS/WP.29/2017/142</w:t>
            </w:r>
          </w:p>
        </w:tc>
      </w:tr>
    </w:tbl>
    <w:p>
      <w:pPr>
        <w:spacing w:before="0" w:after="200" w:line="276" w:lineRule="auto"/>
        <w:jc w:val="left"/>
        <w:rPr>
          <w:rFonts w:asciiTheme="minorHAnsi" w:hAnsiTheme="minorHAnsi" w:cstheme="minorBidi"/>
          <w:noProof/>
          <w:sz w:val="22"/>
        </w:rPr>
      </w:pPr>
    </w:p>
    <w:tbl>
      <w:tblPr>
        <w:tblW w:w="8690" w:type="dxa"/>
        <w:tblInd w:w="93" w:type="dxa"/>
        <w:tblLook w:val="04A0" w:firstRow="1" w:lastRow="0" w:firstColumn="1" w:lastColumn="0" w:noHBand="0" w:noVBand="1"/>
      </w:tblPr>
      <w:tblGrid>
        <w:gridCol w:w="1291"/>
        <w:gridCol w:w="4677"/>
        <w:gridCol w:w="2722"/>
      </w:tblGrid>
      <w:tr>
        <w:trPr>
          <w:trHeight w:val="465"/>
        </w:trPr>
        <w:tc>
          <w:tcPr>
            <w:tcW w:w="1291" w:type="dxa"/>
            <w:tcBorders>
              <w:top w:val="single" w:sz="8" w:space="0" w:color="auto"/>
              <w:left w:val="single" w:sz="8" w:space="0" w:color="auto"/>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Objet</w:t>
            </w:r>
          </w:p>
        </w:tc>
        <w:tc>
          <w:tcPr>
            <w:tcW w:w="4677"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Titre du point à l’ordre du jour</w:t>
            </w:r>
          </w:p>
        </w:tc>
        <w:tc>
          <w:tcPr>
            <w:tcW w:w="2722"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Référence du document</w:t>
            </w:r>
          </w:p>
        </w:tc>
      </w:tr>
      <w:tr>
        <w:trPr>
          <w:trHeight w:val="600"/>
        </w:trPr>
        <w:tc>
          <w:tcPr>
            <w:tcW w:w="1291" w:type="dxa"/>
            <w:tcBorders>
              <w:top w:val="nil"/>
              <w:left w:val="single" w:sz="4" w:space="0" w:color="auto"/>
              <w:bottom w:val="single" w:sz="4" w:space="0" w:color="auto"/>
              <w:right w:val="single" w:sz="4" w:space="0" w:color="auto"/>
            </w:tcBorders>
            <w:shd w:val="clear" w:color="auto" w:fill="auto"/>
            <w:hideMark/>
          </w:tcPr>
          <w:p>
            <w:pPr>
              <w:rPr>
                <w:rFonts w:ascii="Times" w:hAnsi="Times" w:cs="Times"/>
                <w:noProof/>
                <w:sz w:val="20"/>
                <w:szCs w:val="20"/>
              </w:rPr>
            </w:pPr>
            <w:r>
              <w:rPr>
                <w:rFonts w:ascii="Times" w:hAnsi="Times"/>
                <w:noProof/>
                <w:sz w:val="20"/>
              </w:rPr>
              <w:t>R.M.3 de l’ONU</w:t>
            </w:r>
          </w:p>
        </w:tc>
        <w:tc>
          <w:tcPr>
            <w:tcW w:w="4677" w:type="dxa"/>
            <w:tcBorders>
              <w:top w:val="nil"/>
              <w:left w:val="nil"/>
              <w:bottom w:val="single" w:sz="4" w:space="0" w:color="auto"/>
              <w:right w:val="single" w:sz="4" w:space="0" w:color="auto"/>
            </w:tcBorders>
            <w:shd w:val="clear" w:color="auto" w:fill="auto"/>
            <w:hideMark/>
          </w:tcPr>
          <w:p>
            <w:pPr>
              <w:rPr>
                <w:rFonts w:ascii="Times" w:hAnsi="Times" w:cs="Times"/>
                <w:noProof/>
                <w:sz w:val="20"/>
                <w:szCs w:val="20"/>
              </w:rPr>
            </w:pPr>
            <w:r>
              <w:rPr>
                <w:rFonts w:ascii="Times" w:hAnsi="Times"/>
                <w:noProof/>
                <w:sz w:val="20"/>
              </w:rPr>
              <w:t>Proposition de nouvelle résolution mutuelle (R.M.3) des accords de 1958 et de 1998 concernant la qualité de l’air à l’intérieur des véhicules (QAIV)</w:t>
            </w:r>
          </w:p>
        </w:tc>
        <w:tc>
          <w:tcPr>
            <w:tcW w:w="2722" w:type="dxa"/>
            <w:tcBorders>
              <w:top w:val="nil"/>
              <w:left w:val="nil"/>
              <w:bottom w:val="single" w:sz="4" w:space="0" w:color="auto"/>
              <w:right w:val="single" w:sz="4" w:space="0" w:color="auto"/>
            </w:tcBorders>
            <w:shd w:val="clear" w:color="auto" w:fill="auto"/>
            <w:hideMark/>
          </w:tcPr>
          <w:p>
            <w:pPr>
              <w:rPr>
                <w:rFonts w:ascii="Times" w:hAnsi="Times" w:cs="Times"/>
                <w:noProof/>
                <w:sz w:val="20"/>
                <w:szCs w:val="20"/>
              </w:rPr>
            </w:pPr>
            <w:r>
              <w:rPr>
                <w:rFonts w:ascii="Times" w:hAnsi="Times"/>
                <w:noProof/>
                <w:sz w:val="20"/>
              </w:rPr>
              <w:t>ECE/TRANS/WP.29/2017/136</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rPr>
                <w:rFonts w:ascii="Times" w:hAnsi="Times" w:cs="Times"/>
                <w:noProof/>
                <w:sz w:val="20"/>
                <w:szCs w:val="20"/>
              </w:rPr>
            </w:pPr>
            <w:r>
              <w:rPr>
                <w:rFonts w:ascii="Times" w:hAnsi="Times"/>
                <w:noProof/>
                <w:sz w:val="20"/>
              </w:rPr>
              <w:t>Directives générales de l’ONU</w:t>
            </w:r>
          </w:p>
        </w:tc>
        <w:tc>
          <w:tcPr>
            <w:tcW w:w="4677" w:type="dxa"/>
            <w:tcBorders>
              <w:top w:val="nil"/>
              <w:left w:val="nil"/>
              <w:bottom w:val="single" w:sz="4" w:space="0" w:color="auto"/>
              <w:right w:val="single" w:sz="4" w:space="0" w:color="auto"/>
            </w:tcBorders>
            <w:shd w:val="clear" w:color="auto" w:fill="auto"/>
            <w:hideMark/>
          </w:tcPr>
          <w:p>
            <w:pPr>
              <w:rPr>
                <w:rFonts w:ascii="Times" w:hAnsi="Times" w:cs="Times"/>
                <w:noProof/>
                <w:sz w:val="20"/>
                <w:szCs w:val="20"/>
              </w:rPr>
            </w:pPr>
            <w:r>
              <w:rPr>
                <w:rFonts w:ascii="Times" w:hAnsi="Times"/>
                <w:noProof/>
                <w:sz w:val="20"/>
              </w:rPr>
              <w:t>Projet de directives générales concernant l’élaboration des règlements de l’ONU et les dispositions transitoires qu’ils contiennent</w:t>
            </w:r>
          </w:p>
        </w:tc>
        <w:tc>
          <w:tcPr>
            <w:tcW w:w="2722" w:type="dxa"/>
            <w:tcBorders>
              <w:top w:val="nil"/>
              <w:left w:val="nil"/>
              <w:bottom w:val="single" w:sz="4" w:space="0" w:color="auto"/>
              <w:right w:val="single" w:sz="4" w:space="0" w:color="auto"/>
            </w:tcBorders>
            <w:shd w:val="clear" w:color="auto" w:fill="auto"/>
            <w:hideMark/>
          </w:tcPr>
          <w:p>
            <w:pPr>
              <w:rPr>
                <w:rFonts w:ascii="Times" w:hAnsi="Times" w:cs="Times"/>
                <w:noProof/>
                <w:sz w:val="20"/>
                <w:szCs w:val="20"/>
                <w:lang w:val="en-GB"/>
              </w:rPr>
            </w:pPr>
            <w:r>
              <w:rPr>
                <w:rFonts w:ascii="Times" w:hAnsi="Times"/>
                <w:noProof/>
                <w:sz w:val="20"/>
                <w:lang w:val="en-GB"/>
              </w:rPr>
              <w:t>ECE/TRANS/WP.29/2017/107 &amp; /107/Corr.1 &amp; /107/Add.1</w:t>
            </w: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rPr>
                <w:rFonts w:ascii="Times" w:hAnsi="Times" w:cs="Times"/>
                <w:noProof/>
                <w:sz w:val="20"/>
                <w:szCs w:val="20"/>
              </w:rPr>
            </w:pPr>
            <w:r>
              <w:rPr>
                <w:rFonts w:ascii="Times" w:hAnsi="Times"/>
                <w:noProof/>
                <w:sz w:val="20"/>
              </w:rPr>
              <w:t>Règlement intérieur du WP.29</w:t>
            </w:r>
          </w:p>
        </w:tc>
        <w:tc>
          <w:tcPr>
            <w:tcW w:w="4677" w:type="dxa"/>
            <w:tcBorders>
              <w:top w:val="nil"/>
              <w:left w:val="nil"/>
              <w:bottom w:val="single" w:sz="4" w:space="0" w:color="auto"/>
              <w:right w:val="single" w:sz="4" w:space="0" w:color="auto"/>
            </w:tcBorders>
            <w:shd w:val="clear" w:color="auto" w:fill="auto"/>
            <w:hideMark/>
          </w:tcPr>
          <w:p>
            <w:pPr>
              <w:rPr>
                <w:rFonts w:ascii="Times" w:hAnsi="Times" w:cs="Times"/>
                <w:noProof/>
                <w:sz w:val="20"/>
                <w:szCs w:val="20"/>
              </w:rPr>
            </w:pPr>
            <w:r>
              <w:rPr>
                <w:rFonts w:ascii="Times" w:hAnsi="Times"/>
                <w:noProof/>
                <w:sz w:val="20"/>
              </w:rPr>
              <w:t>Proposition d’amendements au règlement intérieur du WP.29</w:t>
            </w:r>
          </w:p>
        </w:tc>
        <w:tc>
          <w:tcPr>
            <w:tcW w:w="2722" w:type="dxa"/>
            <w:tcBorders>
              <w:top w:val="nil"/>
              <w:left w:val="nil"/>
              <w:bottom w:val="single" w:sz="4" w:space="0" w:color="auto"/>
              <w:right w:val="single" w:sz="4" w:space="0" w:color="auto"/>
            </w:tcBorders>
            <w:shd w:val="clear" w:color="auto" w:fill="auto"/>
            <w:hideMark/>
          </w:tcPr>
          <w:p>
            <w:pPr>
              <w:rPr>
                <w:rFonts w:ascii="Times" w:hAnsi="Times" w:cs="Times"/>
                <w:noProof/>
                <w:sz w:val="20"/>
                <w:szCs w:val="20"/>
              </w:rPr>
            </w:pPr>
            <w:r>
              <w:rPr>
                <w:rFonts w:ascii="Times" w:hAnsi="Times"/>
                <w:noProof/>
                <w:sz w:val="20"/>
              </w:rPr>
              <w:t>ECE/TRANS/WP.29/2017/137</w:t>
            </w:r>
          </w:p>
        </w:tc>
      </w:tr>
    </w:tbl>
    <w:p>
      <w:pPr>
        <w:rPr>
          <w:noProof/>
        </w:rPr>
      </w:pPr>
    </w:p>
    <w:p>
      <w:pPr>
        <w:rPr>
          <w:noProof/>
        </w:rPr>
      </w:pPr>
    </w:p>
    <w:sectPr>
      <w:footerReference w:type="defaul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2942D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6C83C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BD4DD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2B0373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94DC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6168A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696E"/>
    <w:lvl w:ilvl="0">
      <w:start w:val="1"/>
      <w:numFmt w:val="decimal"/>
      <w:pStyle w:val="ListNumber"/>
      <w:lvlText w:val="%1."/>
      <w:lvlJc w:val="left"/>
      <w:pPr>
        <w:tabs>
          <w:tab w:val="num" w:pos="360"/>
        </w:tabs>
        <w:ind w:left="360" w:hanging="360"/>
      </w:pPr>
    </w:lvl>
  </w:abstractNum>
  <w:abstractNum w:abstractNumId="7">
    <w:nsid w:val="FFFFFF89"/>
    <w:multiLevelType w:val="singleLevel"/>
    <w:tmpl w:val="240C62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2 18:29: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3DA91CE776D5427881F9CBE070393BE3"/>
    <w:docVar w:name="LW_CROSSREFERENCE" w:val="&lt;UNUSED&gt;"/>
    <w:docVar w:name="LW_DocType" w:val="ANNEX"/>
    <w:docVar w:name="LW_EMISSION" w:val="18.10.2017"/>
    <w:docVar w:name="LW_EMISSION_ISODATE" w:val="2017-10-18"/>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établissant la position à adopter au nom de l\u8217?Union européenne, au sein des comités compétents de la Commission économique pour l\u8217?Europe des Nations unies, sur les propositions d\u8217?amendements aux règlements nos 12, 14, 16, 17, 43, 44, 46, 48, 49, 110, 121, 129 et 134 de l\u8217?ONU, aux règlements techniques mondiaux nos 6 et 15 de l\u8217?ONU, au règlement intérieur du WP.29 et aux directives générales concernant l\u8217?élaboration des règlements de l\u8217?ONU et les dispositions transitoires qu\u8217?ils contiennent, ainsi que sur les propositions de trois nouveaux règlements de l\u8217?ONU, d\u8217?un nouveau règlement technique mondial de l\u8217?ONU et de nouvelle résolution mutuelle_x000b_"/>
    <w:docVar w:name="LW_OBJETACTEPRINCIPAL.CP" w:val="établissant la position à adopter au nom de l\u8217?Union européenne, au sein des comités compétents de la Commission économique pour l\u8217?Europe des Nations unies, sur les propositions d\u8217?amendements aux règlements nos 12, 14, 16, 17, 43, 44, 46, 48, 49, 110, 121, 129 et 134 de l\u8217?ONU, aux règlements techniques mondiaux nos 6 et 15 de l\u8217?ONU, au règlement intérieur du WP.29 et aux directives générales concernant l\u8217?élaboration des règlements de l\u8217?ONU et les dispositions transitoires qu\u8217?ils contiennent, ainsi que sur les propositions de trois nouveaux règlements de l\u8217?ONU, d\u8217?un nouveau règlement technique mondial de l\u8217?ONU et de nouvelle résolution mutuelle_x000b_"/>
    <w:docVar w:name="LW_PART_NBR" w:val="1"/>
    <w:docVar w:name="LW_PART_NBR_TOTAL" w:val="1"/>
    <w:docVar w:name="LW_REF.INST.NEW" w:val="COM"/>
    <w:docVar w:name="LW_REF.INST.NEW_ADOPTED" w:val="final"/>
    <w:docVar w:name="LW_REF.INST.NEW_TEXT" w:val="(2017) 602"/>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7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unece.org/trans/main/wp29/wp29wgs/wp29gen/gen2017.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B6DC0-C927-41BC-B359-598D08A7B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Pages>
  <Words>763</Words>
  <Characters>4580</Characters>
  <Application>Microsoft Office Word</Application>
  <DocSecurity>0</DocSecurity>
  <Lines>199</Lines>
  <Paragraphs>121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BRASSART Odile (GROW)</dc:creator>
  <cp:lastModifiedBy>DIGIT/A3</cp:lastModifiedBy>
  <cp:revision>7</cp:revision>
  <cp:lastPrinted>2017-09-13T12:16:00Z</cp:lastPrinted>
  <dcterms:created xsi:type="dcterms:W3CDTF">2017-10-09T14:23:00Z</dcterms:created>
  <dcterms:modified xsi:type="dcterms:W3CDTF">2017-10-12T16:29:00Z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