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3CB22FAB2714FF3AD0631C265D7F4C6" style="width:450.75pt;height:43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rPr>
      </w:pPr>
      <w:r>
        <w:rPr>
          <w:noProof/>
        </w:rPr>
        <w:t>At international level, the United Nations Economic Commission for Europe (UNECE) develops harmonised requirements intended to remove technical barriers to the trade in motor vehicles between the Contracting Parties to the Revised 1958 Agreement and to ensure that such vehicles offer a high level of safety and environmental protection.</w:t>
      </w:r>
    </w:p>
    <w:p>
      <w:pPr>
        <w:rPr>
          <w:noProof/>
        </w:rPr>
      </w:pPr>
      <w:r>
        <w:rPr>
          <w:noProof/>
        </w:rPr>
        <w:t>In accordance with Council Decision 97/836/EC of 27 November 1997,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in accordance with Council Decision 2000/125/EC of 31 January 2000 concerning the conclusion of the Agreement concerning the establishing of Global Technical Regulations for wheeled vehicles, equipment and parts which can be fitted and/or be used on wheeled vehicles ("Parallel Agreement"), the Union acceded to the Parallel Agreement.</w:t>
      </w:r>
    </w:p>
    <w:p>
      <w:pPr>
        <w:rPr>
          <w:noProof/>
        </w:rPr>
      </w:pPr>
      <w:r>
        <w:rPr>
          <w:noProof/>
        </w:rPr>
        <w:t>The meetings of UNECE WP.29, the World Forum for Harmonisation of Vehicle Regulations, are held three times in March, June and November of each calendar year. In each meeting session new UN Regulations, new UN Global Technical Regulations (UN GTRs) and/or amendments to existing UN Regulations or UN Global Technical Regulations (UN GTRs) are adopted in order to allow for technical progress. Prior to each WP.29 meeting these amendments are adopted by one of the six working groups (GRs) active under WP.29.</w:t>
      </w:r>
    </w:p>
    <w:p>
      <w:pPr>
        <w:rPr>
          <w:noProof/>
        </w:rPr>
      </w:pPr>
      <w:r>
        <w:rPr>
          <w:noProof/>
        </w:rPr>
        <w:t>Subsequently, in a WP.29 meeting the final vote for adoption of the amendments, supplements and corrigenda takes place, provided the quorum is reached and there is a qualified majority among contracting parties. The EU is a contracting party to two Agreements (1958 and 1998 Agreements) under WP.29. A Council Decision, referred to as "mega decision", containing the list of Regulations, amendments, supplements and corrigenda, is prepared each time and authorises the Commission to vote on behalf of the Union in each WP.29 meeting.</w:t>
      </w:r>
    </w:p>
    <w:p>
      <w:pPr>
        <w:rPr>
          <w:noProof/>
        </w:rPr>
      </w:pPr>
      <w:r>
        <w:rPr>
          <w:noProof/>
        </w:rPr>
        <w:t>This Council Decision defines the Union's position in the voting of the Regulations, amendments, supplements and corrigenda submitted for vote in the November 2017 WP.29 meeting that will take place from 13 to 17 November 2017.</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rPr>
          <w:noProof/>
        </w:rPr>
      </w:pPr>
      <w:r>
        <w:rPr>
          <w:noProof/>
        </w:rPr>
        <w:t>This proposal complements and is fully in line with the Union's internal market policy as regards the automotive industry.</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has been taken with Directive 2007/46/EC, which has 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UN Regulations in the EU type-approval system, either as requirements for type-approval or as alternatives to Union legislation. Since the adoption of that Directive, UN Regulations have increasingly been incorporated into Union legislation in the framework of the EU type-approval.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rPr>
          <w:noProof/>
        </w:rPr>
      </w:pPr>
      <w:r>
        <w:rPr>
          <w:noProof/>
        </w:rPr>
        <w:t>The WP.29 system is linked to the Union policy on competiveness, on which this initiative has a positive impact. This proposal is also consistent with Union transport and energy policies, which are duly considered in the process for the drafting and adoption of the UN Regulations falling under the 1958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Arial Unicode MS"/>
          <w:noProof/>
        </w:rPr>
      </w:pPr>
      <w:r>
        <w:rPr>
          <w:noProof/>
        </w:rPr>
        <w:t>The legal basis for this proposal is Article 114, in conjunction with Article 218(9)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rPr>
          <w:noProof/>
        </w:rPr>
      </w:pPr>
      <w:r>
        <w:rPr>
          <w:noProof/>
        </w:rPr>
        <w:t>The vote in favour of international instruments like proposals for UN Regulations, amendments to UN Regulations and draft Global Technical Regulations and their incorporation into the Union system for the type-approval of motor vehicles can only be done by the Union. This does not only prevent fragmentation of the internal market, but also ensures equal environmental and safety standards across the Union. It also offers advantages of economies of scale: products can be made for the entire Union market and even the international market, instead of being customised to obtain national type-approval for every single Member State.</w:t>
      </w:r>
    </w:p>
    <w:p>
      <w:pPr>
        <w:rPr>
          <w:noProof/>
        </w:rPr>
      </w:pPr>
      <w:r>
        <w:rPr>
          <w:noProof/>
        </w:rPr>
        <w:t>This proposal therefore complies with the subsidiarity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This Council Decision authorises the Commission to vote on behalf of Union and is the proportionate instrument in accordance with Article 5(1) of Council Decision 97/836/EC in order to define a unified EU position at the UNECE with respect to the vote on the working documents proposed on the agenda of the WP.29 meeting. Therefore, this proposal complies with the proportionality principle as it does not go beyond what is necessary in order to achieve the objectives of ensuring the proper functioning of the internal market, while at the same time providing for a high level of public safety and protection.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The use of a Council Decision is required by Article 218(9) TFEU in order to establish the positions to be adopted on the Union’s behalf in a body set up by an international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noProof/>
        </w:rPr>
      </w:pPr>
      <w:r>
        <w:rPr>
          <w:noProof/>
        </w:rPr>
        <w:t>External expertise is not relevant in the case of this proposal. It has however been reviewed by the Technical Committee on Motor Vehicles.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This proposal cannot be the subject of an impact assessment as it is not of a legislative nature and no alternative policy options are available or possible.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In terms of administrative burden, the initiative does not have repercussions, as the amendment references annexed to the mega decision will not introduce new reporting or other administrative obligations for enterprises, including SMEs. On the contrary, reduction of administrative burden is targeted as the application of world-harmonised requirements allow manufacturers to present approval documentation of systems and components not only in the EU but also on the export markets from Contracting Parties to the 1958 Agreement outside the EU.</w:t>
      </w:r>
    </w:p>
    <w:p>
      <w:pPr>
        <w:rPr>
          <w:noProof/>
        </w:rPr>
      </w:pPr>
      <w:r>
        <w:rPr>
          <w:noProof/>
        </w:rPr>
        <w:t>The proposal has a very positive impact on automotive EU competitiveness and international trade. The acceptance of internationally harmonised vehicle regulations by the EU’s trading partners is recognised as the best way to remove non-tariff barriers to trade and to open or widen market access for EU automotive enterprises.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has no consequences for the protection of fundamental rights.</w:t>
      </w:r>
    </w:p>
    <w:p>
      <w:pPr>
        <w:pStyle w:val="ManualHeading1"/>
        <w:rPr>
          <w:noProof/>
        </w:rPr>
      </w:pPr>
      <w:r>
        <w:rPr>
          <w:noProof/>
        </w:rPr>
        <w:t>4.</w:t>
      </w:r>
      <w:r>
        <w:rPr>
          <w:noProof/>
        </w:rPr>
        <w:tab/>
        <w:t>BUDGETARY IMPLICATIONS</w:t>
      </w:r>
    </w:p>
    <w:p>
      <w:pPr>
        <w:rPr>
          <w:noProof/>
        </w:rPr>
      </w:pPr>
      <w:r>
        <w:rPr>
          <w:noProof/>
        </w:rPr>
        <w:t>This initiative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 xml:space="preserve">The proposal defines the Union's position in the voting of </w:t>
      </w:r>
    </w:p>
    <w:p>
      <w:pPr>
        <w:pStyle w:val="Tiret0"/>
        <w:numPr>
          <w:ilvl w:val="0"/>
          <w:numId w:val="2"/>
        </w:numPr>
        <w:rPr>
          <w:noProof/>
        </w:rPr>
      </w:pPr>
      <w:r>
        <w:rPr>
          <w:noProof/>
        </w:rPr>
        <w:t xml:space="preserve">the proposals for amendments to UN Regulations Nos. 12, 14, 16, 17, 43, 44, 46, 48, 49, 110, 121, 129 and 134; </w:t>
      </w:r>
    </w:p>
    <w:p>
      <w:pPr>
        <w:pStyle w:val="Tiret0"/>
        <w:numPr>
          <w:ilvl w:val="0"/>
          <w:numId w:val="2"/>
        </w:numPr>
        <w:rPr>
          <w:noProof/>
        </w:rPr>
      </w:pPr>
      <w:r>
        <w:rPr>
          <w:noProof/>
        </w:rPr>
        <w:t xml:space="preserve">the proposals for amendments to UN Global Technical Regulations Nos. 6 and 15; </w:t>
      </w:r>
    </w:p>
    <w:p>
      <w:pPr>
        <w:pStyle w:val="Tiret0"/>
        <w:rPr>
          <w:noProof/>
        </w:rPr>
      </w:pPr>
      <w:r>
        <w:rPr>
          <w:noProof/>
        </w:rPr>
        <w:t>the proposals for three new UN Regulations on International Whole Vehicle Type Approval, Accident Emergency Call Systems (AECS) and anchorage systems of child seats, respectively;</w:t>
      </w:r>
    </w:p>
    <w:p>
      <w:pPr>
        <w:pStyle w:val="Tiret0"/>
        <w:rPr>
          <w:noProof/>
        </w:rPr>
      </w:pPr>
      <w:r>
        <w:rPr>
          <w:noProof/>
        </w:rPr>
        <w:t>a proposal for a new UN Global Technical Regulation on Electric Vehicle Safety (EVS);</w:t>
      </w:r>
    </w:p>
    <w:p>
      <w:pPr>
        <w:pStyle w:val="Tiret0"/>
        <w:rPr>
          <w:noProof/>
        </w:rPr>
      </w:pPr>
      <w:r>
        <w:rPr>
          <w:noProof/>
        </w:rPr>
        <w:t xml:space="preserve">a proposal for a new Mutual Resolution (M.R.3) of the 1958 and the 1998 Agreements concerning Vehicle Interior Air Quality (VIAQ); </w:t>
      </w:r>
    </w:p>
    <w:p>
      <w:pPr>
        <w:pStyle w:val="Tiret0"/>
        <w:rPr>
          <w:noProof/>
        </w:rPr>
      </w:pPr>
      <w:r>
        <w:rPr>
          <w:noProof/>
        </w:rPr>
        <w:t>a proposal for amending the General Guidelines for UN regulatory procedures and transitional provisions in UN Regulations; and</w:t>
      </w:r>
    </w:p>
    <w:p>
      <w:pPr>
        <w:pStyle w:val="Tiret0"/>
        <w:rPr>
          <w:noProof/>
        </w:rPr>
      </w:pPr>
      <w:r>
        <w:rPr>
          <w:noProof/>
        </w:rPr>
        <w:t xml:space="preserve">a proposal for amending the Rules of Procedure of WP.29. </w:t>
      </w:r>
    </w:p>
    <w:p>
      <w:pPr>
        <w:pStyle w:val="Tir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relevant Committees of the United Nations Economic Commission for Europe as regards the proposals for amendments to UN Regulations Nos 12, 14, 16, 17, 43, 44, 46, 48, 49, 110, 121, 129 and 134, to UN Global Technical Regulations Nos 6 and 15, to the Rules of Procedure of WP.29 and to the General Guidelines for UN regulatory procedures and transitional provisions in UN Regulations, and as regards proposals for three new UN Regulations, one new UN Global Technical Regulation and a proposal for a new Mutual Resolution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97/836/EC</w:t>
      </w:r>
      <w:r>
        <w:rPr>
          <w:rStyle w:val="FootnoteReference"/>
          <w:noProof/>
        </w:rPr>
        <w:footnoteReference w:id="1"/>
      </w:r>
      <w:r>
        <w:rPr>
          <w:noProof/>
        </w:rPr>
        <w:t>,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w:t>
      </w:r>
    </w:p>
    <w:p>
      <w:pPr>
        <w:pStyle w:val="ManualConsidrant"/>
        <w:rPr>
          <w:noProof/>
        </w:rPr>
      </w:pPr>
      <w:r>
        <w:t>(2)</w:t>
      </w:r>
      <w:r>
        <w:tab/>
      </w:r>
      <w:r>
        <w:rPr>
          <w:noProof/>
        </w:rPr>
        <w:t>By Council Decision 2000/125/EC</w:t>
      </w:r>
      <w:r>
        <w:rPr>
          <w:rStyle w:val="FootnoteReference"/>
          <w:noProof/>
        </w:rPr>
        <w:footnoteReference w:id="2"/>
      </w:r>
      <w:r>
        <w:rPr>
          <w:noProof/>
        </w:rPr>
        <w:t>, the Union acceded to the Agreement concerning the establishing of global technical regulations for wheeled vehicles, equipment and parts which can be fitted and/or be used on wheeled vehicles (‘Parallel Agreement’).</w:t>
      </w:r>
    </w:p>
    <w:p>
      <w:pPr>
        <w:pStyle w:val="ManualConsidrant"/>
        <w:rPr>
          <w:noProof/>
        </w:rPr>
      </w:pPr>
      <w:r>
        <w:t>(3)</w:t>
      </w:r>
      <w:r>
        <w:tab/>
      </w:r>
      <w:r>
        <w:rPr>
          <w:noProof/>
        </w:rPr>
        <w:t>Directive 2007/46/EC of the European Parliament and of the Council</w:t>
      </w:r>
      <w:r>
        <w:rPr>
          <w:rStyle w:val="FootnoteReference"/>
          <w:noProof/>
        </w:rPr>
        <w:footnoteReference w:id="3"/>
      </w:r>
      <w:r>
        <w:rPr>
          <w:bCs/>
          <w:noProof/>
        </w:rPr>
        <w:t xml:space="preserve"> </w:t>
      </w:r>
      <w:r>
        <w:rPr>
          <w:noProof/>
        </w:rPr>
        <w:t>replaced the approval systems of the Member States with a Union approval procedure and established a harmonised framework containing administrative provisions and general technical requirements for all new vehicles, systems, components and separate technical units. That Directive incorporated regulations adopted under the Revised 1958 Agreement ('UN Regulations') in the EU type-approval system, either as requirements for type-approval or as alternatives to Union legislation. Since the adoption of Directive 2007/46/EC, UN regulations have been increasingly incorporated into Union legislation.</w:t>
      </w:r>
    </w:p>
    <w:p>
      <w:pPr>
        <w:pStyle w:val="ManualConsidrant"/>
        <w:rPr>
          <w:noProof/>
        </w:rPr>
      </w:pPr>
      <w:r>
        <w:t>(4)</w:t>
      </w:r>
      <w:r>
        <w:tab/>
      </w:r>
      <w:r>
        <w:rPr>
          <w:noProof/>
        </w:rPr>
        <w:t>In the light of experience and technical developments, the requirements relating to certain elements or features covered by UN Regulations Nos 12, 14, 16, 17, 43, 44, 46, 48, 49, 110, 121, 129 and 134, as well as by UN Global Technical Regulations Nos 6 and 15, need to be adapted.</w:t>
      </w:r>
    </w:p>
    <w:p>
      <w:pPr>
        <w:pStyle w:val="ManualConsidrant"/>
        <w:rPr>
          <w:noProof/>
        </w:rPr>
      </w:pPr>
      <w:r>
        <w:t>(5)</w:t>
      </w:r>
      <w:r>
        <w:tab/>
      </w:r>
      <w:r>
        <w:rPr>
          <w:noProof/>
        </w:rPr>
        <w:t>In order to lay down uniform provisions concerning the International Whole Vehicle Type Approval, Accident Emergency Call Systems and anchorage systems of child seats, the proposal for new UN Regulations on those subjects need to be adopted.</w:t>
      </w:r>
    </w:p>
    <w:p>
      <w:pPr>
        <w:pStyle w:val="ManualConsidrant"/>
        <w:rPr>
          <w:noProof/>
        </w:rPr>
      </w:pPr>
      <w:r>
        <w:t>(6)</w:t>
      </w:r>
      <w:r>
        <w:tab/>
      </w:r>
      <w:r>
        <w:rPr>
          <w:noProof/>
        </w:rPr>
        <w:t>In order to lay down uniform provisions concerning the safety of electric vehicles, the proposal for a UN Global Technical Regulation (GTR) needs to be adopted.</w:t>
      </w:r>
    </w:p>
    <w:p>
      <w:pPr>
        <w:pStyle w:val="ManualConsidrant"/>
        <w:rPr>
          <w:noProof/>
        </w:rPr>
      </w:pPr>
      <w:r>
        <w:t>(7)</w:t>
      </w:r>
      <w:r>
        <w:tab/>
      </w:r>
      <w:r>
        <w:rPr>
          <w:noProof/>
        </w:rPr>
        <w:t>In order to lay down the provisions and a harmonized test procedure for the measurement of interior emissions of vehicles, thereby taking into account existing standards, the proposal for a new Mutual Resolution (M.R.3) on vehicle interior air quality (VIAQ) under the Revised 1958 Agreement and the Parallel  Agreement  needs to be adopted.</w:t>
      </w:r>
    </w:p>
    <w:p>
      <w:pPr>
        <w:pStyle w:val="ManualConsidrant"/>
        <w:rPr>
          <w:noProof/>
        </w:rPr>
      </w:pPr>
      <w:r>
        <w:t>(8)</w:t>
      </w:r>
      <w:r>
        <w:tab/>
      </w:r>
      <w:r>
        <w:rPr>
          <w:noProof/>
        </w:rPr>
        <w:t>In order to clarify the regulatory procedures following Revision 3 of the Agreement of the United Nations Economic Commission for Europe concerning the adoption of uniform technical prescriptions for wheeled vehicles, equipment and parts which can be fitted and/or used on wheeled vehicles and the conditions for the reciprocal recognition of approvals granted on the basis of these prescriptions</w:t>
      </w:r>
      <w:r>
        <w:rPr>
          <w:rStyle w:val="FootnoteReference"/>
          <w:noProof/>
        </w:rPr>
        <w:footnoteReference w:id="4"/>
      </w:r>
      <w:r>
        <w:rPr>
          <w:noProof/>
        </w:rPr>
        <w:t xml:space="preserve">, to streamline the future work in the subsidiary bodies of the World Forum for Harmonization of Vehicle Regulations (WP.29), to avoid divergences in understanding and to ensure good regulatory practice, the General Guidelines for UN regulatory procedures and transitional provisions in UN Regulations need to be replaced. </w:t>
      </w:r>
    </w:p>
    <w:p>
      <w:pPr>
        <w:pStyle w:val="ManualConsidrant"/>
        <w:rPr>
          <w:noProof/>
        </w:rPr>
      </w:pPr>
      <w:r>
        <w:t>(9)</w:t>
      </w:r>
      <w:r>
        <w:tab/>
      </w:r>
      <w:r>
        <w:rPr>
          <w:noProof/>
        </w:rPr>
        <w:t>In order to enable non-governmental organizations without consultative status within the United Nations Economic and Social Council to participate in WP.29 meetings in a consultative capacity, the Rules of Procedure of WP.29 need to be revised.</w:t>
      </w:r>
    </w:p>
    <w:p>
      <w:pPr>
        <w:pStyle w:val="ManualConsidrant"/>
        <w:rPr>
          <w:noProof/>
        </w:rPr>
      </w:pPr>
      <w:r>
        <w:t>(10)</w:t>
      </w:r>
      <w:r>
        <w:tab/>
      </w:r>
      <w:r>
        <w:rPr>
          <w:noProof/>
        </w:rPr>
        <w:t>It is appropriate to establish the position to be adopted on behalf of the Union in the Administrative Committee of the Revised 1958 Agreement and in the Executive Committee of the Parallel Agreement as regards the adoption of those proposals,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within the Administrative Committee of the Revised 1958 Agreement and the Executive Committee of the Parallel Agreement during the period from 13 to 17 November 2017 shall be to vote in favour of the proposals listed in the Annex to this Decision.</w:t>
      </w:r>
    </w:p>
    <w:p>
      <w:pPr>
        <w:jc w:val="center"/>
        <w:rPr>
          <w:i/>
          <w:noProof/>
        </w:rPr>
      </w:pPr>
      <w:r>
        <w:rPr>
          <w:i/>
          <w:noProof/>
        </w:rPr>
        <w:t>Article 2</w:t>
      </w:r>
    </w:p>
    <w:p>
      <w:pPr>
        <w:rPr>
          <w:noProof/>
        </w:rPr>
      </w:pPr>
      <w:r>
        <w:rPr>
          <w:noProof/>
        </w:rPr>
        <w:t>This Decision is addressed to the Commission.</w:t>
      </w:r>
    </w:p>
    <w:p>
      <w:pPr>
        <w:pStyle w:val="Fait"/>
        <w:rPr>
          <w:noProof/>
        </w:rPr>
      </w:pPr>
      <w:r>
        <w:rPr>
          <w:noProof/>
        </w:rPr>
        <w:t>Done at Brussels,</w:t>
      </w:r>
    </w:p>
    <w:p>
      <w:pPr>
        <w:pStyle w:val="Institutionquisigne"/>
        <w:spacing w:before="120"/>
        <w:rPr>
          <w:noProof/>
        </w:rPr>
      </w:pPr>
      <w:r>
        <w:rPr>
          <w:noProof/>
        </w:rPr>
        <w:tab/>
        <w:t>For the Council</w:t>
      </w:r>
    </w:p>
    <w:p>
      <w:pPr>
        <w:pStyle w:val="Institutionquisigne"/>
        <w:spacing w:before="120"/>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2">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3">
    <w:p>
      <w:pPr>
        <w:pStyle w:val="FootnoteText"/>
      </w:pPr>
      <w:r>
        <w:rPr>
          <w:rStyle w:val="FootnoteReference"/>
        </w:rPr>
        <w:footnoteRef/>
      </w:r>
      <w: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4">
    <w:p>
      <w:pPr>
        <w:pStyle w:val="FootnoteText"/>
      </w:pPr>
      <w:r>
        <w:rPr>
          <w:rStyle w:val="FootnoteReference"/>
        </w:rPr>
        <w:footnoteRef/>
      </w:r>
      <w:r>
        <w:tab/>
        <w:t>Approved on behalf of the Union by Council Decision (EU) 2016/1790 of 12 February 2016 (O.J. L 274, p. 2, 11.10.2016).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hideSpellingErrors/>
  <w:hideGrammaticalErrors/>
  <w:attachedTemplate r:id="rId1"/>
  <w:revisionView w:markup="0"/>
  <w:doNotTrackFormatting/>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8:2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3CB22FAB2714FF3AD0631C265D7F4C6"/>
    <w:docVar w:name="LW_CROSSREFERENCE" w:val="&lt;UNUSED&gt;"/>
    <w:docVar w:name="LW_DocType" w:val="COM"/>
    <w:docVar w:name="LW_EMISSION" w:val="18.10.2017"/>
    <w:docVar w:name="LW_EMISSION_ISODATE" w:val="2017-10-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2"/>
    <w:docVar w:name="LW_REF.II.NEW.CP_YEAR" w:val="2017"/>
    <w:docVar w:name="LW_REF.INST.NEW" w:val="COM"/>
    <w:docVar w:name="LW_REF.INST.NEW_ADOPTED" w:val="final"/>
    <w:docVar w:name="LW_REF.INST.NEW_TEXT" w:val="(2017) 602"/>
    <w:docVar w:name="LW_REF.INTERNE" w:val="&lt;UNUSED&gt;"/>
    <w:docVar w:name="LW_SOUS.TITRE.OBJ.CP" w:val="&lt;UNUSED&gt;"/>
    <w:docVar w:name="LW_STATUT.CP" w:val="Proposal for a"/>
    <w:docVar w:name="LW_SUPERTITRE" w:val="&lt;UNUSED&gt;"/>
    <w:docVar w:name="LW_TITRE.OBJ.CP" w:val="on the position to be adopted on behalf of the European Union in the relevant Committees of the United Nations Economic Commission for Europe as regards the proposals for amendments to UN Regulations Nos 12, 14, 16, 17, 43, 44, 46, 48, 49, 110, 121, 129 and 134, to UN Global Technical Regulations Nos 6 and 15, to the Rules of Procedure of WP.29 and to the General Guidelines for UN regulatory procedures and transitional provisions in UN Regulations, and as regards proposals for three new UN Regulations, one new UN Global Technical Regulation and a proposal for a new Mutual Resolu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7EF6-F982-4627-9705-5167D305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2089</Words>
  <Characters>11595</Characters>
  <Application>Microsoft Office Word</Application>
  <DocSecurity>0</DocSecurity>
  <Lines>207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2017-09-21T15:01:00Z</cp:lastPrinted>
  <dcterms:created xsi:type="dcterms:W3CDTF">2017-09-26T13:07:00Z</dcterms:created>
  <dcterms:modified xsi:type="dcterms:W3CDTF">2017-10-12T16:28:00Z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