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44B9F5E4541433CB9F06CB56F3B09C7" style="width:450.75pt;height:4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t>ANNEX</w:t>
      </w:r>
    </w:p>
    <w:p>
      <w:pPr>
        <w:rPr>
          <w:noProof/>
        </w:rPr>
      </w:pPr>
      <w:r>
        <w:rPr>
          <w:noProof/>
        </w:rPr>
        <w:t xml:space="preserve">Note: All documents referenced in the table below are publicly available at: </w:t>
      </w:r>
    </w:p>
    <w:p>
      <w:pPr>
        <w:rPr>
          <w:noProof/>
        </w:rPr>
      </w:pPr>
      <w:hyperlink r:id="rId16" w:history="1">
        <w:r>
          <w:rPr>
            <w:rStyle w:val="Hyperlink"/>
            <w:noProof/>
          </w:rPr>
          <w:t>http://www.unece.org/trans/main/wp29/wp29wgs/wp29gen/gen2017.html</w:t>
        </w:r>
      </w:hyperlink>
    </w:p>
    <w:p>
      <w:pPr>
        <w:rPr>
          <w:noProof/>
        </w:rPr>
      </w:pPr>
    </w:p>
    <w:p>
      <w:pPr>
        <w:rPr>
          <w:noProof/>
        </w:rPr>
      </w:pPr>
    </w:p>
    <w:tbl>
      <w:tblPr>
        <w:tblW w:w="8797" w:type="dxa"/>
        <w:tblInd w:w="93" w:type="dxa"/>
        <w:tblLook w:val="04A0" w:firstRow="1" w:lastRow="0" w:firstColumn="1" w:lastColumn="0" w:noHBand="0" w:noVBand="1"/>
      </w:tblPr>
      <w:tblGrid>
        <w:gridCol w:w="1120"/>
        <w:gridCol w:w="4955"/>
        <w:gridCol w:w="2722"/>
      </w:tblGrid>
      <w:tr>
        <w:trPr>
          <w:trHeight w:val="630"/>
        </w:trPr>
        <w:tc>
          <w:tcPr>
            <w:tcW w:w="1120"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Reg #</w:t>
            </w:r>
          </w:p>
        </w:tc>
        <w:tc>
          <w:tcPr>
            <w:tcW w:w="4955"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Item title</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5 to the 04 series of amendments to UN Regulation No. 12 (Steering mechanism)</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08 series of amendments to UN Regulation No. 14 (Safety-belt anchorages)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ECE/TRANS/WP.29/2017/119</w:t>
            </w:r>
          </w:p>
        </w:tc>
      </w:tr>
      <w:tr>
        <w:trPr>
          <w:trHeight w:val="70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08 series of amendments to UN Regulation No. 14 (Safety-belt anchorages)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ECE/TRANS/WP.29/2017/128</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16</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10 to the 06 series of amendments and Supplement 2 to the 07 series of amendments to UN Regulation No. 16 (Safety-belts)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ECE/TRANS/WP.29/2017/120</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17</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1 to the Revision 5 to UN Regulation No. 17 (Strength of seats)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17</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4 to the 08 series of amendments to UN Regulation No. 17 (Strength of seats)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6 to the 01 series of amendments to UN Regulation No. 43 (Safety glazing)</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ECE/TRANS/WP.29/2017/111</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6 to Revision 3 of UN Regulation No. 43 (Safety glazing)</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ECE/TRANS/WP.29/2017/112</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43</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Corrigendum 1 to Revision 4 of Regulation No. 43 (Safety glazing)</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ECE/TRANS/WP.29/2017/117</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44</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13 to the 04 series of amendments to UN Regulation No. 44 (Child Restraint Systems)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ECE/TRANS/WP.29/2017/123</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46</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5 to the 04 series of amendments to UN Regulation No. 46 (Devices for indirect vision)</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ECE/TRANS/WP.29/2017/113</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48</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10 to the 06 series of amendments to UN Regulation No. 48 (Installation of lighting and light-signalling devices)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9 to the 05 series of amendments to UN Regulation No. 49 (Compression ignition and positive ignition (LPG and CNG) engines))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ECE/TRANS/WP.29/2017/129</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49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5 to the 06 series of amendments to UN Regulation No. 49 (Compression ignition and positive ignition (LPG and CNG) engines))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ECE/TRANS/WP.29/2017/130</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110</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7 to the 01 series of amendments to UN Regulation No. 110 (CNG and LNG vehicles)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ECE/TRANS/WP.29/2017/114</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110</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1 to the 02 series of amendments to UN Regulation No. 110 (CNG and LNG vehicles)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ECE/TRANS/WP.29/2017/115</w:t>
            </w:r>
          </w:p>
        </w:tc>
      </w:tr>
      <w:tr>
        <w:trPr>
          <w:trHeight w:val="58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121</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01 series of amendments to UN Regulation No. 121 (Identification of controls, tell-tales and indicators)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ECE/TRANS/WP.29/2017/116</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6 to UN Regulation No. 129 (Enhanced Child Restraint Systems)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ECE/TRANS/WP.29/2017/124</w:t>
            </w:r>
          </w:p>
        </w:tc>
      </w:tr>
      <w:tr>
        <w:trPr>
          <w:trHeight w:val="510"/>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3 to the 01 series of amendments to UN Regulation No. 129 (Enhanced Child Restraint Systems)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ECE/TRANS/WP.29/2017/125</w:t>
            </w:r>
          </w:p>
        </w:tc>
      </w:tr>
      <w:tr>
        <w:trPr>
          <w:trHeight w:val="765"/>
        </w:trPr>
        <w:tc>
          <w:tcPr>
            <w:tcW w:w="1120" w:type="dxa"/>
            <w:tcBorders>
              <w:top w:val="nil"/>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129</w:t>
            </w:r>
          </w:p>
        </w:tc>
        <w:tc>
          <w:tcPr>
            <w:tcW w:w="4955"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2 to the 02 series of amendments to UN Regulation No. 129 (Enhanced Child Restraint Systems)</w:t>
            </w:r>
          </w:p>
        </w:tc>
        <w:tc>
          <w:tcPr>
            <w:tcW w:w="2722" w:type="dxa"/>
            <w:tcBorders>
              <w:top w:val="nil"/>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ECE/TRANS/WP.29/2017/126</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134</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Supplement 3 to UN Regulation No. 134 (Hydrogen and Fuel Cells Vehicles (HFCV))</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ECE/TRANS/WP.29/2017/127</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 0</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a new UN Regulation No. 0 on the International Whole Vehicle Type Approval</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ECE/TRANS/WP.29/2017/108</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new UN Regulation No. XXX on Accident Emergency Call Systems (AECS)</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ECE/TRANS/WP.29/2017/132</w:t>
            </w:r>
          </w:p>
        </w:tc>
      </w:tr>
      <w:tr>
        <w:trPr>
          <w:trHeight w:val="51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pPr>
              <w:rPr>
                <w:rFonts w:ascii="Times" w:hAnsi="Times" w:cs="Times"/>
                <w:noProof/>
                <w:sz w:val="20"/>
                <w:szCs w:val="20"/>
              </w:rPr>
            </w:pPr>
            <w:r>
              <w:rPr>
                <w:rFonts w:ascii="Times" w:hAnsi="Times" w:cs="Times"/>
                <w:noProof/>
                <w:sz w:val="20"/>
                <w:szCs w:val="20"/>
              </w:rPr>
              <w:t>New UN Reg</w:t>
            </w:r>
          </w:p>
        </w:tc>
        <w:tc>
          <w:tcPr>
            <w:tcW w:w="4955"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Proposal for a new UN Regulation No. XXX on ISOFIX anchorage systems, ISOFIX top tether anchorages and i-Size seating positions</w:t>
            </w:r>
          </w:p>
        </w:tc>
        <w:tc>
          <w:tcPr>
            <w:tcW w:w="2722" w:type="dxa"/>
            <w:tcBorders>
              <w:top w:val="single" w:sz="4" w:space="0" w:color="auto"/>
              <w:left w:val="nil"/>
              <w:bottom w:val="single" w:sz="4" w:space="0" w:color="auto"/>
              <w:right w:val="single" w:sz="4" w:space="0" w:color="auto"/>
            </w:tcBorders>
            <w:shd w:val="clear" w:color="auto" w:fill="auto"/>
          </w:tcPr>
          <w:p>
            <w:pPr>
              <w:rPr>
                <w:rFonts w:ascii="Times" w:hAnsi="Times" w:cs="Times"/>
                <w:noProof/>
                <w:sz w:val="20"/>
                <w:szCs w:val="20"/>
              </w:rPr>
            </w:pPr>
            <w:r>
              <w:rPr>
                <w:rFonts w:ascii="Times" w:hAnsi="Times" w:cs="Times"/>
                <w:noProof/>
                <w:sz w:val="20"/>
                <w:szCs w:val="20"/>
              </w:rPr>
              <w:t>ECE/TRANS/WP.29/2017/133</w:t>
            </w:r>
          </w:p>
        </w:tc>
      </w:tr>
    </w:tbl>
    <w:p>
      <w:pPr>
        <w:spacing w:before="0" w:after="200" w:line="276" w:lineRule="auto"/>
        <w:jc w:val="left"/>
        <w:rPr>
          <w:rFonts w:asciiTheme="minorHAnsi" w:hAnsiTheme="minorHAnsi" w:cstheme="minorBidi"/>
          <w:noProof/>
          <w:sz w:val="22"/>
          <w:lang w:val="de-DE"/>
        </w:rPr>
      </w:pPr>
    </w:p>
    <w:tbl>
      <w:tblPr>
        <w:tblW w:w="8690" w:type="dxa"/>
        <w:tblInd w:w="93" w:type="dxa"/>
        <w:tblLook w:val="04A0" w:firstRow="1" w:lastRow="0" w:firstColumn="1" w:lastColumn="0" w:noHBand="0" w:noVBand="1"/>
      </w:tblPr>
      <w:tblGrid>
        <w:gridCol w:w="1291"/>
        <w:gridCol w:w="4677"/>
        <w:gridCol w:w="2722"/>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GTR #</w:t>
            </w: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UN GTR (new)</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Proposal for a new UN GTR on Electric Vehicle Safety (EVS)</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ECE/TRANS/WP.29/2017/138</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UN GTR 15</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Proposal for Amendment 3 to UN GTR No. 15 (Worldwide harmonized Light vehicles Test Procedures (WLTP))</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ECE/TRANS/WP.29/2017/140</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rPr>
                <w:noProof/>
                <w:sz w:val="20"/>
                <w:szCs w:val="20"/>
              </w:rPr>
            </w:pPr>
            <w:r>
              <w:rPr>
                <w:noProof/>
                <w:sz w:val="20"/>
                <w:szCs w:val="20"/>
              </w:rPr>
              <w:t>UN GTR 6</w:t>
            </w:r>
          </w:p>
        </w:tc>
        <w:tc>
          <w:tcPr>
            <w:tcW w:w="4677"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Proposal for Corrigendum 2 to UN GTR No. 6 (Safety glazing)</w:t>
            </w:r>
          </w:p>
        </w:tc>
        <w:tc>
          <w:tcPr>
            <w:tcW w:w="2722" w:type="dxa"/>
            <w:tcBorders>
              <w:top w:val="nil"/>
              <w:left w:val="nil"/>
              <w:bottom w:val="single" w:sz="4" w:space="0" w:color="auto"/>
              <w:right w:val="single" w:sz="4" w:space="0" w:color="auto"/>
            </w:tcBorders>
            <w:shd w:val="clear" w:color="auto" w:fill="auto"/>
            <w:hideMark/>
          </w:tcPr>
          <w:p>
            <w:pPr>
              <w:rPr>
                <w:noProof/>
                <w:sz w:val="20"/>
                <w:szCs w:val="20"/>
              </w:rPr>
            </w:pPr>
            <w:r>
              <w:rPr>
                <w:noProof/>
                <w:sz w:val="20"/>
                <w:szCs w:val="20"/>
              </w:rPr>
              <w:t>ECE/TRANS/WP.29/2017/142</w:t>
            </w:r>
          </w:p>
        </w:tc>
      </w:tr>
    </w:tbl>
    <w:p>
      <w:pPr>
        <w:spacing w:before="0" w:after="200" w:line="276" w:lineRule="auto"/>
        <w:jc w:val="left"/>
        <w:rPr>
          <w:rFonts w:asciiTheme="minorHAnsi" w:hAnsiTheme="minorHAnsi" w:cstheme="minorBidi"/>
          <w:noProof/>
          <w:sz w:val="22"/>
          <w:lang w:val="de-DE"/>
        </w:rPr>
      </w:pPr>
    </w:p>
    <w:tbl>
      <w:tblPr>
        <w:tblW w:w="8690" w:type="dxa"/>
        <w:tblInd w:w="93" w:type="dxa"/>
        <w:tblLook w:val="04A0" w:firstRow="1" w:lastRow="0" w:firstColumn="1" w:lastColumn="0" w:noHBand="0" w:noVBand="1"/>
      </w:tblPr>
      <w:tblGrid>
        <w:gridCol w:w="1291"/>
        <w:gridCol w:w="4677"/>
        <w:gridCol w:w="2722"/>
      </w:tblGrid>
      <w:tr>
        <w:trPr>
          <w:trHeight w:val="465"/>
        </w:trPr>
        <w:tc>
          <w:tcPr>
            <w:tcW w:w="1291" w:type="dxa"/>
            <w:tcBorders>
              <w:top w:val="single" w:sz="8" w:space="0" w:color="auto"/>
              <w:left w:val="single" w:sz="8" w:space="0" w:color="auto"/>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Item</w:t>
            </w:r>
          </w:p>
        </w:tc>
        <w:tc>
          <w:tcPr>
            <w:tcW w:w="4677"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Agenda item title</w:t>
            </w:r>
          </w:p>
        </w:tc>
        <w:tc>
          <w:tcPr>
            <w:tcW w:w="2722" w:type="dxa"/>
            <w:tcBorders>
              <w:top w:val="single" w:sz="8" w:space="0" w:color="auto"/>
              <w:left w:val="nil"/>
              <w:bottom w:val="single" w:sz="4" w:space="0" w:color="auto"/>
              <w:right w:val="single" w:sz="4" w:space="0" w:color="auto"/>
            </w:tcBorders>
            <w:shd w:val="clear" w:color="auto" w:fill="auto"/>
            <w:hideMark/>
          </w:tcPr>
          <w:p>
            <w:pPr>
              <w:spacing w:before="0" w:after="0"/>
              <w:jc w:val="left"/>
              <w:rPr>
                <w:rFonts w:eastAsia="Times New Roman"/>
                <w:b/>
                <w:bCs/>
                <w:noProof/>
                <w:szCs w:val="24"/>
                <w:lang w:eastAsia="en-GB"/>
              </w:rPr>
            </w:pPr>
            <w:r>
              <w:rPr>
                <w:rFonts w:eastAsia="Times New Roman"/>
                <w:b/>
                <w:bCs/>
                <w:noProof/>
                <w:szCs w:val="24"/>
                <w:lang w:eastAsia="en-GB"/>
              </w:rPr>
              <w:t>Document reference</w:t>
            </w:r>
          </w:p>
        </w:tc>
      </w:tr>
      <w:tr>
        <w:trPr>
          <w:trHeight w:val="600"/>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UN M.R.3</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Proposal for a new Mutual Resolution (M.R.3) of the 1958 and the 1998 Agreements concerning Vehicle Interior Air Quality (VIAQ)</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ECE/TRANS/WP.29/2017/136</w:t>
            </w:r>
          </w:p>
        </w:tc>
      </w:tr>
      <w:tr>
        <w:trPr>
          <w:trHeight w:val="510"/>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UN General Guidelines</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Draft General Guidelines for United Nations regulatory procedures and transitional provisions in UN Regulations</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ECE/TRANS/WP.29/2017/107 &amp; /107/Corr.1 &amp; /107/Add.1</w:t>
            </w:r>
          </w:p>
        </w:tc>
      </w:tr>
      <w:tr>
        <w:trPr>
          <w:trHeight w:val="765"/>
        </w:trPr>
        <w:tc>
          <w:tcPr>
            <w:tcW w:w="1291" w:type="dxa"/>
            <w:tcBorders>
              <w:top w:val="nil"/>
              <w:left w:val="single" w:sz="4" w:space="0" w:color="auto"/>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WP.29 rules of procedure</w:t>
            </w:r>
          </w:p>
        </w:tc>
        <w:tc>
          <w:tcPr>
            <w:tcW w:w="4677"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Proposal for amendments to the rules of procedure of WP.29</w:t>
            </w:r>
          </w:p>
        </w:tc>
        <w:tc>
          <w:tcPr>
            <w:tcW w:w="2722" w:type="dxa"/>
            <w:tcBorders>
              <w:top w:val="nil"/>
              <w:left w:val="nil"/>
              <w:bottom w:val="single" w:sz="4" w:space="0" w:color="auto"/>
              <w:right w:val="single" w:sz="4" w:space="0" w:color="auto"/>
            </w:tcBorders>
            <w:shd w:val="clear" w:color="auto" w:fill="auto"/>
            <w:hideMark/>
          </w:tcPr>
          <w:p>
            <w:pPr>
              <w:rPr>
                <w:rFonts w:ascii="Times" w:hAnsi="Times" w:cs="Times"/>
                <w:noProof/>
                <w:sz w:val="20"/>
                <w:szCs w:val="20"/>
              </w:rPr>
            </w:pPr>
            <w:r>
              <w:rPr>
                <w:rFonts w:ascii="Times" w:hAnsi="Times" w:cs="Times"/>
                <w:noProof/>
                <w:sz w:val="20"/>
                <w:szCs w:val="20"/>
              </w:rPr>
              <w:t>ECE/TRANS/WP.29/2017/137</w:t>
            </w:r>
          </w:p>
        </w:tc>
      </w:tr>
    </w:tbl>
    <w:p>
      <w:pPr>
        <w:rPr>
          <w:noProof/>
        </w:rPr>
      </w:pPr>
    </w:p>
    <w:p>
      <w:pPr>
        <w:rPr>
          <w:noProof/>
        </w:rPr>
      </w:pPr>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2942D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6C83C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7BD4DD1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2B037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94DC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6168A0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696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0C62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8:30: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344B9F5E4541433CB9F06CB56F3B09C7"/>
    <w:docVar w:name="LW_CROSSREFERENCE" w:val="&lt;UNUSED&gt;"/>
    <w:docVar w:name="LW_DocType" w:val="ANNEX"/>
    <w:docVar w:name="LW_EMISSION" w:val="18.10.2017"/>
    <w:docVar w:name="LW_EMISSION_ISODATE" w:val="2017-10-1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 w:val="on the position to be adopted on behalf of the European Union in the relevant Committees of the United Nations Economic Commission for Europe as regards the proposals for amendments to UN Regulations Nos 12, 14, 16, 17, 43, 44, 46, 48, 49, 110, 121, 129 and 134, to UN Global Technical Regulations Nos 6 and 15, to the Rules of Procedure of WP.29 and to the General Guidelines for UN regulatory procedures and transitional provisions in UN Regulations, and as regards proposals for three new UN Regulations, one new UN Global Technical Regulation and a proposal for a new Mutual Resolution"/>
    <w:docVar w:name="LW_OBJETACTEPRINCIPAL.CP" w:val="on the position to be adopted on behalf of the European Union in the relevant Committees of the United Nations Economic Commission for Europe as regards the proposals for amendments to UN Regulations Nos 12, 14, 16, 17, 43, 44, 46, 48, 49, 110, 121, 129 and 134, to UN Global Technical Regulations Nos 6 and 15, to the Rules of Procedure of WP.29 and to the General Guidelines for UN regulatory procedures and transitional provisions in UN Regulations, and as regards proposals for three new UN Regulations, one new UN Global Technical Regulation and a proposal for a new Mutual Resolution"/>
    <w:docVar w:name="LW_PART_NBR" w:val="1"/>
    <w:docVar w:name="LW_PART_NBR_TOTAL" w:val="1"/>
    <w:docVar w:name="LW_REF.INST.NEW" w:val="COM"/>
    <w:docVar w:name="LW_REF.INST.NEW_ADOPTED" w:val="final"/>
    <w:docVar w:name="LW_REF.INST.NEW_TEXT" w:val="(2017) 602"/>
    <w:docVar w:name="LW_REF.INTERNE" w:val="&lt;UNUSED&gt;"/>
    <w:docVar w:name="LW_SUPERTITRE" w:val="&lt;UNUSED&gt;"/>
    <w:docVar w:name="LW_TITRE.OBJ.CP"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unece.org/trans/main/wp29/wp29wgs/wp29gen/gen2017.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DDBE9-62E3-41CE-96B9-6945B92E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Pages>
  <Words>641</Words>
  <Characters>3826</Characters>
  <Application>Microsoft Office Word</Application>
  <DocSecurity>0</DocSecurity>
  <Lines>166</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BRASSART Odile (GROW)</dc:creator>
  <cp:lastModifiedBy>DIGIT/A3</cp:lastModifiedBy>
  <cp:revision>7</cp:revision>
  <cp:lastPrinted>2017-09-13T12:16:00Z</cp:lastPrinted>
  <dcterms:created xsi:type="dcterms:W3CDTF">2017-10-05T12:35:00Z</dcterms:created>
  <dcterms:modified xsi:type="dcterms:W3CDTF">2017-10-12T16:30:00Z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