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2A" w:rsidRDefault="001E2A84" w:rsidP="001E2A84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D30B7DE57CCC43A2BBE27F1194C32572" style="width:451.35pt;height:382.55pt">
            <v:imagedata r:id="rId9" o:title=""/>
          </v:shape>
        </w:pict>
      </w:r>
    </w:p>
    <w:p w:rsidR="0061292A" w:rsidRDefault="0061292A">
      <w:pPr>
        <w:rPr>
          <w:noProof/>
        </w:rPr>
        <w:sectPr w:rsidR="0061292A" w:rsidSect="001E2A8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61292A" w:rsidRDefault="001E2A84" w:rsidP="001E2A84">
      <w:pPr>
        <w:pStyle w:val="Typedudocument"/>
        <w:rPr>
          <w:noProof/>
        </w:rPr>
      </w:pPr>
      <w:bookmarkStart w:id="0" w:name="_GoBack"/>
      <w:bookmarkEnd w:id="0"/>
      <w:r w:rsidRPr="001E2A84">
        <w:lastRenderedPageBreak/>
        <w:t>ПРИЛОЖЕНИЕ</w:t>
      </w:r>
    </w:p>
    <w:p w:rsidR="0061292A" w:rsidRDefault="001E2A84" w:rsidP="001E2A84">
      <w:pPr>
        <w:pStyle w:val="Accompagnant"/>
        <w:rPr>
          <w:noProof/>
        </w:rPr>
      </w:pPr>
      <w:r w:rsidRPr="001E2A84">
        <w:t>към</w:t>
      </w:r>
    </w:p>
    <w:p w:rsidR="0061292A" w:rsidRDefault="001E2A84" w:rsidP="001E2A84">
      <w:pPr>
        <w:pStyle w:val="Typeacteprincipal"/>
        <w:rPr>
          <w:noProof/>
        </w:rPr>
      </w:pPr>
      <w:r w:rsidRPr="001E2A84">
        <w:t xml:space="preserve">Предложение за Решение на Съвета </w:t>
      </w:r>
    </w:p>
    <w:p w:rsidR="0061292A" w:rsidRDefault="001E2A84" w:rsidP="001E2A84">
      <w:pPr>
        <w:pStyle w:val="Objetacteprincipal"/>
        <w:rPr>
          <w:noProof/>
        </w:rPr>
      </w:pPr>
      <w:r w:rsidRPr="001E2A84">
        <w:t>за сключване от името на Европейския съюз на Допълнителния протокол към Конвенцията на Съвета на Европа за предотвратяване на тероризма (CETS №</w:t>
      </w:r>
      <w:r>
        <w:t> </w:t>
      </w:r>
      <w:r w:rsidRPr="001E2A84">
        <w:t>217)</w:t>
      </w:r>
    </w:p>
    <w:p w:rsidR="0061292A" w:rsidRDefault="001E2A84">
      <w:pPr>
        <w:spacing w:before="0" w:after="0"/>
        <w:jc w:val="center"/>
        <w:rPr>
          <w:rFonts w:eastAsia="Times New Roman"/>
          <w:b/>
          <w:noProof/>
          <w:szCs w:val="24"/>
          <w:vertAlign w:val="superscript"/>
        </w:rPr>
      </w:pPr>
      <w:r>
        <w:rPr>
          <w:b/>
          <w:noProof/>
        </w:rPr>
        <w:t>28-мо пленарно заседание</w:t>
      </w:r>
    </w:p>
    <w:p w:rsidR="0061292A" w:rsidRDefault="0061292A">
      <w:pPr>
        <w:spacing w:before="0" w:after="0"/>
        <w:jc w:val="center"/>
        <w:rPr>
          <w:rFonts w:eastAsia="Times New Roman"/>
          <w:noProof/>
          <w:szCs w:val="24"/>
        </w:rPr>
      </w:pPr>
    </w:p>
    <w:p w:rsidR="0061292A" w:rsidRDefault="001E2A84">
      <w:pPr>
        <w:spacing w:before="0" w:after="0"/>
        <w:jc w:val="center"/>
        <w:rPr>
          <w:rFonts w:eastAsia="Times New Roman"/>
          <w:noProof/>
          <w:szCs w:val="24"/>
        </w:rPr>
      </w:pPr>
      <w:r>
        <w:rPr>
          <w:noProof/>
        </w:rPr>
        <w:t>Страсбург (Франция), 8—10 април 2015 г.</w:t>
      </w:r>
    </w:p>
    <w:p w:rsidR="0061292A" w:rsidRDefault="0061292A">
      <w:pPr>
        <w:rPr>
          <w:noProof/>
          <w:szCs w:val="24"/>
        </w:rPr>
      </w:pPr>
    </w:p>
    <w:p w:rsidR="0061292A" w:rsidRDefault="001E2A84">
      <w:pPr>
        <w:spacing w:before="0" w:after="0" w:line="276" w:lineRule="auto"/>
        <w:rPr>
          <w:noProof/>
          <w:szCs w:val="24"/>
        </w:rPr>
      </w:pPr>
      <w:r>
        <w:rPr>
          <w:noProof/>
        </w:rPr>
        <w:t>Държавите членки на Съвета на Европа и другите страни по Конвенцията на Съвета на Евр</w:t>
      </w:r>
      <w:r>
        <w:rPr>
          <w:noProof/>
        </w:rPr>
        <w:t>опа за предотвратяване на тероризма (CETS № 196), подписали настоящия Протокол,</w:t>
      </w:r>
    </w:p>
    <w:p w:rsidR="0061292A" w:rsidRDefault="0061292A">
      <w:pPr>
        <w:spacing w:before="0" w:after="0" w:line="276" w:lineRule="auto"/>
        <w:rPr>
          <w:noProof/>
          <w:szCs w:val="24"/>
        </w:rPr>
      </w:pPr>
    </w:p>
    <w:p w:rsidR="0061292A" w:rsidRDefault="001E2A84">
      <w:pPr>
        <w:spacing w:before="0" w:after="0" w:line="276" w:lineRule="auto"/>
        <w:rPr>
          <w:noProof/>
          <w:szCs w:val="24"/>
        </w:rPr>
      </w:pPr>
      <w:r>
        <w:rPr>
          <w:noProof/>
        </w:rPr>
        <w:t>като имат предвид, че целта на Съвета на Европа е постигане на по-голямо единство между неговите членове;</w:t>
      </w:r>
    </w:p>
    <w:p w:rsidR="0061292A" w:rsidRDefault="0061292A">
      <w:pPr>
        <w:spacing w:before="0" w:after="0" w:line="276" w:lineRule="auto"/>
        <w:rPr>
          <w:noProof/>
          <w:szCs w:val="24"/>
        </w:rPr>
      </w:pPr>
    </w:p>
    <w:p w:rsidR="0061292A" w:rsidRDefault="001E2A84">
      <w:pPr>
        <w:spacing w:before="0" w:after="0" w:line="276" w:lineRule="auto"/>
        <w:rPr>
          <w:noProof/>
          <w:szCs w:val="24"/>
        </w:rPr>
      </w:pPr>
      <w:r>
        <w:rPr>
          <w:noProof/>
        </w:rPr>
        <w:t xml:space="preserve">като желаят да укрепят още повече усилията за предотвратяване и </w:t>
      </w:r>
      <w:r>
        <w:rPr>
          <w:noProof/>
        </w:rPr>
        <w:t>противодействие на тероризма във всички негови форми, както в Европа, така и в световен мащаб, като същевременно се зачитат правата на човека и принципите на правовата държава;</w:t>
      </w:r>
    </w:p>
    <w:p w:rsidR="0061292A" w:rsidRDefault="0061292A">
      <w:pPr>
        <w:spacing w:before="0" w:after="0" w:line="276" w:lineRule="auto"/>
        <w:rPr>
          <w:noProof/>
          <w:szCs w:val="24"/>
        </w:rPr>
      </w:pPr>
    </w:p>
    <w:p w:rsidR="0061292A" w:rsidRDefault="001E2A84">
      <w:pPr>
        <w:spacing w:before="0" w:after="0" w:line="276" w:lineRule="auto"/>
        <w:rPr>
          <w:noProof/>
          <w:szCs w:val="24"/>
        </w:rPr>
      </w:pPr>
      <w:r>
        <w:rPr>
          <w:noProof/>
        </w:rPr>
        <w:t xml:space="preserve">като припомнят правата на човека и основните свободи, установени по-специално </w:t>
      </w:r>
      <w:r>
        <w:rPr>
          <w:noProof/>
        </w:rPr>
        <w:t>в Конвенцията за защита на правата на човека и основните свободи (ETS № 5) и протоколите към нея, както и в Международния пакт за граждански и политически права;</w:t>
      </w:r>
    </w:p>
    <w:p w:rsidR="0061292A" w:rsidRDefault="0061292A">
      <w:pPr>
        <w:spacing w:before="0" w:after="0" w:line="276" w:lineRule="auto"/>
        <w:rPr>
          <w:noProof/>
          <w:szCs w:val="24"/>
        </w:rPr>
      </w:pPr>
    </w:p>
    <w:p w:rsidR="0061292A" w:rsidRDefault="001E2A84">
      <w:pPr>
        <w:spacing w:before="0" w:after="0" w:line="276" w:lineRule="auto"/>
        <w:rPr>
          <w:noProof/>
          <w:szCs w:val="24"/>
        </w:rPr>
      </w:pPr>
      <w:r>
        <w:rPr>
          <w:noProof/>
        </w:rPr>
        <w:t>като изразяват своята дълбока загриженост във връзка със заплахата, която представляват лица,</w:t>
      </w:r>
      <w:r>
        <w:rPr>
          <w:noProof/>
        </w:rPr>
        <w:t xml:space="preserve"> пътуващи в чужбина с цел извършване на, принос към или участие в терористични актове, или предоставянето или получаването на обучение за терористична дейност на територията на друга държава; </w:t>
      </w:r>
    </w:p>
    <w:p w:rsidR="0061292A" w:rsidRDefault="001E2A84">
      <w:pPr>
        <w:spacing w:before="0" w:after="0" w:line="276" w:lineRule="auto"/>
        <w:rPr>
          <w:noProof/>
          <w:szCs w:val="24"/>
        </w:rPr>
      </w:pPr>
      <w:r>
        <w:rPr>
          <w:noProof/>
        </w:rPr>
        <w:t xml:space="preserve"> </w:t>
      </w:r>
    </w:p>
    <w:p w:rsidR="0061292A" w:rsidRDefault="001E2A84">
      <w:pPr>
        <w:spacing w:before="0" w:after="0" w:line="276" w:lineRule="auto"/>
        <w:rPr>
          <w:noProof/>
          <w:szCs w:val="24"/>
        </w:rPr>
      </w:pPr>
      <w:r>
        <w:rPr>
          <w:noProof/>
        </w:rPr>
        <w:t xml:space="preserve">като взеха предвид в това отношение Резолюция № 2178 (2014), </w:t>
      </w:r>
      <w:r>
        <w:rPr>
          <w:noProof/>
        </w:rPr>
        <w:t>приета от Съвета за сигурност на Организацията на обединените нации, на 7272-рото му заседание от 24 септември 2014 г., и по-специално параграфи 4-6 от нея;</w:t>
      </w:r>
    </w:p>
    <w:p w:rsidR="0061292A" w:rsidRDefault="0061292A">
      <w:pPr>
        <w:spacing w:before="0" w:after="0" w:line="276" w:lineRule="auto"/>
        <w:rPr>
          <w:noProof/>
          <w:szCs w:val="24"/>
        </w:rPr>
      </w:pPr>
    </w:p>
    <w:p w:rsidR="0061292A" w:rsidRDefault="001E2A84">
      <w:pPr>
        <w:spacing w:before="0" w:after="0" w:line="276" w:lineRule="auto"/>
        <w:rPr>
          <w:noProof/>
          <w:szCs w:val="24"/>
        </w:rPr>
      </w:pPr>
      <w:r>
        <w:rPr>
          <w:noProof/>
        </w:rPr>
        <w:t xml:space="preserve">като считат, че е желателно в някои аспекти Конвенцията на Съвета на Европа за предотвратяване на </w:t>
      </w:r>
      <w:r>
        <w:rPr>
          <w:noProof/>
        </w:rPr>
        <w:t>тероризма да бъде допълнена,</w:t>
      </w:r>
    </w:p>
    <w:p w:rsidR="0061292A" w:rsidRDefault="0061292A">
      <w:pPr>
        <w:spacing w:before="0" w:after="0" w:line="276" w:lineRule="auto"/>
        <w:rPr>
          <w:noProof/>
          <w:szCs w:val="24"/>
        </w:rPr>
      </w:pPr>
    </w:p>
    <w:p w:rsidR="0061292A" w:rsidRDefault="001E2A84">
      <w:pPr>
        <w:spacing w:before="0" w:after="0" w:line="276" w:lineRule="auto"/>
        <w:rPr>
          <w:noProof/>
          <w:szCs w:val="24"/>
        </w:rPr>
      </w:pPr>
      <w:r>
        <w:rPr>
          <w:noProof/>
        </w:rPr>
        <w:t>се договориха за следното:</w:t>
      </w:r>
    </w:p>
    <w:p w:rsidR="0061292A" w:rsidRDefault="0061292A">
      <w:pPr>
        <w:pStyle w:val="Text1"/>
        <w:ind w:left="0"/>
        <w:rPr>
          <w:noProof/>
        </w:rPr>
      </w:pPr>
    </w:p>
    <w:p w:rsidR="0061292A" w:rsidRDefault="001E2A84">
      <w:pPr>
        <w:spacing w:before="0" w:after="0" w:line="276" w:lineRule="auto"/>
        <w:rPr>
          <w:b/>
          <w:noProof/>
          <w:szCs w:val="24"/>
        </w:rPr>
      </w:pPr>
      <w:r>
        <w:rPr>
          <w:b/>
          <w:noProof/>
        </w:rPr>
        <w:t>Член 1 — Цел</w:t>
      </w:r>
    </w:p>
    <w:p w:rsidR="0061292A" w:rsidRDefault="001E2A84">
      <w:pPr>
        <w:spacing w:before="0" w:after="0" w:line="276" w:lineRule="auto"/>
        <w:contextualSpacing/>
        <w:rPr>
          <w:noProof/>
          <w:szCs w:val="24"/>
        </w:rPr>
      </w:pPr>
      <w:r>
        <w:rPr>
          <w:noProof/>
        </w:rPr>
        <w:lastRenderedPageBreak/>
        <w:t>Целта на настоящия Протокол е да допълни разпоредбите на Конвенцията на Съвета на Европа за предотвратяване на тероризма, която бе открита за подписване на 16 май 2005 г. във Варшава (о</w:t>
      </w:r>
      <w:r>
        <w:rPr>
          <w:noProof/>
        </w:rPr>
        <w:t>ттук нататък „Конвенцията“), по отношение на обявяването за наказуеми на актовете, описани в членове 2 — 6 от настоящия Протокол, като по този начин подпомогне действията на страните по Конвенцията, насочени към предотвратяване на тероризма и неговите отри</w:t>
      </w:r>
      <w:r>
        <w:rPr>
          <w:noProof/>
        </w:rPr>
        <w:t>цателни последици по отношение на пълноценното упражняване на правата на човека, по-специално правото на живот, както чрез мерки, които следва да бъдат предприети на национално равнище, така и чрез международно сътрудничество, като се вземат предвид действ</w:t>
      </w:r>
      <w:r>
        <w:rPr>
          <w:noProof/>
        </w:rPr>
        <w:t>ащите многостранни или двустранни договори или споразумения, приложими между страните по Конвенцията.</w:t>
      </w:r>
    </w:p>
    <w:p w:rsidR="0061292A" w:rsidRDefault="0061292A">
      <w:pPr>
        <w:pStyle w:val="Text1"/>
        <w:ind w:left="0"/>
        <w:rPr>
          <w:noProof/>
        </w:rPr>
      </w:pPr>
    </w:p>
    <w:p w:rsidR="0061292A" w:rsidRDefault="001E2A84">
      <w:pPr>
        <w:spacing w:before="0" w:after="200" w:line="276" w:lineRule="auto"/>
        <w:rPr>
          <w:b/>
          <w:noProof/>
          <w:szCs w:val="24"/>
        </w:rPr>
      </w:pPr>
      <w:r>
        <w:rPr>
          <w:b/>
          <w:noProof/>
        </w:rPr>
        <w:t>Член 2 - Участие в сдружение или група с цел тероризъм</w:t>
      </w:r>
    </w:p>
    <w:p w:rsidR="0061292A" w:rsidRDefault="001E2A84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За целите на настоящия Протокол „участието в сдружение или група с цел тероризъм“ означава учас</w:t>
      </w:r>
      <w:r>
        <w:rPr>
          <w:noProof/>
        </w:rPr>
        <w:t xml:space="preserve">тието в дейностите на сдружение или група с цел да се извърши или да се допринесе за извършването на едно или повече терористични престъпления от сдружението или от групата. </w:t>
      </w:r>
    </w:p>
    <w:p w:rsidR="0061292A" w:rsidRDefault="001E2A84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Всяка страна по Конвенцията предприема необходимите мерки за обявяването за пр</w:t>
      </w:r>
      <w:r>
        <w:rPr>
          <w:noProof/>
        </w:rPr>
        <w:t>естъпление по нейното вътрешно право на „участието в сдружение или група с цел тероризъм“, определено в параграф 1, когато то е извършено неправомерно и умишлено.</w:t>
      </w:r>
    </w:p>
    <w:p w:rsidR="0061292A" w:rsidRDefault="0061292A">
      <w:pPr>
        <w:pStyle w:val="Text1"/>
        <w:ind w:left="0"/>
        <w:rPr>
          <w:noProof/>
        </w:rPr>
      </w:pPr>
    </w:p>
    <w:p w:rsidR="0061292A" w:rsidRDefault="001E2A84">
      <w:pPr>
        <w:spacing w:before="0" w:after="200" w:line="276" w:lineRule="auto"/>
        <w:rPr>
          <w:b/>
          <w:noProof/>
          <w:szCs w:val="24"/>
        </w:rPr>
      </w:pPr>
      <w:r>
        <w:rPr>
          <w:b/>
          <w:noProof/>
        </w:rPr>
        <w:t>Член 3 - Получаване на обучение с цел тероризъм</w:t>
      </w:r>
    </w:p>
    <w:p w:rsidR="0061292A" w:rsidRDefault="001E2A84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</w:r>
      <w:r>
        <w:rPr>
          <w:noProof/>
        </w:rPr>
        <w:t>За целите на настоящия Протокол "получаване на обучение с цел тероризъм" означава получаването на познания от друг човек, включително получаването на знания или практически умения, за направата или използването на взривни вещества, огнестрелни или други ор</w:t>
      </w:r>
      <w:r>
        <w:rPr>
          <w:noProof/>
        </w:rPr>
        <w:t xml:space="preserve">ъжия или токсични или опасни вещества или за други специфични методи или способи с цел да бъде извършено или да се допринесе за извършването на терористично престъпление. </w:t>
      </w:r>
    </w:p>
    <w:p w:rsidR="0061292A" w:rsidRDefault="001E2A84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Всяка страна по Конвенцията предприема необходимите мерки за обявяването за прест</w:t>
      </w:r>
      <w:r>
        <w:rPr>
          <w:noProof/>
        </w:rPr>
        <w:t xml:space="preserve">ъпление по нейното вътрешно право на "получаването на обучение с цел тероризъм", определено в параграф 1, когато то е извършено неправомерно и умишлено. </w:t>
      </w:r>
    </w:p>
    <w:p w:rsidR="0061292A" w:rsidRDefault="0061292A">
      <w:pPr>
        <w:pStyle w:val="Text1"/>
        <w:ind w:left="0"/>
        <w:rPr>
          <w:noProof/>
        </w:rPr>
      </w:pPr>
    </w:p>
    <w:p w:rsidR="0061292A" w:rsidRDefault="001E2A84">
      <w:pPr>
        <w:spacing w:before="0" w:after="200" w:line="276" w:lineRule="auto"/>
        <w:rPr>
          <w:b/>
          <w:noProof/>
          <w:szCs w:val="24"/>
        </w:rPr>
      </w:pPr>
      <w:r>
        <w:rPr>
          <w:b/>
          <w:noProof/>
        </w:rPr>
        <w:t>Член 4 - Пътуване в чужбина с цел тероризъм</w:t>
      </w:r>
    </w:p>
    <w:p w:rsidR="0061292A" w:rsidRDefault="001E2A84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</w:r>
      <w:r>
        <w:rPr>
          <w:noProof/>
        </w:rPr>
        <w:t xml:space="preserve">За целите на настоящия Протокол „пътуване в чужбина с цел тероризъм“ означава пътуването до държава, която не е тази на националността или местожителството на пътуващия, за целите на извършването, допринасянето за извършването или участието в терористично </w:t>
      </w:r>
      <w:r>
        <w:rPr>
          <w:noProof/>
        </w:rPr>
        <w:t>престъпление, или предоставянето или получаването на обучение с цел тероризъм.</w:t>
      </w:r>
    </w:p>
    <w:p w:rsidR="0061292A" w:rsidRDefault="001E2A84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Всяка страна по Конвенцията предприема необходимите мерки за обявяването за престъпление по нейното вътрешно право на „пътуването в чужбина с цел тероризъм“, определено в пар</w:t>
      </w:r>
      <w:r>
        <w:rPr>
          <w:noProof/>
        </w:rPr>
        <w:t>аграф 1, от нейна територия или граждани, когато то е извършено неправомерно и умишлено. При предприемането на тези мерки всяка страна може да установи условията, изисквани от нейните конституционни принципи и в съответствие с тях.</w:t>
      </w:r>
    </w:p>
    <w:p w:rsidR="0061292A" w:rsidRDefault="001E2A84"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Всяка страна по Конве</w:t>
      </w:r>
      <w:r>
        <w:rPr>
          <w:noProof/>
        </w:rPr>
        <w:t>нцията предприема и необходимите мерки за обявяването за престъпление във и съобразно нейното вътрешно право на опита за извършване на престъплението, определено в настоящия член.</w:t>
      </w:r>
    </w:p>
    <w:p w:rsidR="0061292A" w:rsidRDefault="0061292A">
      <w:pPr>
        <w:pStyle w:val="Text1"/>
        <w:ind w:left="0"/>
        <w:rPr>
          <w:noProof/>
        </w:rPr>
      </w:pPr>
    </w:p>
    <w:p w:rsidR="0061292A" w:rsidRDefault="001E2A84">
      <w:pPr>
        <w:spacing w:before="0" w:after="0" w:line="276" w:lineRule="auto"/>
        <w:rPr>
          <w:b/>
          <w:noProof/>
          <w:szCs w:val="24"/>
        </w:rPr>
      </w:pPr>
      <w:r>
        <w:rPr>
          <w:b/>
          <w:noProof/>
        </w:rPr>
        <w:t>Член 5 - Финансиране на пътуване в чужбина с цел тероризъм</w:t>
      </w:r>
    </w:p>
    <w:p w:rsidR="0061292A" w:rsidRDefault="001E2A84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За целите на </w:t>
      </w:r>
      <w:r>
        <w:rPr>
          <w:noProof/>
        </w:rPr>
        <w:t xml:space="preserve">настоящия Протокол, „финансиране на пътуване в чужбина с цел тероризъм“ означава предоставянето или събирането, по какъвто и да било начин, пряко или непряко, на средства, които дават възможност изцяло или частично на дадено лице да пътува в чужбина с цел </w:t>
      </w:r>
      <w:r>
        <w:rPr>
          <w:noProof/>
        </w:rPr>
        <w:t>тероризъм, както е определено в член 4, параграф 1 от настоящия Протокол, знаейки, че средствата са изцяло или частично предназначени да бъдат използвани за тази цел.</w:t>
      </w:r>
    </w:p>
    <w:p w:rsidR="0061292A" w:rsidRDefault="001E2A84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Всяка страна по Конвенцията предприема необходимите мерки за обявяването за престъплен</w:t>
      </w:r>
      <w:r>
        <w:rPr>
          <w:noProof/>
        </w:rPr>
        <w:t>ие по нейното вътрешно право на „финансирането на пътуване в чужбина с цел тероризъм“, определено в параграф 1, когато то е извършено неправомерно и умишлено.</w:t>
      </w:r>
    </w:p>
    <w:p w:rsidR="0061292A" w:rsidRDefault="0061292A">
      <w:pPr>
        <w:pStyle w:val="Text1"/>
        <w:ind w:left="0"/>
        <w:rPr>
          <w:noProof/>
        </w:rPr>
      </w:pPr>
    </w:p>
    <w:p w:rsidR="0061292A" w:rsidRDefault="001E2A84">
      <w:pPr>
        <w:spacing w:before="0" w:after="0" w:line="276" w:lineRule="auto"/>
        <w:rPr>
          <w:b/>
          <w:noProof/>
          <w:szCs w:val="24"/>
        </w:rPr>
      </w:pPr>
      <w:r>
        <w:rPr>
          <w:b/>
          <w:noProof/>
        </w:rPr>
        <w:t>Член 6 - Организиране или подпомагане по друг начин на пътуването в чужбина с цел тероризъм</w:t>
      </w:r>
    </w:p>
    <w:p w:rsidR="0061292A" w:rsidRDefault="001E2A84">
      <w:pPr>
        <w:pStyle w:val="ManualNumPar1"/>
        <w:rPr>
          <w:b/>
          <w:noProof/>
        </w:rPr>
      </w:pPr>
      <w:r>
        <w:rPr>
          <w:noProof/>
        </w:rPr>
        <w:t>1.</w:t>
      </w:r>
      <w:r>
        <w:rPr>
          <w:noProof/>
        </w:rPr>
        <w:tab/>
        <w:t>З</w:t>
      </w:r>
      <w:r>
        <w:rPr>
          <w:noProof/>
        </w:rPr>
        <w:t>а целите на настоящия Протокол, „организиране или подпомагане по друг начин на пътуване в чужбина с цел тероризъм“ означава всяко организиране или подпомагане, с което се асистира дадено лице да пътува в чужбина с цел тероризъм, както е определено в член 4</w:t>
      </w:r>
      <w:r>
        <w:rPr>
          <w:noProof/>
        </w:rPr>
        <w:t>, параграф 1 от настоящия Протокол, знаейки, че средствата са изцяло или частично предназначени да бъдат използвани за тази цел.</w:t>
      </w:r>
    </w:p>
    <w:p w:rsidR="0061292A" w:rsidRDefault="001E2A84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Всяка страна по Конвенцията предприема необходимите мерки за обявяването за престъпление по нейното вътрешно право на „орган</w:t>
      </w:r>
      <w:r>
        <w:rPr>
          <w:noProof/>
        </w:rPr>
        <w:t>изирането или подпомагането по друг начин на пътуване в чужбина с цел тероризъм“, определено в параграф 1, когато то е извършено неправомерно и умишлено.</w:t>
      </w:r>
    </w:p>
    <w:p w:rsidR="0061292A" w:rsidRDefault="0061292A">
      <w:pPr>
        <w:pStyle w:val="Text1"/>
        <w:ind w:left="0"/>
        <w:rPr>
          <w:noProof/>
        </w:rPr>
      </w:pPr>
    </w:p>
    <w:p w:rsidR="0061292A" w:rsidRDefault="001E2A84">
      <w:pPr>
        <w:spacing w:before="0" w:after="0" w:line="276" w:lineRule="auto"/>
        <w:rPr>
          <w:b/>
          <w:noProof/>
          <w:szCs w:val="24"/>
        </w:rPr>
      </w:pPr>
      <w:r>
        <w:rPr>
          <w:b/>
          <w:noProof/>
        </w:rPr>
        <w:t>Член 7 — Обмен на информация</w:t>
      </w:r>
    </w:p>
    <w:p w:rsidR="0061292A" w:rsidRDefault="001E2A84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Без да се засяга член 3, параграф 2</w:t>
      </w:r>
      <w:r>
        <w:rPr>
          <w:i/>
          <w:noProof/>
        </w:rPr>
        <w:t>а</w:t>
      </w:r>
      <w:r>
        <w:rPr>
          <w:noProof/>
        </w:rPr>
        <w:t xml:space="preserve"> от Конвенцията и в съответствие </w:t>
      </w:r>
      <w:r>
        <w:rPr>
          <w:noProof/>
        </w:rPr>
        <w:t>с вътрешното си право и съществуващите международни задължения, всяка страна по Конвенцията предприема необходимите мерки, за да се укрепи своевременният обмен между страните на цялата налична релевантна информация относно лица, пътуващи в чужбина с цел те</w:t>
      </w:r>
      <w:r>
        <w:rPr>
          <w:noProof/>
        </w:rPr>
        <w:t xml:space="preserve">роризъм, както е определено в член 4. За тази цел всяка страна определя точка за контакт, която е на разположение 24 часа в денонощието, седем дни в седмицата. </w:t>
      </w:r>
    </w:p>
    <w:p w:rsidR="0061292A" w:rsidRDefault="001E2A84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Страните могат да изберат да посочат вече съществуваща точка за контакт по параграф 1.</w:t>
      </w:r>
    </w:p>
    <w:p w:rsidR="0061292A" w:rsidRDefault="001E2A84"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Вс</w:t>
      </w:r>
      <w:r>
        <w:rPr>
          <w:noProof/>
        </w:rPr>
        <w:t xml:space="preserve">яка точка за контакт следва да разполага с капацитет за бързо осъществяване на връзка по ускорена процедура с точка за контакт на друга страна. </w:t>
      </w:r>
    </w:p>
    <w:p w:rsidR="0061292A" w:rsidRDefault="0061292A">
      <w:pPr>
        <w:pStyle w:val="Text1"/>
        <w:ind w:left="0"/>
        <w:rPr>
          <w:noProof/>
        </w:rPr>
      </w:pPr>
    </w:p>
    <w:p w:rsidR="0061292A" w:rsidRDefault="001E2A84">
      <w:pPr>
        <w:spacing w:before="0" w:after="200" w:line="276" w:lineRule="auto"/>
        <w:rPr>
          <w:b/>
          <w:noProof/>
          <w:szCs w:val="24"/>
        </w:rPr>
      </w:pPr>
      <w:r>
        <w:rPr>
          <w:b/>
          <w:noProof/>
        </w:rPr>
        <w:t>Член 8 — Условия и гаранции</w:t>
      </w:r>
    </w:p>
    <w:p w:rsidR="0061292A" w:rsidRDefault="001E2A84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Всяка страна по Конвенцията гарантира, че прилагането на настоящия Протокол, вк</w:t>
      </w:r>
      <w:r>
        <w:rPr>
          <w:noProof/>
        </w:rPr>
        <w:t>лючително обявяването за престъпления, прилагането и наказването на деянията, визирани в членове 2 до 6, се извършва при спазване на правата на човека, по-специално свободата на движение, свободата на изразяване, свободата на сдружаване и свободата на рели</w:t>
      </w:r>
      <w:r>
        <w:rPr>
          <w:noProof/>
        </w:rPr>
        <w:t>гията, и предвидени в Европейската конвенция за защита на правата на човека и основните свободи, в Международния пакт за граждански и политически права, и другите задължения по международното право, когато те са приложими към тази страна по Конвенцията.</w:t>
      </w:r>
    </w:p>
    <w:p w:rsidR="0061292A" w:rsidRDefault="001E2A84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Обявяването за престъпления и наказването на деянията, визирани в членове 2 до 6 от настоящия Протокол, следва да бъдат подчинени и на принципа на пропорционалност, като се съблюдават преследваните правомерни цели и необходимостта от тях в едно демократич</w:t>
      </w:r>
      <w:r>
        <w:rPr>
          <w:noProof/>
        </w:rPr>
        <w:t>но общество, и следва да изключват всяка форма на произвол или на дискриминационно или расистко отношение.</w:t>
      </w:r>
    </w:p>
    <w:p w:rsidR="0061292A" w:rsidRDefault="0061292A">
      <w:pPr>
        <w:pStyle w:val="Text1"/>
        <w:ind w:left="0"/>
        <w:rPr>
          <w:noProof/>
        </w:rPr>
      </w:pPr>
    </w:p>
    <w:p w:rsidR="0061292A" w:rsidRDefault="001E2A84">
      <w:pPr>
        <w:spacing w:before="0" w:after="0" w:line="276" w:lineRule="auto"/>
        <w:rPr>
          <w:b/>
          <w:noProof/>
          <w:szCs w:val="24"/>
        </w:rPr>
      </w:pPr>
      <w:r>
        <w:rPr>
          <w:b/>
          <w:noProof/>
        </w:rPr>
        <w:t xml:space="preserve">Член 9 — Връзка между Протокола и Конвенцията </w:t>
      </w:r>
    </w:p>
    <w:p w:rsidR="0061292A" w:rsidRDefault="001E2A84">
      <w:pPr>
        <w:spacing w:before="0" w:after="0" w:line="276" w:lineRule="auto"/>
        <w:rPr>
          <w:b/>
          <w:noProof/>
          <w:szCs w:val="24"/>
        </w:rPr>
      </w:pPr>
      <w:r>
        <w:rPr>
          <w:noProof/>
        </w:rPr>
        <w:t>Думите и изразите, използвани в настоящия Протокол, се тълкуват по смисъла на Конвенцията. Всички раз</w:t>
      </w:r>
      <w:r>
        <w:rPr>
          <w:noProof/>
        </w:rPr>
        <w:t xml:space="preserve">поредби на Конвенцията се прилагат по съответния начин между страните, с изключение на член 9. </w:t>
      </w:r>
    </w:p>
    <w:p w:rsidR="0061292A" w:rsidRDefault="0061292A">
      <w:pPr>
        <w:pStyle w:val="Text1"/>
        <w:ind w:left="0"/>
        <w:rPr>
          <w:noProof/>
        </w:rPr>
      </w:pPr>
    </w:p>
    <w:p w:rsidR="0061292A" w:rsidRDefault="001E2A84">
      <w:pPr>
        <w:spacing w:before="0" w:after="0" w:line="276" w:lineRule="auto"/>
        <w:rPr>
          <w:b/>
          <w:noProof/>
          <w:szCs w:val="24"/>
        </w:rPr>
      </w:pPr>
      <w:r>
        <w:rPr>
          <w:b/>
          <w:noProof/>
        </w:rPr>
        <w:t>Член 10 — Подписване и влизане в сила</w:t>
      </w:r>
    </w:p>
    <w:p w:rsidR="0061292A" w:rsidRDefault="001E2A84">
      <w:pPr>
        <w:pStyle w:val="ManualNumPar1"/>
        <w:rPr>
          <w:b/>
          <w:noProof/>
        </w:rPr>
      </w:pPr>
      <w:r>
        <w:rPr>
          <w:noProof/>
        </w:rPr>
        <w:t>1.</w:t>
      </w:r>
      <w:r>
        <w:rPr>
          <w:noProof/>
        </w:rPr>
        <w:tab/>
      </w:r>
      <w:r>
        <w:rPr>
          <w:noProof/>
        </w:rPr>
        <w:t>Настоящият Протокол е открит за подписване от страните, подписали Конвенцията. Той подлежи на ратификация, одобрение или приемане. Подписваща страна не може да ратифицира, одобри или приеме настоящия Протокол, освен ако предварително не е ратифицирала, при</w:t>
      </w:r>
      <w:r>
        <w:rPr>
          <w:noProof/>
        </w:rPr>
        <w:t xml:space="preserve">ела или одобрила Конвенцията, или осъществява двата процеса едновременно. Инструментите за ратификация, приемане или одобряване се депозират при генералния секретар на Съвета на Европа. </w:t>
      </w:r>
    </w:p>
    <w:p w:rsidR="0061292A" w:rsidRDefault="001E2A84">
      <w:pPr>
        <w:pStyle w:val="ManualNumPar1"/>
        <w:rPr>
          <w:b/>
          <w:noProof/>
        </w:rPr>
      </w:pPr>
      <w:r>
        <w:rPr>
          <w:noProof/>
        </w:rPr>
        <w:t>2.</w:t>
      </w:r>
      <w:r>
        <w:rPr>
          <w:noProof/>
        </w:rPr>
        <w:tab/>
        <w:t xml:space="preserve">Настоящият Протокол влиза в сила на първия ден от месеца, следващ </w:t>
      </w:r>
      <w:r>
        <w:rPr>
          <w:noProof/>
        </w:rPr>
        <w:t xml:space="preserve">изтичането на тримесечен срок от датата на депозирането на шестия от инструментите за ратификация, приемане или одобряване, включващи ратификационните инструменти на поне четири държави — членки на Съвета на Европа. </w:t>
      </w:r>
    </w:p>
    <w:p w:rsidR="0061292A" w:rsidRDefault="001E2A84">
      <w:pPr>
        <w:pStyle w:val="ManualNumPar1"/>
        <w:rPr>
          <w:b/>
          <w:noProof/>
        </w:rPr>
      </w:pPr>
      <w:r>
        <w:rPr>
          <w:noProof/>
        </w:rPr>
        <w:t>3.</w:t>
      </w:r>
      <w:r>
        <w:rPr>
          <w:noProof/>
        </w:rPr>
        <w:tab/>
        <w:t>Що се отнася до подписваща страна, к</w:t>
      </w:r>
      <w:r>
        <w:rPr>
          <w:noProof/>
        </w:rPr>
        <w:t>оято по-късно депозира своя инструмент на ратификация, приемане или одобряване, настоящият Протокол влиза в сила на първия ден от месеца, следващ изтичането на тримесечен срок от датата на депозиране на инструмента за ратификация, одобряване или приемане.</w:t>
      </w:r>
    </w:p>
    <w:p w:rsidR="0061292A" w:rsidRDefault="0061292A">
      <w:pPr>
        <w:pStyle w:val="Text1"/>
        <w:ind w:left="0"/>
        <w:rPr>
          <w:noProof/>
        </w:rPr>
      </w:pPr>
    </w:p>
    <w:p w:rsidR="0061292A" w:rsidRDefault="001E2A84">
      <w:pPr>
        <w:spacing w:before="0" w:after="0" w:line="276" w:lineRule="auto"/>
        <w:rPr>
          <w:b/>
          <w:noProof/>
          <w:szCs w:val="24"/>
        </w:rPr>
      </w:pPr>
      <w:r>
        <w:rPr>
          <w:b/>
          <w:noProof/>
        </w:rPr>
        <w:t>Член 11 — Присъединяване към Протокола</w:t>
      </w:r>
    </w:p>
    <w:p w:rsidR="0061292A" w:rsidRDefault="001E2A84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След влизането в сила на настоящия Протокол, всяка друга държава, която се е присъединила към Конвенцията, може също да се присъедини към настоящия Протокол или да извърши двата процеса едновременно. </w:t>
      </w:r>
    </w:p>
    <w:p w:rsidR="0061292A" w:rsidRDefault="001E2A84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По отноше</w:t>
      </w:r>
      <w:r>
        <w:rPr>
          <w:noProof/>
        </w:rPr>
        <w:t xml:space="preserve">ние на всяка държава, която се присъединява към Протокола съгласно параграф 1 по-горе, Протоколът влиза в сила на първия ден от месеца, следващ изтичането на тримесечен срок от датата на депозиране на документа за присъединяване при генералния секретар на </w:t>
      </w:r>
      <w:r>
        <w:rPr>
          <w:noProof/>
        </w:rPr>
        <w:t>Съвета на Европа.</w:t>
      </w:r>
    </w:p>
    <w:p w:rsidR="0061292A" w:rsidRDefault="0061292A">
      <w:pPr>
        <w:pStyle w:val="Text1"/>
        <w:ind w:left="0"/>
        <w:rPr>
          <w:noProof/>
        </w:rPr>
      </w:pPr>
    </w:p>
    <w:p w:rsidR="0061292A" w:rsidRDefault="001E2A84">
      <w:pPr>
        <w:spacing w:before="0" w:after="0" w:line="276" w:lineRule="auto"/>
        <w:rPr>
          <w:b/>
          <w:noProof/>
          <w:szCs w:val="24"/>
        </w:rPr>
      </w:pPr>
      <w:r>
        <w:rPr>
          <w:b/>
          <w:noProof/>
        </w:rPr>
        <w:t>Член 12 — Териториално приложение</w:t>
      </w:r>
    </w:p>
    <w:p w:rsidR="0061292A" w:rsidRDefault="001E2A84">
      <w:pPr>
        <w:pStyle w:val="ManualNumPar1"/>
        <w:rPr>
          <w:rFonts w:eastAsia="Times New Roman"/>
          <w:b/>
          <w:noProof/>
        </w:rPr>
      </w:pPr>
      <w:r>
        <w:rPr>
          <w:noProof/>
        </w:rPr>
        <w:t>1.</w:t>
      </w:r>
      <w:r>
        <w:rPr>
          <w:noProof/>
        </w:rPr>
        <w:tab/>
        <w:t>Която и да е държава или Европейския съюз може в момента на подписване или при депозиране на своя инструмент за ратификация, приемане или одобряване да определи територията или териториите, спрямо кои</w:t>
      </w:r>
      <w:r>
        <w:rPr>
          <w:noProof/>
        </w:rPr>
        <w:t xml:space="preserve">то се прилага настоящия Протокол. </w:t>
      </w:r>
    </w:p>
    <w:p w:rsidR="0061292A" w:rsidRDefault="001E2A84">
      <w:pPr>
        <w:pStyle w:val="ManualNumPar1"/>
        <w:rPr>
          <w:rFonts w:eastAsia="Times New Roman"/>
          <w:b/>
          <w:noProof/>
        </w:rPr>
      </w:pPr>
      <w:r>
        <w:rPr>
          <w:noProof/>
        </w:rPr>
        <w:t>2.</w:t>
      </w:r>
      <w:r>
        <w:rPr>
          <w:noProof/>
        </w:rPr>
        <w:tab/>
        <w:t>Всяка страна по Конвенцията може на по-късна дата чрез декларация, отправена до генералния секретар на Съвета на Европа, да разпростре прилагането на този Протокол към всяка друга територия, посочена в декларацията. Пр</w:t>
      </w:r>
      <w:r>
        <w:rPr>
          <w:noProof/>
        </w:rPr>
        <w:t xml:space="preserve">отоколът влиза в сила за тази територия на първия ден от месеца, следващ изтичането на тримесечен срок от датата, на която генералният секретар на Съвета на Европа е получил декларацията. </w:t>
      </w:r>
    </w:p>
    <w:p w:rsidR="0061292A" w:rsidRDefault="001E2A84">
      <w:pPr>
        <w:pStyle w:val="ManualNumPar1"/>
        <w:rPr>
          <w:rFonts w:eastAsia="Times New Roman"/>
          <w:b/>
          <w:noProof/>
        </w:rPr>
      </w:pPr>
      <w:r>
        <w:rPr>
          <w:noProof/>
        </w:rPr>
        <w:t>3.</w:t>
      </w:r>
      <w:r>
        <w:rPr>
          <w:noProof/>
        </w:rPr>
        <w:tab/>
        <w:t>Всяка декларация, направена по силата на двата предходни парагра</w:t>
      </w:r>
      <w:r>
        <w:rPr>
          <w:noProof/>
        </w:rPr>
        <w:t>фа, може по отношение на територия, определена в такава декларация, да бъде оттеглена чрез нотификация, адресирана до генералния секретар на Съвета на Европа. Оттеглянето поражда действие в първия ден от месеца, следващ изтичането на тримесечен срок от дат</w:t>
      </w:r>
      <w:r>
        <w:rPr>
          <w:noProof/>
        </w:rPr>
        <w:t xml:space="preserve">ата на получаване на тази нотификация от генералния секретар. </w:t>
      </w:r>
    </w:p>
    <w:p w:rsidR="0061292A" w:rsidRDefault="0061292A">
      <w:pPr>
        <w:pStyle w:val="Text1"/>
        <w:ind w:left="0"/>
        <w:rPr>
          <w:noProof/>
        </w:rPr>
      </w:pPr>
    </w:p>
    <w:p w:rsidR="0061292A" w:rsidRDefault="001E2A84">
      <w:pPr>
        <w:spacing w:before="0" w:after="0" w:line="276" w:lineRule="auto"/>
        <w:rPr>
          <w:b/>
          <w:noProof/>
          <w:szCs w:val="24"/>
        </w:rPr>
      </w:pPr>
      <w:r>
        <w:rPr>
          <w:b/>
          <w:noProof/>
        </w:rPr>
        <w:t xml:space="preserve">Член 13 — Денонсиране </w:t>
      </w:r>
    </w:p>
    <w:p w:rsidR="0061292A" w:rsidRDefault="001E2A84">
      <w:pPr>
        <w:pStyle w:val="ManualNumPar1"/>
        <w:rPr>
          <w:b/>
          <w:noProof/>
        </w:rPr>
      </w:pPr>
      <w:r>
        <w:rPr>
          <w:noProof/>
        </w:rPr>
        <w:t>1.</w:t>
      </w:r>
      <w:r>
        <w:rPr>
          <w:noProof/>
        </w:rPr>
        <w:tab/>
        <w:t>Всяка договаряща се страна може по всяко време да денонсира настоящия Протокол посредством нотификация, адресирана до генералния секретар на Съвета на Европа.</w:t>
      </w:r>
    </w:p>
    <w:p w:rsidR="0061292A" w:rsidRDefault="001E2A84">
      <w:pPr>
        <w:pStyle w:val="ManualNumPar1"/>
        <w:rPr>
          <w:b/>
          <w:noProof/>
        </w:rPr>
      </w:pPr>
      <w:r>
        <w:rPr>
          <w:noProof/>
        </w:rPr>
        <w:t>2.</w:t>
      </w:r>
      <w:r>
        <w:rPr>
          <w:noProof/>
        </w:rPr>
        <w:tab/>
      </w:r>
      <w:r>
        <w:rPr>
          <w:noProof/>
        </w:rPr>
        <w:t>Денонсирането влиза в сила на първия ден от месеца, следващ изтичането на тримесечен срок от датата на получаване на нотификацията от генералния секретар на Съвета на Европа.</w:t>
      </w:r>
    </w:p>
    <w:p w:rsidR="0061292A" w:rsidRDefault="001E2A84">
      <w:pPr>
        <w:pStyle w:val="ManualNumPar1"/>
        <w:rPr>
          <w:b/>
          <w:noProof/>
        </w:rPr>
      </w:pPr>
      <w:r>
        <w:rPr>
          <w:noProof/>
        </w:rPr>
        <w:t>3.</w:t>
      </w:r>
      <w:r>
        <w:rPr>
          <w:noProof/>
        </w:rPr>
        <w:tab/>
        <w:t>Денонсирането на Конвенцията автоматично води до денонсирането на настоящия Пр</w:t>
      </w:r>
      <w:r>
        <w:rPr>
          <w:noProof/>
        </w:rPr>
        <w:t xml:space="preserve">отокол. </w:t>
      </w:r>
    </w:p>
    <w:p w:rsidR="0061292A" w:rsidRDefault="0061292A">
      <w:pPr>
        <w:pStyle w:val="Text1"/>
        <w:ind w:left="0"/>
        <w:rPr>
          <w:noProof/>
        </w:rPr>
      </w:pPr>
    </w:p>
    <w:p w:rsidR="0061292A" w:rsidRDefault="001E2A84">
      <w:pPr>
        <w:spacing w:before="0" w:after="0" w:line="276" w:lineRule="auto"/>
        <w:rPr>
          <w:b/>
          <w:noProof/>
          <w:szCs w:val="24"/>
        </w:rPr>
      </w:pPr>
      <w:r>
        <w:rPr>
          <w:b/>
          <w:noProof/>
        </w:rPr>
        <w:t xml:space="preserve">Член 14 — Нотификации </w:t>
      </w:r>
    </w:p>
    <w:p w:rsidR="0061292A" w:rsidRDefault="001E2A84">
      <w:pPr>
        <w:spacing w:before="0" w:after="0" w:line="276" w:lineRule="auto"/>
        <w:rPr>
          <w:noProof/>
          <w:szCs w:val="24"/>
        </w:rPr>
      </w:pPr>
      <w:r>
        <w:rPr>
          <w:noProof/>
        </w:rPr>
        <w:t>Генералният секретар на Съвета на Европа нотифицира държавите — членки на Съвета на Европа, Европейския съюз, държавите, които не са членове на Съвета на Европа, но са участвали в изготвянето на този Протокол, както и всяка</w:t>
      </w:r>
      <w:r>
        <w:rPr>
          <w:noProof/>
        </w:rPr>
        <w:t xml:space="preserve"> държава, която се е присъединила или е била поканена да се присъедини към Протокола, за: </w:t>
      </w:r>
    </w:p>
    <w:p w:rsidR="0061292A" w:rsidRDefault="0061292A">
      <w:pPr>
        <w:spacing w:before="0" w:after="0" w:line="276" w:lineRule="auto"/>
        <w:rPr>
          <w:noProof/>
          <w:szCs w:val="24"/>
        </w:rPr>
      </w:pPr>
    </w:p>
    <w:p w:rsidR="0061292A" w:rsidRDefault="001E2A84">
      <w:pPr>
        <w:tabs>
          <w:tab w:val="left" w:pos="993"/>
          <w:tab w:val="left" w:pos="1134"/>
          <w:tab w:val="left" w:pos="1560"/>
          <w:tab w:val="left" w:pos="1980"/>
        </w:tabs>
        <w:spacing w:before="0" w:after="0"/>
        <w:rPr>
          <w:rFonts w:eastAsia="Times New Roman"/>
          <w:noProof/>
          <w:szCs w:val="24"/>
        </w:rPr>
      </w:pPr>
      <w:r>
        <w:rPr>
          <w:i/>
          <w:noProof/>
        </w:rPr>
        <w:t>a.</w:t>
      </w:r>
      <w:r>
        <w:rPr>
          <w:noProof/>
        </w:rPr>
        <w:tab/>
        <w:t xml:space="preserve">всяко подписване; </w:t>
      </w:r>
    </w:p>
    <w:p w:rsidR="0061292A" w:rsidRDefault="0061292A">
      <w:pPr>
        <w:tabs>
          <w:tab w:val="left" w:pos="993"/>
          <w:tab w:val="left" w:pos="1134"/>
          <w:tab w:val="left" w:pos="1560"/>
          <w:tab w:val="left" w:pos="1980"/>
        </w:tabs>
        <w:spacing w:before="0" w:after="0"/>
        <w:rPr>
          <w:rFonts w:eastAsia="Times New Roman"/>
          <w:noProof/>
          <w:szCs w:val="24"/>
        </w:rPr>
      </w:pPr>
    </w:p>
    <w:p w:rsidR="0061292A" w:rsidRDefault="001E2A84">
      <w:pPr>
        <w:tabs>
          <w:tab w:val="left" w:pos="993"/>
          <w:tab w:val="left" w:pos="1134"/>
          <w:tab w:val="left" w:pos="1560"/>
          <w:tab w:val="left" w:pos="1980"/>
        </w:tabs>
        <w:spacing w:before="0" w:after="0"/>
        <w:rPr>
          <w:rFonts w:eastAsia="Times New Roman"/>
          <w:noProof/>
          <w:szCs w:val="24"/>
        </w:rPr>
      </w:pPr>
      <w:r>
        <w:rPr>
          <w:i/>
          <w:noProof/>
        </w:rPr>
        <w:t>б.</w:t>
      </w:r>
      <w:r>
        <w:rPr>
          <w:noProof/>
        </w:rPr>
        <w:tab/>
        <w:t xml:space="preserve">депозирането на всеки инструмент за ратификация, приемане, одобряване или присъединяване; </w:t>
      </w:r>
    </w:p>
    <w:p w:rsidR="0061292A" w:rsidRDefault="0061292A">
      <w:pPr>
        <w:tabs>
          <w:tab w:val="left" w:pos="993"/>
          <w:tab w:val="left" w:pos="1134"/>
          <w:tab w:val="left" w:pos="1560"/>
          <w:tab w:val="left" w:pos="1980"/>
        </w:tabs>
        <w:spacing w:before="0" w:after="0"/>
        <w:rPr>
          <w:rFonts w:eastAsia="Times New Roman"/>
          <w:noProof/>
          <w:szCs w:val="24"/>
        </w:rPr>
      </w:pPr>
    </w:p>
    <w:p w:rsidR="0061292A" w:rsidRDefault="001E2A84">
      <w:pPr>
        <w:tabs>
          <w:tab w:val="left" w:pos="993"/>
          <w:tab w:val="left" w:pos="1134"/>
          <w:tab w:val="left" w:pos="1560"/>
          <w:tab w:val="left" w:pos="1980"/>
        </w:tabs>
        <w:spacing w:before="0" w:after="0"/>
        <w:rPr>
          <w:rFonts w:eastAsia="Times New Roman"/>
          <w:noProof/>
          <w:szCs w:val="24"/>
        </w:rPr>
      </w:pPr>
      <w:r>
        <w:rPr>
          <w:i/>
          <w:noProof/>
        </w:rPr>
        <w:t>в.</w:t>
      </w:r>
      <w:r>
        <w:rPr>
          <w:noProof/>
        </w:rPr>
        <w:tab/>
      </w:r>
      <w:r>
        <w:rPr>
          <w:noProof/>
        </w:rPr>
        <w:t xml:space="preserve">всяка дата на влизане в сила на този Протокол съгласно членове 10 и 11; </w:t>
      </w:r>
    </w:p>
    <w:p w:rsidR="0061292A" w:rsidRDefault="0061292A">
      <w:pPr>
        <w:tabs>
          <w:tab w:val="left" w:pos="993"/>
          <w:tab w:val="left" w:pos="1134"/>
          <w:tab w:val="left" w:pos="1560"/>
          <w:tab w:val="left" w:pos="1980"/>
        </w:tabs>
        <w:spacing w:before="0" w:after="0"/>
        <w:rPr>
          <w:rFonts w:eastAsia="Times New Roman"/>
          <w:noProof/>
          <w:szCs w:val="24"/>
        </w:rPr>
      </w:pPr>
    </w:p>
    <w:p w:rsidR="0061292A" w:rsidRDefault="001E2A84">
      <w:pPr>
        <w:tabs>
          <w:tab w:val="left" w:pos="993"/>
          <w:tab w:val="left" w:pos="1134"/>
          <w:tab w:val="left" w:pos="1560"/>
          <w:tab w:val="left" w:pos="1980"/>
        </w:tabs>
        <w:spacing w:before="0" w:after="0"/>
        <w:rPr>
          <w:rFonts w:eastAsia="Times New Roman"/>
          <w:noProof/>
          <w:szCs w:val="24"/>
        </w:rPr>
      </w:pPr>
      <w:r>
        <w:rPr>
          <w:i/>
          <w:noProof/>
        </w:rPr>
        <w:t>г.</w:t>
      </w:r>
      <w:r>
        <w:rPr>
          <w:noProof/>
        </w:rPr>
        <w:tab/>
        <w:t xml:space="preserve">всеки друг акт, декларация, нотификация или съобщение, свързани с настоящия Протокол. </w:t>
      </w:r>
    </w:p>
    <w:p w:rsidR="0061292A" w:rsidRDefault="0061292A">
      <w:pPr>
        <w:tabs>
          <w:tab w:val="left" w:pos="360"/>
          <w:tab w:val="left" w:pos="900"/>
          <w:tab w:val="left" w:pos="1440"/>
          <w:tab w:val="left" w:pos="1980"/>
        </w:tabs>
        <w:spacing w:before="0" w:after="0"/>
        <w:ind w:left="1014" w:hanging="1440"/>
        <w:rPr>
          <w:rFonts w:eastAsia="Times New Roman"/>
          <w:noProof/>
          <w:szCs w:val="24"/>
        </w:rPr>
      </w:pPr>
    </w:p>
    <w:p w:rsidR="0061292A" w:rsidRDefault="001E2A84">
      <w:pPr>
        <w:tabs>
          <w:tab w:val="left" w:pos="360"/>
          <w:tab w:val="left" w:pos="1134"/>
          <w:tab w:val="left" w:pos="1440"/>
          <w:tab w:val="left" w:pos="1980"/>
        </w:tabs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>В потвърждение на което долуподписаните надлежно упълномощени лица подписаха настоящия Прот</w:t>
      </w:r>
      <w:r>
        <w:rPr>
          <w:noProof/>
        </w:rPr>
        <w:t xml:space="preserve">окол. </w:t>
      </w:r>
    </w:p>
    <w:p w:rsidR="0061292A" w:rsidRDefault="0061292A">
      <w:pPr>
        <w:tabs>
          <w:tab w:val="left" w:pos="360"/>
          <w:tab w:val="left" w:pos="1134"/>
          <w:tab w:val="left" w:pos="1440"/>
          <w:tab w:val="left" w:pos="1980"/>
        </w:tabs>
        <w:spacing w:before="0" w:after="0"/>
        <w:ind w:left="426"/>
        <w:rPr>
          <w:rFonts w:eastAsia="Times New Roman"/>
          <w:noProof/>
          <w:szCs w:val="24"/>
        </w:rPr>
      </w:pPr>
    </w:p>
    <w:p w:rsidR="0061292A" w:rsidRDefault="001E2A84">
      <w:pPr>
        <w:rPr>
          <w:noProof/>
        </w:rPr>
      </w:pPr>
      <w:r>
        <w:rPr>
          <w:noProof/>
        </w:rPr>
        <w:t>Изготвен в ... на ... ден от месец ... 2015 г. на английски и френски език, като двата текста имат еднаква сила, в единствен екземпляр, който се депозира в архивите на Съвета на Европа. Генералният секретар на Съвета на Европа предава заверени копи</w:t>
      </w:r>
      <w:r>
        <w:rPr>
          <w:noProof/>
        </w:rPr>
        <w:t>я на всяка държава — членка на Съвета на Европа, на Европейския съюз, на държавите, които не са членове на Съвета на Европа, но са участвали в изготвянето на този Протокол, и на всяка държава, поканена да се присъедини към него.</w:t>
      </w:r>
    </w:p>
    <w:sectPr w:rsidR="0061292A" w:rsidSect="001E2A84"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92A" w:rsidRDefault="001E2A84">
      <w:pPr>
        <w:spacing w:before="0" w:after="0"/>
      </w:pPr>
      <w:r>
        <w:separator/>
      </w:r>
    </w:p>
  </w:endnote>
  <w:endnote w:type="continuationSeparator" w:id="0">
    <w:p w:rsidR="0061292A" w:rsidRDefault="001E2A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84" w:rsidRPr="001E2A84" w:rsidRDefault="001E2A84" w:rsidP="001E2A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84" w:rsidRPr="001E2A84" w:rsidRDefault="001E2A84" w:rsidP="001E2A84">
    <w:pPr>
      <w:pStyle w:val="Footer"/>
      <w:rPr>
        <w:rFonts w:ascii="Arial" w:hAnsi="Arial" w:cs="Arial"/>
        <w:b/>
        <w:sz w:val="48"/>
      </w:rPr>
    </w:pPr>
    <w:r w:rsidRPr="001E2A84">
      <w:rPr>
        <w:rFonts w:ascii="Arial" w:hAnsi="Arial" w:cs="Arial"/>
        <w:b/>
        <w:sz w:val="48"/>
      </w:rPr>
      <w:t>BG</w:t>
    </w:r>
    <w:r w:rsidRPr="001E2A84">
      <w:rPr>
        <w:rFonts w:ascii="Arial" w:hAnsi="Arial" w:cs="Arial"/>
        <w:b/>
        <w:sz w:val="48"/>
      </w:rPr>
      <w:tab/>
    </w:r>
    <w:r w:rsidRPr="001E2A84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1E2A84">
      <w:tab/>
    </w:r>
    <w:r w:rsidRPr="001E2A84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84" w:rsidRPr="001E2A84" w:rsidRDefault="001E2A84" w:rsidP="001E2A8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84" w:rsidRPr="001E2A84" w:rsidRDefault="001E2A84" w:rsidP="001E2A84">
    <w:pPr>
      <w:pStyle w:val="Footer"/>
      <w:rPr>
        <w:rFonts w:ascii="Arial" w:hAnsi="Arial" w:cs="Arial"/>
        <w:b/>
        <w:sz w:val="48"/>
      </w:rPr>
    </w:pPr>
    <w:r w:rsidRPr="001E2A84">
      <w:rPr>
        <w:rFonts w:ascii="Arial" w:hAnsi="Arial" w:cs="Arial"/>
        <w:b/>
        <w:sz w:val="48"/>
      </w:rPr>
      <w:t>BG</w:t>
    </w:r>
    <w:r w:rsidRPr="001E2A84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1E2A84">
      <w:tab/>
    </w:r>
    <w:r w:rsidRPr="001E2A84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84" w:rsidRPr="001E2A84" w:rsidRDefault="001E2A84" w:rsidP="001E2A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92A" w:rsidRDefault="001E2A84">
      <w:pPr>
        <w:spacing w:before="0" w:after="0"/>
      </w:pPr>
      <w:r>
        <w:separator/>
      </w:r>
    </w:p>
  </w:footnote>
  <w:footnote w:type="continuationSeparator" w:id="0">
    <w:p w:rsidR="0061292A" w:rsidRDefault="001E2A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84" w:rsidRPr="001E2A84" w:rsidRDefault="001E2A84" w:rsidP="001E2A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84" w:rsidRPr="001E2A84" w:rsidRDefault="001E2A84" w:rsidP="001E2A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84" w:rsidRPr="001E2A84" w:rsidRDefault="001E2A84" w:rsidP="001E2A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8F8B4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E"/>
    <w:multiLevelType w:val="singleLevel"/>
    <w:tmpl w:val="17DCA3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7F"/>
    <w:multiLevelType w:val="singleLevel"/>
    <w:tmpl w:val="74DC7E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FFFFFF81"/>
    <w:multiLevelType w:val="singleLevel"/>
    <w:tmpl w:val="AC888A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5882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F76B88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3CAF5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8846E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10-18 10:06:5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6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9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D30B7DE57CCC43A2BBE27F1194C32572"/>
    <w:docVar w:name="LW_CROSSREFERENCE" w:val="&lt;UNUSED&gt;"/>
    <w:docVar w:name="LW_DocType" w:val="ANNEX"/>
    <w:docVar w:name="LW_EMISSION" w:val="18.10.2017"/>
    <w:docVar w:name="LW_EMISSION_ISODATE" w:val="2017-10-18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9?\u1082?\u1083?\u1102?\u1095?\u1074?\u1072?\u1085?\u1077? \u1086?\u1090? \u1080?\u1084?\u1077?\u1090?\u1086? \u1085?\u1072? \u1045?\u1074?\u1088?\u1086?\u1087?\u1077?\u1081?\u1089?\u1082?\u1080?\u1103? \u1089?\u1098?\u1102?\u1079? \u1085?\u1072? \u1044?\u1086?\u1087?\u1098?\u1083?\u1085?\u1080?\u1090?\u1077?\u1083?\u1085?\u1080?\u1103? \u1087?\u1088?\u1086?\u1090?\u1086?\u1082?\u1086?\u1083? \u1082?\u1098?\u1084? \u1050?\u1086?\u1085?\u1074?\u1077?\u1085?\u1094?\u1080?\u1103?\u1090?\u1072? \u1085?\u1072? \u1057?\u1098?\u1074?\u1077?\u1090?\u1072? \u1085?\u1072? \u1045?\u1074?\u1088?\u1086?\u1087?\u1072? \u1079?\u1072? \u1087?\u1088?\u1077?\u1076?\u1086?\u1090?\u1074?\u1088?\u1072?\u1090?\u1103?\u1074?\u1072?\u1085?\u1077? \u1085?\u1072? \u1090?\u1077?\u1088?\u1086?\u1088?\u1080?\u1079?\u1084?\u1072? (CETS \u8470? 217)"/>
    <w:docVar w:name="LW_PART_NBR" w:val="1"/>
    <w:docVar w:name="LW_PART_NBR_TOTAL" w:val="1"/>
    <w:docVar w:name="LW_REF.INST.NEW" w:val="COM"/>
    <w:docVar w:name="LW_REF.INST.NEW_ADOPTED" w:val="final"/>
    <w:docVar w:name="LW_REF.INST.NEW_TEXT" w:val="(2017) 607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 \u1079?\u1072? \u1056?\u1077?\u1096?\u1077?\u1085?\u1080?\u1077? \u1085?\u1072? \u1057?\u1098?\u1074?\u1077?\u1090?\u1072? "/>
  </w:docVars>
  <w:rsids>
    <w:rsidRoot w:val="0061292A"/>
    <w:rsid w:val="001E2A84"/>
    <w:rsid w:val="0061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1E2A84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1E2A84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1E2A84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1E2A84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1E2A84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1E2A84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2CE58-C1B8-4376-B340-3FBC445B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7</Pages>
  <Words>1904</Words>
  <Characters>10702</Characters>
  <Application>Microsoft Office Word</Application>
  <DocSecurity>0</DocSecurity>
  <Lines>237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GANDYRA Laura (HOME)</dc:creator>
  <cp:lastModifiedBy>Stefanie Heilemann</cp:lastModifiedBy>
  <cp:revision>8</cp:revision>
  <dcterms:created xsi:type="dcterms:W3CDTF">2017-10-16T11:36:00Z</dcterms:created>
  <dcterms:modified xsi:type="dcterms:W3CDTF">2017-10-18T09:14:00Z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20130911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