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E4" w:rsidRDefault="00C82549" w:rsidP="00C82549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029F8D083D04D5F9A4C1B8157D97BE2" style="width:450.95pt;height:352.4pt">
            <v:imagedata r:id="rId9" o:title=""/>
          </v:shape>
        </w:pict>
      </w:r>
    </w:p>
    <w:p w:rsidR="002512E4" w:rsidRDefault="002512E4">
      <w:pPr>
        <w:rPr>
          <w:noProof/>
        </w:rPr>
        <w:sectPr w:rsidR="002512E4" w:rsidSect="00C825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512E4" w:rsidRDefault="00C82549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2512E4" w:rsidRDefault="00C82549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  <w:r>
        <w:rPr>
          <w:noProof/>
        </w:rPr>
        <w:tab/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Допълнителният протокол към Конвенцията на Съвета на</w:t>
      </w:r>
      <w:r>
        <w:rPr>
          <w:noProof/>
        </w:rPr>
        <w:t xml:space="preserve"> Европа за предотвратяване на тероризма („Допълнителният протокол“) беше приет от Комитета на министрите на 19 май 2015 г. Европейският съюз подписа Допълнителния протокол на 22 октомври 2015 г</w:t>
      </w:r>
      <w:r>
        <w:rPr>
          <w:rStyle w:val="FootnoteReference"/>
          <w:noProof/>
        </w:rPr>
        <w:footnoteReference w:id="2"/>
      </w:r>
      <w:r>
        <w:rPr>
          <w:noProof/>
        </w:rPr>
        <w:t>. Настоящото предложение касае решението да бъде сключен Допъл</w:t>
      </w:r>
      <w:r>
        <w:rPr>
          <w:noProof/>
        </w:rPr>
        <w:t>нителният протокол от името на Съюза.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Допълнителният протокол (Конвенция № 217) допълва Конвенцията на Съвета на Европа за предотвратяване на тероризма (Конвенция № 196). За да може да сключи Допълнителния протокол, Европейският съюз трябва да е сключил ил</w:t>
      </w:r>
      <w:r>
        <w:rPr>
          <w:noProof/>
        </w:rPr>
        <w:t>и да сключи едновременно Конвенция № 196</w:t>
      </w:r>
      <w:r>
        <w:rPr>
          <w:rStyle w:val="FootnoteReference"/>
          <w:noProof/>
        </w:rPr>
        <w:footnoteReference w:id="3"/>
      </w:r>
      <w:r>
        <w:rPr>
          <w:noProof/>
        </w:rPr>
        <w:t>. Поради това настоящото предложение е придружено от предложение за решение за сключване на Конвенция № 196 от името на Съюза и трябва да се чете заедно с него.</w:t>
      </w:r>
    </w:p>
    <w:p w:rsidR="002512E4" w:rsidRDefault="00C82549">
      <w:pPr>
        <w:pStyle w:val="ManualHeading2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 w:rsidR="002512E4" w:rsidRDefault="00C82549">
      <w:pPr>
        <w:tabs>
          <w:tab w:val="left" w:pos="2160"/>
        </w:tabs>
        <w:rPr>
          <w:noProof/>
        </w:rPr>
      </w:pPr>
      <w:r>
        <w:rPr>
          <w:noProof/>
        </w:rPr>
        <w:t>Целта на Допълнителния пр</w:t>
      </w:r>
      <w:r>
        <w:rPr>
          <w:noProof/>
        </w:rPr>
        <w:t>отокол е да допълни Конвенция № 196 със серия от разпоредби, предназначени за прилагането на наказателноправните аспекти на Резолюция 2178(2014) на Съвета за сигурност на ООН относно „заплахите за международния мир и сигурност, предизвикани от терористични</w:t>
      </w:r>
      <w:r>
        <w:rPr>
          <w:noProof/>
        </w:rPr>
        <w:t xml:space="preserve"> актове“. В тази резолюция Съветът за сигурност призовава държавите — членки на ООН, да предприемат поредица от мерки, предназначени да предотвратят и ограничат потока от чуждестранни бойци терористи към зони на конфликти.</w:t>
      </w:r>
    </w:p>
    <w:p w:rsidR="002512E4" w:rsidRDefault="00C82549">
      <w:pPr>
        <w:tabs>
          <w:tab w:val="left" w:pos="2160"/>
        </w:tabs>
        <w:rPr>
          <w:noProof/>
        </w:rPr>
      </w:pPr>
      <w:r>
        <w:rPr>
          <w:noProof/>
        </w:rPr>
        <w:t>Допълнителният протокол представл</w:t>
      </w:r>
      <w:r>
        <w:rPr>
          <w:noProof/>
        </w:rPr>
        <w:t>ява отговор на този призив, като способства за постигането на общо разбиране и противодействие на престъпленията, свързани с чуждестранни бойци терористи, което да послужи като еталон за обмена на информация и улеснява трансграничните разследвани</w:t>
      </w:r>
      <w:bookmarkStart w:id="0" w:name="_GoBack"/>
      <w:bookmarkEnd w:id="0"/>
      <w:r>
        <w:rPr>
          <w:noProof/>
        </w:rPr>
        <w:t>я и наказа</w:t>
      </w:r>
      <w:r>
        <w:rPr>
          <w:noProof/>
        </w:rPr>
        <w:t xml:space="preserve">телното преследване на действия с подготвителен характер, които имат потенциала и крият опасността да доведат до извършване на терористични престъпления. 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По този начин Допълнителният протокол предвижда обявяването за престъпления на следните действия: уча</w:t>
      </w:r>
      <w:r>
        <w:rPr>
          <w:noProof/>
        </w:rPr>
        <w:t>стие в сдружение или група с цел тероризъм (член 2), получаване на обучение с цел тероризъм (член 3), пътуване или опит за пътуване с цел тероризъм (член 4), предоставяне или набиране на средства за пътуване с цел тероризъм (член 5) и организиране и подпом</w:t>
      </w:r>
      <w:r>
        <w:rPr>
          <w:noProof/>
        </w:rPr>
        <w:t>агане на такова пътуване (член 6). На последно място, член 7 има за цел засилването на обмена на информация, като задължава страните да определят звено за контакт, което своевременно да предоставя или разглежда искания за информация, с която разполага.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Чле</w:t>
      </w:r>
      <w:r>
        <w:rPr>
          <w:noProof/>
        </w:rPr>
        <w:t xml:space="preserve">н 2 се счита за важен инструмент за ефективното разследване и наказателно преследване на онези, които допринасят със своите дейности за извършването на терористични престъпления от терористични групи. 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lastRenderedPageBreak/>
        <w:t>В член 3 се предвижда обявяването за престъпление на д</w:t>
      </w:r>
      <w:r>
        <w:rPr>
          <w:noProof/>
        </w:rPr>
        <w:t>ействия с подготвителен характер, т.е. получаването на обучение за терористична дейност, което допълва съществуващото престъпление за предоставяне на обучение, установено в член 7 от Конвенция № 196. В същото време с разпоредбата на член 3 се повишават пра</w:t>
      </w:r>
      <w:r>
        <w:rPr>
          <w:noProof/>
        </w:rPr>
        <w:t xml:space="preserve">вната сигурност и ефективността на членове 4—6 от Допълнителния протокол, доколкото в нея се предвижда определение за получаването на обучение за терористична дейност, което се посочва като една от целите на пътуването. 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С членове 4—6 се цели да се транспо</w:t>
      </w:r>
      <w:r>
        <w:rPr>
          <w:noProof/>
        </w:rPr>
        <w:t>нира параграф 6, букви а)—в) от Резолюция 2178(2014) на СС на ООН. Посредством тези членове в кръга на действията с подготвителен характер, подлежащи вече на криминализиране съгласно Конвенция № 196, (т.е. публичната провокация, осигуряването на обучение с</w:t>
      </w:r>
      <w:r>
        <w:rPr>
          <w:noProof/>
        </w:rPr>
        <w:t xml:space="preserve"> цел тероризъм и набиране с цел тероризъм) се включват други действия. 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С разпоредбата относно засиления обмен на информация/звената за контакт в член 7 Допълнителният протокол отговаря на призива в оперативна точка 3 от Резолюция 2178(2014) за засилено ме</w:t>
      </w:r>
      <w:r>
        <w:rPr>
          <w:noProof/>
        </w:rPr>
        <w:t xml:space="preserve">ждународно сътрудничество, като същевременно по-конкретно улеснява предотвратяването и разследването на пътуванията към трети държави с цел извършване на терористични престъпления или участие в дейности за обучение за терористични цели. </w:t>
      </w:r>
    </w:p>
    <w:p w:rsidR="002512E4" w:rsidRDefault="00C82549">
      <w:pPr>
        <w:tabs>
          <w:tab w:val="left" w:pos="2160"/>
        </w:tabs>
        <w:spacing w:before="0" w:after="0"/>
        <w:rPr>
          <w:noProof/>
          <w:szCs w:val="20"/>
        </w:rPr>
      </w:pPr>
      <w:r>
        <w:rPr>
          <w:noProof/>
        </w:rPr>
        <w:t>Допълнителният про</w:t>
      </w:r>
      <w:r>
        <w:rPr>
          <w:noProof/>
        </w:rPr>
        <w:t>токол влезе в сила на 1 юли 2017 г. Към 11 юли 2017 г. три държави — членки на ЕС, са ратифицирали Допълнителния протокол, а двадесет и четири държави — членки на ЕС, са го подписали</w:t>
      </w:r>
      <w:r>
        <w:rPr>
          <w:rStyle w:val="FootnoteReference"/>
          <w:noProof/>
        </w:rPr>
        <w:footnoteReference w:id="4"/>
      </w:r>
      <w:r>
        <w:rPr>
          <w:noProof/>
        </w:rPr>
        <w:t>. Европейският съюз подписа Допълнителния протокол на 22 октомври 2015 г.</w:t>
      </w:r>
    </w:p>
    <w:p w:rsidR="002512E4" w:rsidRDefault="00C82549">
      <w:pPr>
        <w:pStyle w:val="ManualHeading2"/>
        <w:rPr>
          <w:b w:val="0"/>
          <w:noProof/>
          <w:szCs w:val="20"/>
        </w:rPr>
      </w:pPr>
      <w:r>
        <w:rPr>
          <w:noProof/>
        </w:rPr>
        <w:t>3.</w:t>
      </w:r>
      <w:r>
        <w:rPr>
          <w:noProof/>
        </w:rPr>
        <w:tab/>
        <w:t>ОСНОВАНИЯ ЗА ПРЕДЛОЖЕНИЕТО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 xml:space="preserve">През последните години терористичната заплаха нарасна и претърпя бърза еволюция. Лицата, определяни като „чуждестранни бойци терористи“, пътуват в чужбина с цел тероризъм. Завръщащите се чуждестранни бойци терористи </w:t>
      </w:r>
      <w:r>
        <w:rPr>
          <w:noProof/>
        </w:rPr>
        <w:t xml:space="preserve">представляват повишена заплаха за сигурността на всички държави членки. Установена беше връзка между чуждестранни бойци терористи и извършени неотдавна атентати и заговори в няколко държави членки. Освен това Европейският съюз и неговите държави членки са </w:t>
      </w:r>
      <w:r>
        <w:rPr>
          <w:noProof/>
        </w:rPr>
        <w:t>изправени пред нарастваща заплаха от лица, които са надъхвани или наставлявани от терористични групи в чужбина. Действията срещу тероризма трябва да се засилят не само на национално равнище, но също така и на общоевропейско равнище и отвъд него.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Тероризмът</w:t>
      </w:r>
      <w:r>
        <w:rPr>
          <w:noProof/>
        </w:rPr>
        <w:t xml:space="preserve"> е от планетарно естество и представлява нарастваща заплаха за основните права, демокрацията и принципите на правовата държава в Европа и в целия свят. Терористичните атентати са произволни. Жертва на тероризъм може да бъде всеки. 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Терористичните атентати,</w:t>
      </w:r>
      <w:r>
        <w:rPr>
          <w:noProof/>
        </w:rPr>
        <w:t xml:space="preserve"> извършени през последните години в Европейския съюз и другаде по света, са неприемливи нарушения на принципите, залегнали в основата на демократичните общества. В отговор на такава трайна заплаха Европейският съюз е повече от всякога длъжен да действа еди</w:t>
      </w:r>
      <w:r>
        <w:rPr>
          <w:noProof/>
        </w:rPr>
        <w:t xml:space="preserve">нно, за да насърчава и отстоява принципите, които са главната причина за неговото съществуване. 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Поради трансграничното естество на тероризма е необходимо тясно международно сътрудничество. Общото разбиране за престъпленията, свързани с чуждестранните бойц</w:t>
      </w:r>
      <w:r>
        <w:rPr>
          <w:noProof/>
        </w:rPr>
        <w:t xml:space="preserve">и терористи, и за престъпленията от подготвителен характер, които могат да </w:t>
      </w:r>
      <w:r>
        <w:rPr>
          <w:noProof/>
        </w:rPr>
        <w:lastRenderedPageBreak/>
        <w:t>доведат до извършването на терористични актове, допринася за допълнително повишаване на ефективността на инструментите и сътрудничеството в областта на наказателното правосъдие на р</w:t>
      </w:r>
      <w:r>
        <w:rPr>
          <w:noProof/>
        </w:rPr>
        <w:t>авнището на Съюза и на международно равнище. Фактът, че правните норми в тази област — включително прилагащите се на територията на ЕС, често произтичат от международни инструменти, като например Допълнителния протокол, потвърждава още повече необходимостт</w:t>
      </w:r>
      <w:r>
        <w:rPr>
          <w:noProof/>
        </w:rPr>
        <w:t>а Европейският съюз да се изразява единно на международно равнище.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Накрая Европейският съюз прие пълен набор от правни инструменти за борба с тероризма, които са описани по-долу. Разпоредбите, съдържащи се в тези инструменти, съвпадат почти напълно с разпо</w:t>
      </w:r>
      <w:r>
        <w:rPr>
          <w:noProof/>
        </w:rPr>
        <w:t xml:space="preserve">редбите на Допълнителния протокол. Допълнителният протокол вероятно ще засегне тези общи правила или ще промени приложното им поле.  </w:t>
      </w:r>
    </w:p>
    <w:p w:rsidR="002512E4" w:rsidRDefault="00C82549">
      <w:pPr>
        <w:tabs>
          <w:tab w:val="left" w:pos="2160"/>
        </w:tabs>
        <w:rPr>
          <w:noProof/>
          <w:szCs w:val="20"/>
        </w:rPr>
      </w:pPr>
      <w:r>
        <w:rPr>
          <w:noProof/>
        </w:rPr>
        <w:t>С приемането на Директива (ЕС) 2017/514 относно борбата с тероризма Европейският съюз е готов да изпълни своя ангажимент д</w:t>
      </w:r>
      <w:r>
        <w:rPr>
          <w:noProof/>
        </w:rPr>
        <w:t xml:space="preserve">а бъде страна по Допълнителния протокол, като сключи този инструмент. </w:t>
      </w:r>
    </w:p>
    <w:p w:rsidR="002512E4" w:rsidRDefault="00C82549">
      <w:pPr>
        <w:pStyle w:val="ManualHeading2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ПРАВНИ ЕЛЕМЕНТИ НА ПРЕДЛОЖЕНИЕТО</w:t>
      </w:r>
    </w:p>
    <w:p w:rsidR="002512E4" w:rsidRDefault="00C82549">
      <w:pPr>
        <w:pStyle w:val="ManualHeading2"/>
        <w:rPr>
          <w:noProof/>
        </w:rPr>
      </w:pPr>
      <w:r>
        <w:rPr>
          <w:noProof/>
        </w:rPr>
        <w:t>4.1</w:t>
      </w:r>
      <w:r>
        <w:rPr>
          <w:noProof/>
        </w:rPr>
        <w:tab/>
        <w:t>Компетентност на Съюза да сключи Допълнителния протокол</w:t>
      </w:r>
    </w:p>
    <w:p w:rsidR="002512E4" w:rsidRDefault="00C82549">
      <w:pPr>
        <w:rPr>
          <w:noProof/>
        </w:rPr>
      </w:pPr>
      <w:r>
        <w:rPr>
          <w:noProof/>
        </w:rPr>
        <w:t>Член 3, параграф 2 от ДФЕС предвижда, че Съюзът разполага с изключителна компетентност „</w:t>
      </w:r>
      <w:r>
        <w:rPr>
          <w:i/>
          <w:noProof/>
        </w:rPr>
        <w:t>з</w:t>
      </w:r>
      <w:r>
        <w:rPr>
          <w:i/>
          <w:noProof/>
        </w:rPr>
        <w:t>а сключване на международни споразумения [...] доколкото [сключването им] може да засегне общите правила или да промени техния обхват</w:t>
      </w:r>
      <w:r>
        <w:rPr>
          <w:noProof/>
        </w:rPr>
        <w:t>“. Международно споразумение може да засегне общи правила или да промени техния обхват, когато областта, обхваната в спораз</w:t>
      </w:r>
      <w:r>
        <w:rPr>
          <w:noProof/>
        </w:rPr>
        <w:t>умението, се припокрива със законодателство на Съюза или е обхваната до голяма степен от правото на Съюза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 </w:t>
      </w:r>
    </w:p>
    <w:p w:rsidR="002512E4" w:rsidRDefault="00C82549">
      <w:pPr>
        <w:rPr>
          <w:noProof/>
          <w:szCs w:val="20"/>
        </w:rPr>
      </w:pPr>
      <w:r>
        <w:rPr>
          <w:noProof/>
        </w:rPr>
        <w:t xml:space="preserve">Съюзът вече е приел мерки в областта, обхваната от Допълнителния протокол, включително разпоредби на материалното наказателно право, както и </w:t>
      </w:r>
      <w:r>
        <w:rPr>
          <w:noProof/>
        </w:rPr>
        <w:t>разпоредба относно засиления обмен на информация. Правната уредба на ЕС, уреждаща престъпленията, свързани с тероризма, е установена в Директива (ЕС) 2017/541 относно борбата срещу тероризма</w:t>
      </w:r>
      <w:r>
        <w:rPr>
          <w:rStyle w:val="FootnoteReference"/>
          <w:noProof/>
        </w:rPr>
        <w:footnoteReference w:id="6"/>
      </w:r>
      <w:r>
        <w:rPr>
          <w:noProof/>
        </w:rPr>
        <w:t>, която заменя Рамково решение 2002/475/ПВР на Съвета относно бор</w:t>
      </w:r>
      <w:r>
        <w:rPr>
          <w:noProof/>
        </w:rPr>
        <w:t>бата срещу тероризма по отношение на държавите членки, обвързани с Директивата. Съображение 5 от Директивата изрично препраща към Резолюция 2178(2014) на СС на ООН и Допълнителния протокол. Директивата определя правната уредба в областта на наказателното п</w:t>
      </w:r>
      <w:r>
        <w:rPr>
          <w:noProof/>
        </w:rPr>
        <w:t>раво за всички престъпления, определени от Допълнителния протокол, и предвижда съпътстващи правила за санкциите, компетентността и отговорността на юридическите лица.</w:t>
      </w:r>
    </w:p>
    <w:p w:rsidR="002512E4" w:rsidRDefault="00C82549">
      <w:pPr>
        <w:rPr>
          <w:noProof/>
        </w:rPr>
      </w:pPr>
      <w:r>
        <w:rPr>
          <w:noProof/>
        </w:rPr>
        <w:t xml:space="preserve">Разпоредбите на Допълнителния протокол, свързани с обмена на информация, са обхванати от </w:t>
      </w:r>
      <w:r>
        <w:rPr>
          <w:noProof/>
        </w:rPr>
        <w:t>Решение 2005/671/ПВР на Съвета относно обмена на информация и сътрудничеството по отношение на терористични престъпления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, които Директива (ЕС) 2017/541 също изменя. </w:t>
      </w:r>
    </w:p>
    <w:p w:rsidR="002512E4" w:rsidRDefault="00C82549">
      <w:pPr>
        <w:rPr>
          <w:noProof/>
        </w:rPr>
      </w:pPr>
      <w:r>
        <w:rPr>
          <w:noProof/>
        </w:rPr>
        <w:t>Други инструменти на Съюза от значение в това отношение са по-специално Рамково решение 2</w:t>
      </w:r>
      <w:r>
        <w:rPr>
          <w:noProof/>
        </w:rPr>
        <w:t xml:space="preserve">006/960/ПВР на Съвета от 18 декември 2006 г. за опростяване обмена на информация и сведения между правоприлагащите органи на държавите — членки на </w:t>
      </w:r>
      <w:r>
        <w:rPr>
          <w:noProof/>
        </w:rPr>
        <w:lastRenderedPageBreak/>
        <w:t>Европейския съюз</w:t>
      </w:r>
      <w:r>
        <w:rPr>
          <w:rStyle w:val="FootnoteReference"/>
          <w:noProof/>
        </w:rPr>
        <w:footnoteReference w:id="8"/>
      </w:r>
      <w:r>
        <w:rPr>
          <w:noProof/>
        </w:rPr>
        <w:t>, както и Решение 2008/615/ПВР на Съвета от 23 юни 2008 г. за засилване на трансграничното с</w:t>
      </w:r>
      <w:r>
        <w:rPr>
          <w:noProof/>
        </w:rPr>
        <w:t>ътрудничество, по-специално в борбата срещу тероризма и трансграничната престъпност („Решение Прюм“)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. Тези инструменти уреждат обмена на информация за целите на наказателните разследвания по въпроси, свързани с тероризма, от една страна, и създаването на </w:t>
      </w:r>
      <w:r>
        <w:rPr>
          <w:noProof/>
        </w:rPr>
        <w:t>звена за контакт за обмен на информация, от друга страна. Европол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подкрепя по-специално полицейското сътрудничество между държавите членки и между държавите членки и трети държави за адекватен отговор на явлението, което представляват чуждестранните бойци</w:t>
      </w:r>
      <w:r>
        <w:rPr>
          <w:noProof/>
        </w:rPr>
        <w:t xml:space="preserve"> терористи. </w:t>
      </w:r>
    </w:p>
    <w:p w:rsidR="002512E4" w:rsidRDefault="00C82549">
      <w:pPr>
        <w:tabs>
          <w:tab w:val="left" w:pos="2160"/>
        </w:tabs>
        <w:rPr>
          <w:noProof/>
          <w:szCs w:val="24"/>
        </w:rPr>
      </w:pPr>
      <w:r>
        <w:rPr>
          <w:noProof/>
        </w:rPr>
        <w:t xml:space="preserve">Областта, обхваната от Допълнителния протокол, се припокрива със законодателството на Съюза и при всяко положение до голяма степен е обхваната от правото на Съюза. Поради това неговото сключване може да </w:t>
      </w:r>
      <w:r>
        <w:rPr>
          <w:i/>
          <w:noProof/>
        </w:rPr>
        <w:t>„засегне общите правила или да промени т</w:t>
      </w:r>
      <w:r>
        <w:rPr>
          <w:i/>
          <w:noProof/>
        </w:rPr>
        <w:t>ехния обхват“</w:t>
      </w:r>
      <w:r>
        <w:rPr>
          <w:noProof/>
        </w:rPr>
        <w:t xml:space="preserve"> по смисъла на член 3, параграф 2 от ДФЕС. По тази причина Европейският съюз има изключителна компетентност да сключи Допълнителния протокол.</w:t>
      </w:r>
    </w:p>
    <w:p w:rsidR="002512E4" w:rsidRDefault="00C82549">
      <w:pPr>
        <w:pStyle w:val="ManualHeading2"/>
        <w:rPr>
          <w:noProof/>
        </w:rPr>
      </w:pPr>
      <w:r>
        <w:rPr>
          <w:noProof/>
        </w:rPr>
        <w:t>4.2</w:t>
      </w:r>
      <w:r>
        <w:rPr>
          <w:noProof/>
        </w:rPr>
        <w:tab/>
        <w:t xml:space="preserve">Правно основание за предложеното решение  </w:t>
      </w:r>
    </w:p>
    <w:p w:rsidR="002512E4" w:rsidRDefault="00C82549">
      <w:pPr>
        <w:rPr>
          <w:noProof/>
        </w:rPr>
      </w:pPr>
      <w:r>
        <w:rPr>
          <w:noProof/>
        </w:rPr>
        <w:t>Изборът на правно основание на мярка на ЕС трябва да с</w:t>
      </w:r>
      <w:r>
        <w:rPr>
          <w:noProof/>
        </w:rPr>
        <w:t>е основава на обективни критерии, които да могат да бъдат предмет на съдебен контрол. Те включват целта и съдържанието на въпросната мярка</w:t>
      </w:r>
      <w:r>
        <w:rPr>
          <w:rStyle w:val="FootnoteReference"/>
          <w:noProof/>
        </w:rPr>
        <w:footnoteReference w:id="11"/>
      </w:r>
      <w:r>
        <w:rPr>
          <w:noProof/>
        </w:rPr>
        <w:t>. Ако при проверката на мярката на Съюза се установи, че тя има двойна цел или че е съставена от две части, едната от</w:t>
      </w:r>
      <w:r>
        <w:rPr>
          <w:noProof/>
        </w:rPr>
        <w:t xml:space="preserve"> които може да бъде определена като основна или преобладаваща, докато другата е само акцесорна, мярката трябва да има едно-единствено правно основание, а именно правно основание, което съответства на основната или преобладаващата цел или съставна част. </w:t>
      </w:r>
    </w:p>
    <w:p w:rsidR="002512E4" w:rsidRDefault="00C82549">
      <w:pPr>
        <w:rPr>
          <w:noProof/>
        </w:rPr>
      </w:pPr>
      <w:r>
        <w:rPr>
          <w:noProof/>
        </w:rPr>
        <w:t>Пр</w:t>
      </w:r>
      <w:r>
        <w:rPr>
          <w:noProof/>
        </w:rPr>
        <w:t>еобладаващата цел на Допълнителния протокол е да се въведат определения за престъпления, свързани с тероризма, за което Съюзът разполага с компетентност по силата на член 83, параграф 1 от ДФЕС. Материалноправното основание за подписването на Допълнителния</w:t>
      </w:r>
      <w:r>
        <w:rPr>
          <w:noProof/>
        </w:rPr>
        <w:t xml:space="preserve"> протокол следователно е член 83, параграф 1 от ДФЕС. Член 7 (относно засиления обмен на информация чрез определяне на звена за контакт) улеснява разкриването, предотвратяването и разследването на извършващите пътувания или опити за пътувания и по този нач</w:t>
      </w:r>
      <w:r>
        <w:rPr>
          <w:noProof/>
        </w:rPr>
        <w:t>ин подпомага практическото прилагане на член 4 от Допълнителния протокол. Ето защо той е с акцесорен характер.</w:t>
      </w:r>
    </w:p>
    <w:p w:rsidR="002512E4" w:rsidRDefault="00C82549">
      <w:pPr>
        <w:rPr>
          <w:noProof/>
        </w:rPr>
      </w:pPr>
      <w:r>
        <w:rPr>
          <w:noProof/>
        </w:rPr>
        <w:t xml:space="preserve">Директивата относно борбата срещу тероризма, чиято основна цел е да въведе минимални правила за дефиниция и санкции на терористични и свързани с </w:t>
      </w:r>
      <w:r>
        <w:rPr>
          <w:noProof/>
        </w:rPr>
        <w:t>тероризма престъпления, също бе приета въз основа на член 83, параграф 1 от ДФЕС. Тя включва също разпоредби за подобряване на обмена на информация и за оказването на подкрепа и защита на жертвите на тероризъм.</w:t>
      </w:r>
    </w:p>
    <w:p w:rsidR="002512E4" w:rsidRDefault="00C82549">
      <w:pPr>
        <w:rPr>
          <w:noProof/>
        </w:rPr>
      </w:pPr>
      <w:r>
        <w:rPr>
          <w:noProof/>
        </w:rPr>
        <w:t xml:space="preserve">В член 218, параграф 6 от ДФЕС се предвижда, </w:t>
      </w:r>
      <w:r>
        <w:rPr>
          <w:noProof/>
        </w:rPr>
        <w:t>че Съветът, по предложение на преговарящия, приема решение за сключване на споразумението. В член 218, параграф 6, буква а) от ДФЕС се предвижда, че когато едно споразумение обхваща области, за които се прилага обикновената законодателна процедура, Съветът</w:t>
      </w:r>
      <w:r>
        <w:rPr>
          <w:noProof/>
        </w:rPr>
        <w:t xml:space="preserve"> приема решение за </w:t>
      </w:r>
      <w:r>
        <w:rPr>
          <w:noProof/>
        </w:rPr>
        <w:lastRenderedPageBreak/>
        <w:t xml:space="preserve">сключване на споразумението, след като получи одобрението на Европейския парламент. </w:t>
      </w:r>
    </w:p>
    <w:p w:rsidR="002512E4" w:rsidRDefault="00C82549">
      <w:pPr>
        <w:rPr>
          <w:noProof/>
        </w:rPr>
      </w:pPr>
      <w:r>
        <w:rPr>
          <w:noProof/>
        </w:rPr>
        <w:t>Допълнителният протокол обхваща области, за които се прилага обикновената законодателна процедура, а именно определянето на минимални правила относно де</w:t>
      </w:r>
      <w:r>
        <w:rPr>
          <w:noProof/>
        </w:rPr>
        <w:t>финицията на престъпленията в областта на тероризма (член 83, параграф 1 от ДФЕС), за което е необходимо одобрение от Европейския парламент. Поради това процесуалноправното основание за предложеното решение е член 218, параграф 6, буква а) от ДФЕС.</w:t>
      </w:r>
    </w:p>
    <w:p w:rsidR="002512E4" w:rsidRDefault="00C82549">
      <w:pPr>
        <w:pStyle w:val="ManualHeading2"/>
        <w:rPr>
          <w:noProof/>
        </w:rPr>
      </w:pPr>
      <w:r>
        <w:rPr>
          <w:noProof/>
        </w:rPr>
        <w:t>4.3</w:t>
      </w:r>
      <w:r>
        <w:rPr>
          <w:noProof/>
        </w:rPr>
        <w:tab/>
        <w:t>Зве</w:t>
      </w:r>
      <w:r>
        <w:rPr>
          <w:noProof/>
        </w:rPr>
        <w:t>но за контакт за обмен на информация</w:t>
      </w:r>
    </w:p>
    <w:p w:rsidR="002512E4" w:rsidRDefault="00C82549">
      <w:pPr>
        <w:rPr>
          <w:noProof/>
        </w:rPr>
      </w:pPr>
      <w:r>
        <w:rPr>
          <w:noProof/>
        </w:rPr>
        <w:t>В съответствие с член 7 от Протокола страните трябва да определят звено за контакт за обмен на информация по всяко време на денонощието относно чуждестранни бойци терористи. Предлага се Европол да бъде определен за това</w:t>
      </w:r>
      <w:r>
        <w:rPr>
          <w:noProof/>
        </w:rPr>
        <w:t xml:space="preserve"> звено за контакт съгласно условията, предвидени в Регламент (ЕС) 2016/794 относно отношенията с партньорите и предаването и обмена на лични данни. </w:t>
      </w:r>
    </w:p>
    <w:p w:rsidR="002512E4" w:rsidRDefault="00C82549">
      <w:pPr>
        <w:pStyle w:val="ManualHeading2"/>
        <w:rPr>
          <w:noProof/>
        </w:rPr>
      </w:pPr>
      <w:r>
        <w:rPr>
          <w:noProof/>
        </w:rPr>
        <w:t>4.4</w:t>
      </w:r>
      <w:r>
        <w:rPr>
          <w:noProof/>
        </w:rPr>
        <w:tab/>
        <w:t>Териториално приложение</w:t>
      </w:r>
    </w:p>
    <w:p w:rsidR="002512E4" w:rsidRDefault="00C82549">
      <w:pPr>
        <w:rPr>
          <w:noProof/>
        </w:rPr>
      </w:pPr>
      <w:r>
        <w:rPr>
          <w:noProof/>
        </w:rPr>
        <w:t xml:space="preserve">В съответствие с Протокол № 22 към Договора за Европейския съюз Допълнителният </w:t>
      </w:r>
      <w:r>
        <w:rPr>
          <w:noProof/>
        </w:rPr>
        <w:t xml:space="preserve">протокол, подписан и впоследствие сключен от Европейския съюз, обвързва и се прилага във всички държави — членки на ЕС, с изключение на Дания. В съответствие с Протокол № 21 към Договора за Европейския съюз Допълнителният протокол, подписан и впоследствие </w:t>
      </w:r>
      <w:r>
        <w:rPr>
          <w:noProof/>
        </w:rPr>
        <w:t>сключен от Европейския съюз, обвързва и се прилага в Обединеното кралство само ако тази държава членка уведоми Съвета за желанието си да участва в приемането и прилагането на инструмента. Ирландия е обвързана от Рамково решение 2002/475/ПВР и поради това у</w:t>
      </w:r>
      <w:r>
        <w:rPr>
          <w:noProof/>
        </w:rPr>
        <w:t>частва в приемането на настоящото решение.</w:t>
      </w:r>
    </w:p>
    <w:p w:rsidR="002512E4" w:rsidRDefault="002512E4">
      <w:pPr>
        <w:rPr>
          <w:noProof/>
        </w:rPr>
      </w:pPr>
    </w:p>
    <w:p w:rsidR="002512E4" w:rsidRDefault="002512E4">
      <w:pPr>
        <w:rPr>
          <w:noProof/>
        </w:rPr>
        <w:sectPr w:rsidR="002512E4" w:rsidSect="00C82549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2"/>
          <w:cols w:space="708"/>
          <w:docGrid w:linePitch="360"/>
        </w:sectPr>
      </w:pPr>
    </w:p>
    <w:p w:rsidR="002512E4" w:rsidRDefault="00C82549" w:rsidP="00C82549">
      <w:pPr>
        <w:pStyle w:val="Rfrenceinterinstitutionnelle"/>
        <w:rPr>
          <w:noProof/>
        </w:rPr>
      </w:pPr>
      <w:r w:rsidRPr="00C82549">
        <w:lastRenderedPageBreak/>
        <w:t>2017/0266 (NLE)</w:t>
      </w:r>
    </w:p>
    <w:p w:rsidR="002512E4" w:rsidRDefault="00C82549" w:rsidP="00C82549">
      <w:pPr>
        <w:pStyle w:val="Statut"/>
        <w:rPr>
          <w:noProof/>
        </w:rPr>
      </w:pPr>
      <w:r w:rsidRPr="00C82549">
        <w:t>Предложение за</w:t>
      </w:r>
    </w:p>
    <w:p w:rsidR="002512E4" w:rsidRDefault="00C82549" w:rsidP="00C82549">
      <w:pPr>
        <w:pStyle w:val="Typedudocument"/>
        <w:rPr>
          <w:noProof/>
        </w:rPr>
      </w:pPr>
      <w:r w:rsidRPr="00C82549">
        <w:t>РЕШЕНИЕ НА СЪВЕТА</w:t>
      </w:r>
    </w:p>
    <w:p w:rsidR="002512E4" w:rsidRDefault="00C82549" w:rsidP="00C82549">
      <w:pPr>
        <w:pStyle w:val="Titreobjet"/>
        <w:rPr>
          <w:noProof/>
        </w:rPr>
      </w:pPr>
      <w:r w:rsidRPr="00C82549">
        <w:t>за сключване от името на Европейския съюз на Допълнителния протокол към Конвенцията на Съвета на Европа за предотвратяване на тероризма (CETS №</w:t>
      </w:r>
      <w:r>
        <w:t> </w:t>
      </w:r>
      <w:r w:rsidRPr="00C82549">
        <w:t>217)</w:t>
      </w:r>
    </w:p>
    <w:p w:rsidR="002512E4" w:rsidRDefault="00C82549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2512E4" w:rsidRDefault="00C82549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83, параграф 1 във връзка с член 218,</w:t>
      </w:r>
      <w:r>
        <w:rPr>
          <w:noProof/>
        </w:rPr>
        <w:t xml:space="preserve"> параграф 6, буква а) от него,</w:t>
      </w:r>
    </w:p>
    <w:p w:rsidR="002512E4" w:rsidRDefault="00C82549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2512E4" w:rsidRDefault="00C82549"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 w:rsidR="002512E4" w:rsidRDefault="00C82549">
      <w:pPr>
        <w:rPr>
          <w:noProof/>
        </w:rPr>
      </w:pPr>
      <w:r>
        <w:rPr>
          <w:noProof/>
        </w:rPr>
        <w:t>като има предвид, че:</w:t>
      </w:r>
    </w:p>
    <w:p w:rsidR="002512E4" w:rsidRDefault="00C82549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(ЕС) 2015/1914 на Съвета от 18 септември 2015 г.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Допълнителният протокол към Конвенцията на Съвета на Европа за предотвратяване на тероризма (CETS № 196) („Допълнителният протокол“) беше подписан на 22 октомври 2015 г., при условие че бъде сключен.</w:t>
      </w:r>
    </w:p>
    <w:p w:rsidR="002512E4" w:rsidRDefault="00C82549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Член 10 от Допълнителния протокол предвижда, че той</w:t>
      </w:r>
      <w:r>
        <w:rPr>
          <w:noProof/>
        </w:rPr>
        <w:t xml:space="preserve"> е открит за одобрение от Европейския съюз. </w:t>
      </w:r>
    </w:p>
    <w:p w:rsidR="002512E4" w:rsidRDefault="00C82549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Съюзът вече е приел мерки в различните области, обхванати от Допълнителния протокол. </w:t>
      </w:r>
    </w:p>
    <w:p w:rsidR="002512E4" w:rsidRDefault="00C82549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Допълнителният протокол задължава страните да определят звено за контакт за целите на обмена на информация за лица, к</w:t>
      </w:r>
      <w:r>
        <w:rPr>
          <w:noProof/>
        </w:rPr>
        <w:t xml:space="preserve">оито пътуват с терористични цели. </w:t>
      </w:r>
    </w:p>
    <w:p w:rsidR="002512E4" w:rsidRDefault="00C82549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Ирландия е обвързана от Рамково решение 2002/475/ПВР на Съвета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и поради това участва в приемането на настоящото решение.</w:t>
      </w:r>
    </w:p>
    <w:p w:rsidR="002512E4" w:rsidRDefault="00C82549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[В съответствие с член 3 от Протокол № 21 относно позицията на Обединеното кралство и Ирлан</w:t>
      </w:r>
      <w:r>
        <w:rPr>
          <w:noProof/>
        </w:rPr>
        <w:t>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Обединеното кралство е нотифицирало желанието си да участва в приемането и прилагането н</w:t>
      </w:r>
      <w:r>
        <w:rPr>
          <w:noProof/>
        </w:rPr>
        <w:t>а настоящото решение</w:t>
      </w:r>
      <w:r>
        <w:rPr>
          <w:noProof/>
        </w:rPr>
        <w:br/>
        <w:t>ИЛИ</w:t>
      </w:r>
      <w:r>
        <w:rPr>
          <w:noProof/>
        </w:rPr>
        <w:tab/>
      </w:r>
      <w:r>
        <w:rPr>
          <w:noProof/>
        </w:rPr>
        <w:br/>
        <w:t>В съответствие с членове 1 и 2 от Протокол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</w:t>
      </w:r>
      <w:r>
        <w:rPr>
          <w:noProof/>
        </w:rPr>
        <w:t>нкционирането на Европейския съюз, и без да се засяга член 4 от посочения протокол, Обединеното кралство не участва в приемането на настоящото решение и не е обвързано от него, нито от неговото прилагане].</w:t>
      </w:r>
    </w:p>
    <w:p w:rsidR="002512E4" w:rsidRDefault="00C82549">
      <w:pPr>
        <w:pStyle w:val="ManualConsidrant"/>
        <w:rPr>
          <w:noProof/>
        </w:rPr>
      </w:pPr>
      <w:r>
        <w:lastRenderedPageBreak/>
        <w:t>(7)</w:t>
      </w:r>
      <w:r>
        <w:tab/>
      </w:r>
      <w:r>
        <w:rPr>
          <w:noProof/>
        </w:rPr>
        <w:t>В съответствие с членове 1 и 2 от Протокол № 2</w:t>
      </w:r>
      <w:r>
        <w:rPr>
          <w:noProof/>
        </w:rPr>
        <w:t xml:space="preserve">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 </w:t>
      </w:r>
    </w:p>
    <w:p w:rsidR="002512E4" w:rsidRDefault="00C82549"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Ето защо Допълните</w:t>
      </w:r>
      <w:r>
        <w:rPr>
          <w:noProof/>
        </w:rPr>
        <w:t xml:space="preserve">лният протокол следва да бъде одобрен от името на </w:t>
      </w:r>
      <w:r>
        <w:t xml:space="preserve"> </w:t>
      </w:r>
      <w:r>
        <w:rPr>
          <w:noProof/>
        </w:rPr>
        <w:t>Европейския съюз</w:t>
      </w:r>
      <w:r>
        <w:t>.</w:t>
      </w:r>
      <w:r>
        <w:rPr>
          <w:noProof/>
        </w:rPr>
        <w:t xml:space="preserve"> </w:t>
      </w:r>
    </w:p>
    <w:p w:rsidR="002512E4" w:rsidRDefault="00C82549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2512E4" w:rsidRDefault="00C82549">
      <w:pPr>
        <w:pStyle w:val="Titrearticle"/>
        <w:rPr>
          <w:noProof/>
        </w:rPr>
      </w:pPr>
      <w:r>
        <w:rPr>
          <w:noProof/>
        </w:rPr>
        <w:t>Член 1</w:t>
      </w:r>
    </w:p>
    <w:p w:rsidR="002512E4" w:rsidRDefault="00C82549">
      <w:pPr>
        <w:rPr>
          <w:noProof/>
        </w:rPr>
      </w:pPr>
      <w:r>
        <w:rPr>
          <w:noProof/>
        </w:rPr>
        <w:t>С настоящото Допълнителният протокол към Конвенцията на Съвета на Европа за предотвратяване на тероризма (CETS № 196) се одобрява от името на Европейския</w:t>
      </w:r>
      <w:r>
        <w:rPr>
          <w:noProof/>
        </w:rPr>
        <w:t xml:space="preserve"> съюз.</w:t>
      </w:r>
      <w:r>
        <w:t xml:space="preserve"> </w:t>
      </w:r>
    </w:p>
    <w:p w:rsidR="002512E4" w:rsidRDefault="00C82549">
      <w:pPr>
        <w:rPr>
          <w:noProof/>
        </w:rPr>
      </w:pPr>
      <w:r>
        <w:rPr>
          <w:noProof/>
        </w:rPr>
        <w:t>Текстът на Допълнителния протокол е приложен към настоящото решение</w:t>
      </w:r>
      <w:r>
        <w:t>.</w:t>
      </w:r>
    </w:p>
    <w:p w:rsidR="002512E4" w:rsidRDefault="00C82549">
      <w:pPr>
        <w:pStyle w:val="Titrearticle"/>
        <w:keepNext w:val="0"/>
        <w:rPr>
          <w:noProof/>
        </w:rPr>
      </w:pPr>
      <w:r>
        <w:rPr>
          <w:noProof/>
        </w:rPr>
        <w:t>Член 2</w:t>
      </w:r>
    </w:p>
    <w:p w:rsidR="002512E4" w:rsidRDefault="00C82549">
      <w:pPr>
        <w:rPr>
          <w:noProof/>
        </w:rPr>
      </w:pPr>
      <w:r>
        <w:rPr>
          <w:noProof/>
        </w:rPr>
        <w:t xml:space="preserve">Агенцията на Европейския съюз за сътрудничество в областта на правоприлагането (Европол) се определя за звеното за контакт, предвидено в член 7 от Допълнителния протокол и </w:t>
      </w:r>
      <w:r>
        <w:rPr>
          <w:noProof/>
        </w:rPr>
        <w:t>в съответствие с Регламент (ЕС) 2016/794 на Европейския парламент и на Съвета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. </w:t>
      </w:r>
    </w:p>
    <w:p w:rsidR="002512E4" w:rsidRDefault="00C82549">
      <w:pPr>
        <w:pStyle w:val="Titrearticle"/>
        <w:keepNext w:val="0"/>
        <w:rPr>
          <w:noProof/>
        </w:rPr>
      </w:pPr>
      <w:r>
        <w:rPr>
          <w:noProof/>
        </w:rPr>
        <w:t>Член 3</w:t>
      </w:r>
    </w:p>
    <w:p w:rsidR="002512E4" w:rsidRDefault="00C82549">
      <w:pPr>
        <w:rPr>
          <w:noProof/>
        </w:rPr>
      </w:pPr>
      <w:r>
        <w:rPr>
          <w:noProof/>
        </w:rPr>
        <w:t>Председателят на Съвета определя лицето, оправомощено да извърши от името на Европейския съюз предвиденото в член 10 от Допълнителния протокол депозиране на инструмента</w:t>
      </w:r>
      <w:r>
        <w:rPr>
          <w:noProof/>
        </w:rPr>
        <w:t xml:space="preserve"> за одобрение, за да се изрази съгласието на Европейския съюз да бъде обвързан с Допълнителния протокол.</w:t>
      </w:r>
    </w:p>
    <w:p w:rsidR="002512E4" w:rsidRDefault="00C82549">
      <w:pPr>
        <w:pStyle w:val="Titrearticle"/>
        <w:rPr>
          <w:noProof/>
        </w:rPr>
      </w:pPr>
      <w:r>
        <w:rPr>
          <w:noProof/>
        </w:rPr>
        <w:t>Член 4</w:t>
      </w:r>
    </w:p>
    <w:p w:rsidR="002512E4" w:rsidRDefault="00C82549"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на приемането му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.  </w:t>
      </w:r>
    </w:p>
    <w:p w:rsidR="002512E4" w:rsidRDefault="00C82549" w:rsidP="00C82549">
      <w:pPr>
        <w:pStyle w:val="Fait"/>
        <w:rPr>
          <w:noProof/>
        </w:rPr>
      </w:pPr>
      <w:r w:rsidRPr="00C82549">
        <w:t xml:space="preserve">Съставено в Брюксел на </w:t>
      </w:r>
      <w:r w:rsidRPr="00C82549">
        <w:rPr>
          <w:rStyle w:val="Marker2"/>
        </w:rPr>
        <w:t>[…]</w:t>
      </w:r>
      <w:r w:rsidRPr="00C82549">
        <w:t xml:space="preserve"> година.</w:t>
      </w:r>
    </w:p>
    <w:p w:rsidR="002512E4" w:rsidRDefault="00C82549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2512E4" w:rsidRDefault="00C82549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2512E4" w:rsidSect="00C82549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E4" w:rsidRDefault="00C82549">
      <w:pPr>
        <w:spacing w:before="0" w:after="0"/>
      </w:pPr>
      <w:r>
        <w:separator/>
      </w:r>
    </w:p>
  </w:endnote>
  <w:endnote w:type="continuationSeparator" w:id="0">
    <w:p w:rsidR="002512E4" w:rsidRDefault="00C82549">
      <w:pPr>
        <w:spacing w:before="0" w:after="0"/>
      </w:pPr>
      <w:r>
        <w:continuationSeparator/>
      </w:r>
    </w:p>
  </w:endnote>
  <w:endnote w:type="continuationNotice" w:id="1">
    <w:p w:rsidR="002512E4" w:rsidRDefault="002512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9" w:rsidRPr="00C82549" w:rsidRDefault="00C82549" w:rsidP="00C82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9" w:rsidRPr="00C82549" w:rsidRDefault="00C82549" w:rsidP="00C82549">
    <w:pPr>
      <w:pStyle w:val="Footer"/>
      <w:rPr>
        <w:rFonts w:ascii="Arial" w:hAnsi="Arial" w:cs="Arial"/>
        <w:b/>
        <w:sz w:val="48"/>
      </w:rPr>
    </w:pPr>
    <w:r w:rsidRPr="00C82549">
      <w:rPr>
        <w:rFonts w:ascii="Arial" w:hAnsi="Arial" w:cs="Arial"/>
        <w:b/>
        <w:sz w:val="48"/>
      </w:rPr>
      <w:t>BG</w:t>
    </w:r>
    <w:r w:rsidRPr="00C82549">
      <w:rPr>
        <w:rFonts w:ascii="Arial" w:hAnsi="Arial" w:cs="Arial"/>
        <w:b/>
        <w:sz w:val="48"/>
      </w:rPr>
      <w:tab/>
    </w:r>
    <w:r w:rsidRPr="00C82549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C82549">
      <w:tab/>
    </w:r>
    <w:proofErr w:type="spellStart"/>
    <w:r w:rsidRPr="00C82549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9" w:rsidRPr="00C82549" w:rsidRDefault="00C82549" w:rsidP="00C8254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E4" w:rsidRPr="00C82549" w:rsidRDefault="00C82549" w:rsidP="00C82549">
    <w:pPr>
      <w:pStyle w:val="Footer"/>
      <w:rPr>
        <w:rFonts w:ascii="Arial" w:hAnsi="Arial" w:cs="Arial"/>
        <w:b/>
        <w:sz w:val="48"/>
      </w:rPr>
    </w:pPr>
    <w:r w:rsidRPr="00C82549">
      <w:rPr>
        <w:rFonts w:ascii="Arial" w:hAnsi="Arial" w:cs="Arial"/>
        <w:b/>
        <w:sz w:val="48"/>
      </w:rPr>
      <w:t>BG</w:t>
    </w:r>
    <w:r w:rsidRPr="00C8254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C82549">
      <w:tab/>
    </w:r>
    <w:r w:rsidRPr="00C82549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9" w:rsidRPr="00C82549" w:rsidRDefault="00C82549" w:rsidP="00C82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E4" w:rsidRDefault="00C82549">
      <w:pPr>
        <w:spacing w:before="0" w:after="0"/>
      </w:pPr>
      <w:r>
        <w:separator/>
      </w:r>
    </w:p>
  </w:footnote>
  <w:footnote w:type="continuationSeparator" w:id="0">
    <w:p w:rsidR="002512E4" w:rsidRDefault="00C82549">
      <w:pPr>
        <w:spacing w:before="0" w:after="0"/>
      </w:pPr>
      <w:r>
        <w:continuationSeparator/>
      </w:r>
    </w:p>
  </w:footnote>
  <w:footnote w:type="continuationNotice" w:id="1">
    <w:p w:rsidR="002512E4" w:rsidRDefault="002512E4">
      <w:pPr>
        <w:spacing w:before="0" w:after="0"/>
      </w:pPr>
    </w:p>
  </w:footnote>
  <w:footnote w:id="2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(ЕС) </w:t>
      </w:r>
      <w:r>
        <w:t>2015/1913 на Съвета от 18 септември 2015 г. за подписване, от името на Европейския съюз, на Конвенцията на Съвета на Европа за предотвратяване на тероризма (CETS № 196, ОВ L 280, 24.10.2015 г., стр. 22) и Решение (ЕС) 2015/1914 на Съвета от 18 септември 20</w:t>
      </w:r>
      <w:r>
        <w:t>15 г. за подписване от името на Европейския съюз на Допълнителния протокол към Конвенцията на Съвета на Европа за предотвратяване на тероризма (CETS № 196, ОВ L 280, 24.10.2015 г., стр. 24.).</w:t>
      </w:r>
    </w:p>
  </w:footnote>
  <w:footnote w:id="3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Вж. член 10 от Допълнителния протокол.</w:t>
      </w:r>
    </w:p>
  </w:footnote>
  <w:footnote w:id="4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Служба по договорите </w:t>
      </w:r>
      <w:r>
        <w:t xml:space="preserve">към Съвета на Европа, </w:t>
      </w:r>
      <w:hyperlink r:id="rId1">
        <w:r>
          <w:rPr>
            <w:rStyle w:val="Hyperlink"/>
          </w:rPr>
          <w:t>диаграма на подписванията и ратификациите по член 217 от Договора</w:t>
        </w:r>
      </w:hyperlink>
      <w:r>
        <w:t>, състояние към 29 август 2017 г.</w:t>
      </w:r>
    </w:p>
  </w:footnote>
  <w:footnote w:id="5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Дело 22/70, </w:t>
      </w:r>
      <w:r>
        <w:rPr>
          <w:i/>
        </w:rPr>
        <w:t>Комисия/Съвет</w:t>
      </w:r>
      <w:r>
        <w:t>, Сборник 1971 г., стр. 263 и Становище на Съда 3/15 от 14 февруари 2017 г. (</w:t>
      </w:r>
      <w:r>
        <w:rPr>
          <w:i/>
        </w:rPr>
        <w:t>Маракешки договор</w:t>
      </w:r>
      <w:r>
        <w:t>).</w:t>
      </w:r>
    </w:p>
  </w:footnote>
  <w:footnote w:id="6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Директива (ЕС) 2017/541 относно борбата с тероризма и за замяна на Рамково решение 2002/475/ПВР на Съвета, и за изменение на Решение 2005/671/ПВ</w:t>
      </w:r>
      <w:r>
        <w:t>Р на Съвета (ОВ L 88, 31.3.2017 г., стр. 6).</w:t>
      </w:r>
    </w:p>
  </w:footnote>
  <w:footnote w:id="7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OВ L 253, 29.9.2005 г, стр. 22.</w:t>
      </w:r>
    </w:p>
  </w:footnote>
  <w:footnote w:id="8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OВ L 386, 29.12.2006 г, стр. 89.</w:t>
      </w:r>
    </w:p>
  </w:footnote>
  <w:footnote w:id="9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ОВ L 210, 6.</w:t>
      </w:r>
      <w:proofErr w:type="spellStart"/>
      <w:r>
        <w:t>6</w:t>
      </w:r>
      <w:proofErr w:type="spellEnd"/>
      <w:r>
        <w:t>.2008 г., стр. 1.</w:t>
      </w:r>
    </w:p>
  </w:footnote>
  <w:footnote w:id="10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Регламент (ЕС) 2016/794 на Европейския парламент и на Съвета от 11 май 2016 г. относно Агенцията на Европей</w:t>
      </w:r>
      <w:r>
        <w:t>ския съюз за сътрудничество в областта на правоприлагането (</w:t>
      </w:r>
      <w:proofErr w:type="spellStart"/>
      <w:r>
        <w:t>Европол</w:t>
      </w:r>
      <w:proofErr w:type="spellEnd"/>
      <w:r>
        <w:t>) и за замяна и отмяна на решения 2009/371/ПВР, 2009/934/ПВР, 2009/935/ПВР, 2009/936/ПВР и 2009/968/ПВР на Съвета (ОВ L 135, 24.5.2016 г., стр. 53).</w:t>
      </w:r>
    </w:p>
  </w:footnote>
  <w:footnote w:id="11">
    <w:p w:rsidR="002512E4" w:rsidRDefault="00C82549">
      <w:pPr>
        <w:pStyle w:val="FootnoteText"/>
        <w:ind w:left="397" w:hanging="397"/>
      </w:pPr>
      <w:r>
        <w:rPr>
          <w:rStyle w:val="FootnoteReference"/>
        </w:rPr>
        <w:footnoteRef/>
      </w:r>
      <w:r>
        <w:tab/>
      </w:r>
      <w:r>
        <w:t xml:space="preserve">Решение </w:t>
      </w:r>
      <w:r>
        <w:rPr>
          <w:i/>
        </w:rPr>
        <w:t>Комисия/Съвет</w:t>
      </w:r>
      <w:r>
        <w:t>, C-377/12, точка</w:t>
      </w:r>
      <w:r>
        <w:t> 34.</w:t>
      </w:r>
    </w:p>
  </w:footnote>
  <w:footnote w:id="12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Решение (ЕС) 2015/1914 на Съвета от 18 септември 2015 г. (ОВ L 280, 24.10.2015 г., стр. 22).</w:t>
      </w:r>
    </w:p>
  </w:footnote>
  <w:footnote w:id="13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Рамково решение 2002/475/ПВР на Съвета от 13 юни 2002 г. относно борбата срещу тероризма (ОВ L 164, 22.6.2002 г., стр. 3).</w:t>
      </w:r>
    </w:p>
  </w:footnote>
  <w:footnote w:id="14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>Регламент (ЕС) 2016/794 на Ев</w:t>
      </w:r>
      <w:r>
        <w:t>ропейския парламент и на Съвета от 11 май 2016 г. относно Агенцията на Европейския съюз за сътрудничество в областта на правоприлагането (</w:t>
      </w:r>
      <w:proofErr w:type="spellStart"/>
      <w:r>
        <w:t>Европол</w:t>
      </w:r>
      <w:proofErr w:type="spellEnd"/>
      <w:r>
        <w:t>) и за замяна и отмяна на решения 2009/371/ПВР, 2009/934/ПВР, 2009/935/ПВР, 2009/936/ПВР и 2009/968/ПВР на Съве</w:t>
      </w:r>
      <w:r>
        <w:t>та (ОВ L 135, 24.5.2016 г., стр. 53).</w:t>
      </w:r>
    </w:p>
  </w:footnote>
  <w:footnote w:id="15">
    <w:p w:rsidR="002512E4" w:rsidRDefault="00C82549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Датата на влизане на Допълнителния протокол в сила за Европейския съюз ще бъде публикувана в </w:t>
      </w:r>
      <w:r>
        <w:rPr>
          <w:i/>
        </w:rPr>
        <w:t>Официален вестник на Европейския съюз</w:t>
      </w:r>
      <w:r>
        <w:t xml:space="preserve"> от Генералния секретариат на Съвета.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9" w:rsidRPr="00C82549" w:rsidRDefault="00C82549" w:rsidP="00C82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9" w:rsidRPr="00C82549" w:rsidRDefault="00C82549" w:rsidP="00C825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9" w:rsidRPr="00C82549" w:rsidRDefault="00C82549" w:rsidP="00C82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75C0B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1C204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17A43C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D7BE2C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80C6D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EC4B0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B25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DB89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8 10:05:1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0029F8D083D04D5F9A4C1B8157D97BE2"/>
    <w:docVar w:name="LW_CROSSREFERENCE" w:val="&lt;UNUSED&gt;"/>
    <w:docVar w:name="LW_DocType" w:val="COM"/>
    <w:docVar w:name="LW_EMISSION" w:val="18.10.2017"/>
    <w:docVar w:name="LW_EMISSION_ISODATE" w:val="2017-10-18"/>
    <w:docVar w:name="LW_EMISSION_LOCATION" w:val="BRX"/>
    <w:docVar w:name="LW_EMISSION_PREFIX" w:val="\u1041?\u1088?\u1102?\u1082?\u1089?\u1077?\u1083?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66"/>
    <w:docVar w:name="LW_REF.II.NEW.CP_YEAR" w:val="2017"/>
    <w:docVar w:name="LW_REF.INST.NEW" w:val="COM"/>
    <w:docVar w:name="LW_REF.INST.NEW_ADOPTED" w:val="final"/>
    <w:docVar w:name="LW_REF.INST.NEW_TEXT" w:val="(2017) 60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6?\u1090? \u1080?\u1084?\u1077?\u1090?\u1086? \u1085?\u1072? \u1045?\u1074?\u1088?\u1086?\u1087?\u1077?\u1081?\u1089?\u1082?\u1080?\u1103? \u1089?\u1098?\u1102?\u1079? \u1085?\u1072? \u1044?\u1086?\u1087?\u1098?\u1083?\u1085?\u1080?\u1090?\u1077?\u1083?\u1085?\u1080?\u1103? \u1087?\u1088?\u1086?\u1090?\u1086?\u1082?\u1086?\u1083? \u1082?\u1098?\u1084? \u1050?\u1086?\u1085?\u1074?\u1077?\u1085?\u1094?\u1080?\u1103?\u1090?\u1072? \u1085?\u1072? \u1057?\u1098?\u1074?\u1077?\u1090?\u1072? \u1085?\u1072? \u1045?\u1074?\u1088?\u1086?\u1087?\u1072? \u1079?\u1072? \u1087?\u1088?\u1077?\u1076?\u1086?\u1090?\u1074?\u1088?\u1072?\u1090?\u1103?\u1074?\u1072?\u1085?\u1077? \u1085?\u1072? \u1090?\u1077?\u1088?\u1086?\u1088?\u1080?\u1079?\u1084?\u1072? (CETS \u8470? 217)"/>
    <w:docVar w:name="LW_TYPE.DOC.CP" w:val="\u1056?\u1045?\u1064?\u1045?\u1053?\u1048?\u1045? \u1053?\u1040? \u1057?\u1066?\u1042?\u1045?\u1058?\u1040?"/>
  </w:docVars>
  <w:rsids>
    <w:rsidRoot w:val="002512E4"/>
    <w:rsid w:val="002512E4"/>
    <w:rsid w:val="00C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normal10">
    <w:name w:val="normal10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54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8254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8254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normal10">
    <w:name w:val="normal10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54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8254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8254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2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1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396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8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75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9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0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1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32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4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n/web/conventions/full-list/-/conventions/treaty/217/signatures?p_auth=nQO4txj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59A8-0BEA-42D7-A634-5385218A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8</Pages>
  <Words>2413</Words>
  <Characters>14164</Characters>
  <Application>Microsoft Office Word</Application>
  <DocSecurity>0</DocSecurity>
  <Lines>252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19</cp:revision>
  <cp:lastPrinted>2017-10-10T14:56:00Z</cp:lastPrinted>
  <dcterms:created xsi:type="dcterms:W3CDTF">2017-10-17T13:35:00Z</dcterms:created>
  <dcterms:modified xsi:type="dcterms:W3CDTF">2017-10-18T09:15:00Z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