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E9" w:rsidRDefault="001D4691" w:rsidP="001D469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770A95E34404B04BB19B3F73A90F77B" style="width:451.35pt;height:351.4pt">
            <v:imagedata r:id="rId9" o:title=""/>
          </v:shape>
        </w:pict>
      </w:r>
    </w:p>
    <w:p w:rsidR="004218E9" w:rsidRDefault="004218E9">
      <w:pPr>
        <w:rPr>
          <w:noProof/>
        </w:rPr>
        <w:sectPr w:rsidR="004218E9" w:rsidSect="001D469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218E9" w:rsidRDefault="001D4691">
      <w:pPr>
        <w:pStyle w:val="Exposdesmotifstitre"/>
        <w:rPr>
          <w:noProof/>
        </w:rPr>
      </w:pPr>
      <w:r>
        <w:rPr>
          <w:noProof/>
        </w:rPr>
        <w:lastRenderedPageBreak/>
        <w:t>EXPLANATORY MEMORANDUM</w:t>
      </w:r>
    </w:p>
    <w:p w:rsidR="004218E9" w:rsidRDefault="001D4691">
      <w:pPr>
        <w:pStyle w:val="ManualHeading1"/>
        <w:rPr>
          <w:noProof/>
        </w:rPr>
      </w:pPr>
      <w:r>
        <w:rPr>
          <w:noProof/>
        </w:rPr>
        <w:t>1.</w:t>
      </w:r>
      <w:r>
        <w:rPr>
          <w:noProof/>
        </w:rPr>
        <w:tab/>
        <w:t>SUBJECT-MATTER OF THE PROPOSAL</w:t>
      </w:r>
    </w:p>
    <w:p w:rsidR="004218E9" w:rsidRDefault="001D4691">
      <w:pPr>
        <w:tabs>
          <w:tab w:val="left" w:pos="2160"/>
        </w:tabs>
        <w:rPr>
          <w:noProof/>
          <w:szCs w:val="20"/>
        </w:rPr>
      </w:pPr>
      <w:r>
        <w:rPr>
          <w:noProof/>
          <w:szCs w:val="20"/>
        </w:rPr>
        <w:t xml:space="preserve">The Council of Europe Convention on the </w:t>
      </w:r>
      <w:r>
        <w:rPr>
          <w:noProof/>
          <w:szCs w:val="20"/>
        </w:rPr>
        <w:t>Prevention of Terrorism (Convention No. 196) was opened for signature on 16 May 2005. The European Union signed Convention No. 196 on 22 October 2015</w:t>
      </w:r>
      <w:r>
        <w:rPr>
          <w:rStyle w:val="FootnoteReference"/>
          <w:noProof/>
          <w:szCs w:val="20"/>
        </w:rPr>
        <w:footnoteReference w:id="2"/>
      </w:r>
      <w:r>
        <w:rPr>
          <w:noProof/>
          <w:szCs w:val="20"/>
        </w:rPr>
        <w:t>. The present proposal concerns the decision to conclude Convention No. 196 on behalf of the Union. It mus</w:t>
      </w:r>
      <w:r>
        <w:rPr>
          <w:noProof/>
          <w:szCs w:val="20"/>
        </w:rPr>
        <w:t>t be read together with a proposal concerning a decision to conclude the Additional Protocol (Convention No. 217) that supplements the Convention on the Prevention of Terrorism (Convention No. 196).</w:t>
      </w:r>
    </w:p>
    <w:p w:rsidR="004218E9" w:rsidRDefault="001D4691">
      <w:pPr>
        <w:pStyle w:val="ManualHeading1"/>
        <w:rPr>
          <w:rFonts w:eastAsia="Times New Roman"/>
          <w:b w:val="0"/>
          <w:noProof/>
          <w:szCs w:val="24"/>
          <w:lang w:eastAsia="en-GB"/>
        </w:rPr>
      </w:pPr>
      <w:r>
        <w:rPr>
          <w:rFonts w:eastAsia="Times New Roman"/>
          <w:noProof/>
          <w:szCs w:val="24"/>
          <w:lang w:eastAsia="en-GB"/>
        </w:rPr>
        <w:t>2.</w:t>
      </w:r>
      <w:r>
        <w:rPr>
          <w:rFonts w:eastAsia="Times New Roman"/>
          <w:b w:val="0"/>
          <w:noProof/>
          <w:szCs w:val="24"/>
          <w:lang w:eastAsia="en-GB"/>
        </w:rPr>
        <w:tab/>
      </w:r>
      <w:r>
        <w:rPr>
          <w:rFonts w:eastAsia="Times New Roman"/>
          <w:noProof/>
          <w:szCs w:val="24"/>
          <w:lang w:eastAsia="en-GB"/>
        </w:rPr>
        <w:t>CONTEXT OF THE PROPOSAL</w:t>
      </w:r>
    </w:p>
    <w:p w:rsidR="004218E9" w:rsidRDefault="001D4691">
      <w:pPr>
        <w:spacing w:before="100" w:beforeAutospacing="1" w:after="100" w:afterAutospacing="1"/>
        <w:rPr>
          <w:rFonts w:eastAsia="Times New Roman"/>
          <w:noProof/>
          <w:szCs w:val="24"/>
          <w:lang w:eastAsia="en-GB"/>
        </w:rPr>
      </w:pPr>
      <w:r>
        <w:rPr>
          <w:rFonts w:eastAsia="Times New Roman"/>
          <w:noProof/>
          <w:szCs w:val="24"/>
          <w:lang w:eastAsia="en-GB"/>
        </w:rPr>
        <w:t xml:space="preserve">The purpose of Convention No. </w:t>
      </w:r>
      <w:r>
        <w:rPr>
          <w:rFonts w:eastAsia="Times New Roman"/>
          <w:noProof/>
          <w:szCs w:val="24"/>
          <w:lang w:eastAsia="en-GB"/>
        </w:rPr>
        <w:t>196 is to enhance the efforts of the parties in preventing terrorism and its negative effects on the full enjoyment of human rights, in particular the right to life, both by measures taken at national level and through international co-operation (Article 2</w:t>
      </w:r>
      <w:r>
        <w:rPr>
          <w:rFonts w:eastAsia="Times New Roman"/>
          <w:noProof/>
          <w:szCs w:val="24"/>
          <w:lang w:eastAsia="en-GB"/>
        </w:rPr>
        <w:t>). Convention No. 196 thus criminalises the following acts when committed intentionally: public provocation to commit a terrorist offence (Article 5), recruitment for terrorism (Article 6), training for terrorism (Article 7) as well as aiding and abetting,</w:t>
      </w:r>
      <w:r>
        <w:rPr>
          <w:rFonts w:eastAsia="Times New Roman"/>
          <w:noProof/>
          <w:szCs w:val="24"/>
          <w:lang w:eastAsia="en-GB"/>
        </w:rPr>
        <w:t xml:space="preserve"> inciting and attempting the aforementioned offences (so-called "ancillary offences" as defined in Article 9). Article 1 defines the notion of "terrorist offence" referring to acts as listed in the Appendix I to Convention No. 196. </w:t>
      </w:r>
    </w:p>
    <w:p w:rsidR="004218E9" w:rsidRDefault="001D4691">
      <w:pPr>
        <w:spacing w:before="100" w:beforeAutospacing="1" w:after="100" w:afterAutospacing="1"/>
        <w:rPr>
          <w:rFonts w:eastAsia="Times New Roman"/>
          <w:noProof/>
          <w:szCs w:val="24"/>
          <w:lang w:eastAsia="en-GB"/>
        </w:rPr>
      </w:pPr>
      <w:r>
        <w:rPr>
          <w:rFonts w:eastAsia="Times New Roman"/>
          <w:noProof/>
          <w:szCs w:val="24"/>
          <w:lang w:eastAsia="en-GB"/>
        </w:rPr>
        <w:t>These provisions defini</w:t>
      </w:r>
      <w:r>
        <w:rPr>
          <w:rFonts w:eastAsia="Times New Roman"/>
          <w:noProof/>
          <w:szCs w:val="24"/>
          <w:lang w:eastAsia="en-GB"/>
        </w:rPr>
        <w:t>ng criminal offences are complemented by provisions establishing the liability of legal entities for the aforementioned offences (Article 10) and setting out conditions for sanctions and penalties (Article 11).</w:t>
      </w:r>
      <w:r>
        <w:rPr>
          <w:noProof/>
        </w:rPr>
        <w:t xml:space="preserve"> </w:t>
      </w:r>
      <w:r>
        <w:rPr>
          <w:rFonts w:eastAsia="Times New Roman"/>
          <w:noProof/>
          <w:szCs w:val="24"/>
          <w:lang w:eastAsia="en-GB"/>
        </w:rPr>
        <w:t>The establishment, implementation and applica</w:t>
      </w:r>
      <w:r>
        <w:rPr>
          <w:rFonts w:eastAsia="Times New Roman"/>
          <w:noProof/>
          <w:szCs w:val="24"/>
          <w:lang w:eastAsia="en-GB"/>
        </w:rPr>
        <w:t>tion of the criminalisation of these activities are subject to the conditions and fundamental rights' safeguards as stipulated in Article 12. Convention No. 196 lays down jurisdictional rules for its offences (Article 14). It establishes an obligation to i</w:t>
      </w:r>
      <w:r>
        <w:rPr>
          <w:rFonts w:eastAsia="Times New Roman"/>
          <w:noProof/>
          <w:szCs w:val="24"/>
          <w:lang w:eastAsia="en-GB"/>
        </w:rPr>
        <w:t>nvestigate (Article 15) and to prosecute or extradite (Article 18). These measures are accompanied by rules on the protection, compensation and support for victims of terrorism (Article 13), national prevention policies (Article 3) and international co-ope</w:t>
      </w:r>
      <w:r>
        <w:rPr>
          <w:rFonts w:eastAsia="Times New Roman"/>
          <w:noProof/>
          <w:szCs w:val="24"/>
          <w:lang w:eastAsia="en-GB"/>
        </w:rPr>
        <w:t>ration on prevention (Article 4). Convention No. 196 also contains several provisions aiming at strengthening international co-operation in criminal matters through mutual legal assistance, including spontaneous exchange of information (Articles 17 and 22)</w:t>
      </w:r>
      <w:r>
        <w:rPr>
          <w:rFonts w:eastAsia="Times New Roman"/>
          <w:noProof/>
          <w:szCs w:val="24"/>
          <w:lang w:eastAsia="en-GB"/>
        </w:rPr>
        <w:t xml:space="preserve"> and extradition (Articles 19, 20 and 21), being subject to a non-discrimination clause (Article 21). </w:t>
      </w:r>
    </w:p>
    <w:p w:rsidR="004218E9" w:rsidRDefault="001D4691">
      <w:pPr>
        <w:spacing w:before="100" w:beforeAutospacing="1" w:after="100" w:afterAutospacing="1"/>
        <w:rPr>
          <w:rFonts w:eastAsia="Times New Roman"/>
          <w:noProof/>
          <w:szCs w:val="24"/>
          <w:lang w:eastAsia="en-GB"/>
        </w:rPr>
      </w:pPr>
      <w:r>
        <w:rPr>
          <w:rFonts w:eastAsia="Times New Roman"/>
          <w:noProof/>
          <w:szCs w:val="24"/>
          <w:lang w:eastAsia="en-GB"/>
        </w:rPr>
        <w:t xml:space="preserve">Convention </w:t>
      </w:r>
      <w:r>
        <w:rPr>
          <w:noProof/>
          <w:szCs w:val="20"/>
        </w:rPr>
        <w:t xml:space="preserve">No. 196 </w:t>
      </w:r>
      <w:r>
        <w:rPr>
          <w:rFonts w:eastAsia="Times New Roman"/>
          <w:noProof/>
          <w:szCs w:val="24"/>
          <w:lang w:eastAsia="en-GB"/>
        </w:rPr>
        <w:t>provides that it is open for signature to the European Union (Article 23 paragraph 1). In addition, it includes a "disconnection claus</w:t>
      </w:r>
      <w:r>
        <w:rPr>
          <w:rFonts w:eastAsia="Times New Roman"/>
          <w:noProof/>
          <w:szCs w:val="24"/>
          <w:lang w:eastAsia="en-GB"/>
        </w:rPr>
        <w:t xml:space="preserve">e" ensuring that in relations between European Union Member States, EU rules apply (Article 26 paragraph 3). </w:t>
      </w:r>
    </w:p>
    <w:p w:rsidR="004218E9" w:rsidRDefault="001D4691">
      <w:pPr>
        <w:tabs>
          <w:tab w:val="left" w:pos="2160"/>
        </w:tabs>
        <w:rPr>
          <w:noProof/>
          <w:szCs w:val="20"/>
        </w:rPr>
      </w:pPr>
      <w:r>
        <w:rPr>
          <w:noProof/>
          <w:szCs w:val="20"/>
        </w:rPr>
        <w:t>Following the sixth ratification, of which four were by Member States of the Council of Europe, Convention No. 196 came into force on 1 June 2007.</w:t>
      </w:r>
      <w:r>
        <w:rPr>
          <w:noProof/>
          <w:szCs w:val="20"/>
        </w:rPr>
        <w:t xml:space="preserve"> As of 21 February 2017, </w:t>
      </w:r>
      <w:r>
        <w:rPr>
          <w:noProof/>
          <w:szCs w:val="20"/>
        </w:rPr>
        <w:lastRenderedPageBreak/>
        <w:t>twenty-three EU Member States have ratified the Convention, and all EU Member States have signed it</w:t>
      </w:r>
      <w:r>
        <w:rPr>
          <w:rStyle w:val="FootnoteReference"/>
          <w:noProof/>
          <w:szCs w:val="20"/>
        </w:rPr>
        <w:footnoteReference w:id="3"/>
      </w:r>
      <w:r>
        <w:rPr>
          <w:noProof/>
          <w:szCs w:val="20"/>
        </w:rPr>
        <w:t>.</w:t>
      </w:r>
    </w:p>
    <w:p w:rsidR="004218E9" w:rsidRDefault="001D4691">
      <w:pPr>
        <w:tabs>
          <w:tab w:val="left" w:pos="2160"/>
        </w:tabs>
        <w:rPr>
          <w:noProof/>
          <w:szCs w:val="20"/>
        </w:rPr>
      </w:pPr>
      <w:r>
        <w:rPr>
          <w:noProof/>
          <w:szCs w:val="20"/>
        </w:rPr>
        <w:t>An Additional Protocol (Convention No. 217) was adopted by the Council of Europe on 19 May 2015. The Additional Protocol suppleme</w:t>
      </w:r>
      <w:r>
        <w:rPr>
          <w:noProof/>
          <w:szCs w:val="20"/>
        </w:rPr>
        <w:t>nts Convention No. 196 and came into force on 1 July 2017. It is not possible to be a party to the Additional Protocol without also being a party to Convention No. 196</w:t>
      </w:r>
      <w:r>
        <w:rPr>
          <w:rStyle w:val="FootnoteReference"/>
          <w:noProof/>
          <w:szCs w:val="20"/>
        </w:rPr>
        <w:footnoteReference w:id="4"/>
      </w:r>
      <w:r>
        <w:rPr>
          <w:noProof/>
          <w:szCs w:val="20"/>
        </w:rPr>
        <w:t>.</w:t>
      </w:r>
    </w:p>
    <w:p w:rsidR="004218E9" w:rsidRDefault="001D4691">
      <w:pPr>
        <w:tabs>
          <w:tab w:val="left" w:pos="2160"/>
        </w:tabs>
        <w:rPr>
          <w:noProof/>
          <w:szCs w:val="20"/>
        </w:rPr>
      </w:pPr>
      <w:r>
        <w:rPr>
          <w:noProof/>
          <w:szCs w:val="20"/>
        </w:rPr>
        <w:t>The European Union has signed Convention No. 196, as well as its Additional Protocol</w:t>
      </w:r>
      <w:r>
        <w:rPr>
          <w:rStyle w:val="FootnoteReference"/>
          <w:noProof/>
          <w:szCs w:val="20"/>
        </w:rPr>
        <w:footnoteReference w:id="5"/>
      </w:r>
      <w:r>
        <w:rPr>
          <w:noProof/>
          <w:szCs w:val="20"/>
        </w:rPr>
        <w:t>.</w:t>
      </w:r>
    </w:p>
    <w:p w:rsidR="004218E9" w:rsidRDefault="001D4691">
      <w:pPr>
        <w:pStyle w:val="ManualHeading1"/>
        <w:rPr>
          <w:b w:val="0"/>
          <w:noProof/>
          <w:szCs w:val="20"/>
        </w:rPr>
      </w:pPr>
      <w:r>
        <w:rPr>
          <w:noProof/>
          <w:szCs w:val="20"/>
        </w:rPr>
        <w:t>3.</w:t>
      </w:r>
      <w:r>
        <w:rPr>
          <w:noProof/>
          <w:szCs w:val="20"/>
        </w:rPr>
        <w:tab/>
        <w:t>REASONS FOR THE PROPOSAL</w:t>
      </w:r>
    </w:p>
    <w:p w:rsidR="004218E9" w:rsidRDefault="001D4691">
      <w:pPr>
        <w:tabs>
          <w:tab w:val="left" w:pos="2160"/>
        </w:tabs>
        <w:rPr>
          <w:noProof/>
          <w:szCs w:val="20"/>
        </w:rPr>
      </w:pPr>
      <w:r>
        <w:rPr>
          <w:noProof/>
          <w:szCs w:val="20"/>
        </w:rPr>
        <w:t xml:space="preserve">Terrorism has a global character and represents a growing threat to fundamental rights, democracy and the rule of law in Europe and all over the world. Terrorist attacks are indiscriminate. The victims of terrorism can come </w:t>
      </w:r>
      <w:r>
        <w:rPr>
          <w:noProof/>
          <w:szCs w:val="20"/>
        </w:rPr>
        <w:t>from anywhere.</w:t>
      </w:r>
    </w:p>
    <w:p w:rsidR="004218E9" w:rsidRDefault="001D4691">
      <w:pPr>
        <w:tabs>
          <w:tab w:val="left" w:pos="2160"/>
        </w:tabs>
        <w:rPr>
          <w:noProof/>
          <w:szCs w:val="20"/>
        </w:rPr>
      </w:pPr>
      <w:r>
        <w:rPr>
          <w:noProof/>
          <w:szCs w:val="20"/>
        </w:rPr>
        <w:t xml:space="preserve">The terrorist attacks perpetrated in the last years in the European Union and elsewhere in the world were unacceptable infringements of the principles which underpin democratic societies. In the face of such an enduring threat, the European </w:t>
      </w:r>
      <w:r>
        <w:rPr>
          <w:noProof/>
          <w:szCs w:val="20"/>
        </w:rPr>
        <w:t xml:space="preserve">Union is more than ever obliged to act united to promote and uphold the principles which are its raison d’être.  </w:t>
      </w:r>
      <w:r>
        <w:rPr>
          <w:noProof/>
        </w:rPr>
        <w:t xml:space="preserve"> </w:t>
      </w:r>
      <w:r>
        <w:rPr>
          <w:noProof/>
          <w:szCs w:val="20"/>
        </w:rPr>
        <w:t xml:space="preserve"> </w:t>
      </w:r>
    </w:p>
    <w:p w:rsidR="004218E9" w:rsidRDefault="001D4691">
      <w:pPr>
        <w:tabs>
          <w:tab w:val="left" w:pos="2160"/>
        </w:tabs>
        <w:rPr>
          <w:noProof/>
          <w:szCs w:val="20"/>
        </w:rPr>
      </w:pPr>
      <w:r>
        <w:rPr>
          <w:noProof/>
          <w:szCs w:val="20"/>
        </w:rPr>
        <w:t>Action against terrorism needs to be stepped up, not only at national level, but also at pan-European level and beyond. The cross-border nat</w:t>
      </w:r>
      <w:r>
        <w:rPr>
          <w:noProof/>
          <w:szCs w:val="20"/>
        </w:rPr>
        <w:t>ure of terrorism requires strong international cooperation. A common understanding of terrorist and terrorism-related offences, complemented with provisions to facilitate cooperation between national authorities as laid down in Convention No. 196 contribut</w:t>
      </w:r>
      <w:r>
        <w:rPr>
          <w:noProof/>
          <w:szCs w:val="20"/>
        </w:rPr>
        <w:t xml:space="preserve">es to further enhancing the effectiveness of the criminal justice instruments and cooperation at Union and international level.  </w:t>
      </w:r>
    </w:p>
    <w:p w:rsidR="004218E9" w:rsidRDefault="001D4691">
      <w:pPr>
        <w:rPr>
          <w:noProof/>
        </w:rPr>
      </w:pPr>
      <w:r>
        <w:rPr>
          <w:noProof/>
        </w:rPr>
        <w:t>Convention No. 196 relates to the criminalisation of terrorist and terrorist–related activities, as well as international coop</w:t>
      </w:r>
      <w:r>
        <w:rPr>
          <w:noProof/>
        </w:rPr>
        <w:t>eration regarding such offences and the protection, compensation and support for victims of terrorism. The Treaties, and in particular the provisions from Title V of Part Three of the TFEU, confer upon the EU competence in the field covered by Convention N</w:t>
      </w:r>
      <w:r>
        <w:rPr>
          <w:noProof/>
        </w:rPr>
        <w:t>o. 196. This is borne out by the fact that the Union has already adopted measures in the different areas covered by Convention No. 196:</w:t>
      </w:r>
    </w:p>
    <w:p w:rsidR="004218E9" w:rsidRDefault="001D4691">
      <w:pPr>
        <w:pStyle w:val="Bullet0"/>
        <w:numPr>
          <w:ilvl w:val="0"/>
          <w:numId w:val="10"/>
        </w:numPr>
        <w:rPr>
          <w:noProof/>
          <w:szCs w:val="20"/>
        </w:rPr>
      </w:pPr>
      <w:r>
        <w:rPr>
          <w:noProof/>
        </w:rPr>
        <w:t>Directive (EU) 2017/541 on combating terrorism</w:t>
      </w:r>
      <w:r>
        <w:rPr>
          <w:rStyle w:val="FootnoteReference"/>
          <w:noProof/>
        </w:rPr>
        <w:footnoteReference w:id="6"/>
      </w:r>
      <w:r>
        <w:rPr>
          <w:noProof/>
        </w:rPr>
        <w:t xml:space="preserve">, which replaces Council </w:t>
      </w:r>
      <w:r>
        <w:rPr>
          <w:noProof/>
          <w:szCs w:val="20"/>
        </w:rPr>
        <w:t xml:space="preserve">Framework Decision 2002/475/JHA on combating </w:t>
      </w:r>
      <w:r>
        <w:rPr>
          <w:noProof/>
          <w:szCs w:val="20"/>
        </w:rPr>
        <w:t>terrorism as amended by Framework Decision 2008/919/JHA</w:t>
      </w:r>
      <w:r>
        <w:rPr>
          <w:noProof/>
        </w:rPr>
        <w:t xml:space="preserve"> with regard to the Member States bound by the Directive</w:t>
      </w:r>
      <w:r>
        <w:rPr>
          <w:noProof/>
          <w:szCs w:val="20"/>
        </w:rPr>
        <w:t xml:space="preserve">; </w:t>
      </w:r>
    </w:p>
    <w:p w:rsidR="004218E9" w:rsidRDefault="001D4691">
      <w:pPr>
        <w:pStyle w:val="Bullet0"/>
        <w:rPr>
          <w:noProof/>
        </w:rPr>
      </w:pPr>
      <w:r>
        <w:rPr>
          <w:noProof/>
        </w:rPr>
        <w:t>Council Decision 2005/671/JHA on the exchange of information and cooperation concerning terrorist offences</w:t>
      </w:r>
      <w:r>
        <w:rPr>
          <w:rStyle w:val="FootnoteReference"/>
          <w:noProof/>
          <w:szCs w:val="20"/>
        </w:rPr>
        <w:footnoteReference w:id="7"/>
      </w:r>
      <w:r>
        <w:rPr>
          <w:noProof/>
        </w:rPr>
        <w:t>;</w:t>
      </w:r>
    </w:p>
    <w:p w:rsidR="004218E9" w:rsidRDefault="001D4691">
      <w:pPr>
        <w:pStyle w:val="Bullet0"/>
        <w:rPr>
          <w:noProof/>
        </w:rPr>
      </w:pPr>
      <w:r>
        <w:rPr>
          <w:noProof/>
          <w:lang w:eastAsia="en-GB"/>
        </w:rPr>
        <w:lastRenderedPageBreak/>
        <w:t>Directive (EU) 2012/29 on establi</w:t>
      </w:r>
      <w:r>
        <w:rPr>
          <w:noProof/>
          <w:lang w:eastAsia="en-GB"/>
        </w:rPr>
        <w:t>shing minimum standards on the rights, support and protection of victims of crime and replacing Council Framework Decision 2001/220/JHA</w:t>
      </w:r>
      <w:r>
        <w:rPr>
          <w:rStyle w:val="FootnoteReference"/>
          <w:rFonts w:eastAsia="Times New Roman"/>
          <w:bCs/>
          <w:noProof/>
          <w:szCs w:val="24"/>
          <w:lang w:eastAsia="en-GB"/>
        </w:rPr>
        <w:footnoteReference w:id="8"/>
      </w:r>
      <w:r>
        <w:rPr>
          <w:noProof/>
          <w:lang w:eastAsia="en-GB"/>
        </w:rPr>
        <w:t>;</w:t>
      </w:r>
    </w:p>
    <w:p w:rsidR="004218E9" w:rsidRDefault="001D4691">
      <w:pPr>
        <w:pStyle w:val="Bullet0"/>
        <w:rPr>
          <w:noProof/>
        </w:rPr>
      </w:pPr>
      <w:r>
        <w:rPr>
          <w:rFonts w:eastAsia="Times New Roman"/>
          <w:bCs/>
          <w:noProof/>
          <w:szCs w:val="24"/>
          <w:lang w:eastAsia="en-GB"/>
        </w:rPr>
        <w:t xml:space="preserve">Council </w:t>
      </w:r>
      <w:r>
        <w:rPr>
          <w:noProof/>
        </w:rPr>
        <w:t>Directive (EC) 2004/80 on compensation to crime victims</w:t>
      </w:r>
      <w:r>
        <w:rPr>
          <w:rStyle w:val="FootnoteReference"/>
          <w:noProof/>
        </w:rPr>
        <w:footnoteReference w:id="9"/>
      </w:r>
      <w:r>
        <w:rPr>
          <w:noProof/>
        </w:rPr>
        <w:t xml:space="preserve">; </w:t>
      </w:r>
    </w:p>
    <w:p w:rsidR="004218E9" w:rsidRDefault="001D4691">
      <w:pPr>
        <w:pStyle w:val="Bullet0"/>
        <w:rPr>
          <w:noProof/>
          <w:szCs w:val="20"/>
        </w:rPr>
      </w:pPr>
      <w:r>
        <w:rPr>
          <w:noProof/>
        </w:rPr>
        <w:t>Directive (EU) 2011/99 of the European Parliament a</w:t>
      </w:r>
      <w:r>
        <w:rPr>
          <w:noProof/>
        </w:rPr>
        <w:t>nd the Council on the European Protection Order</w:t>
      </w:r>
      <w:r>
        <w:rPr>
          <w:rStyle w:val="FootnoteReference"/>
          <w:noProof/>
        </w:rPr>
        <w:footnoteReference w:id="10"/>
      </w:r>
      <w:r>
        <w:rPr>
          <w:noProof/>
        </w:rPr>
        <w:t>;</w:t>
      </w:r>
    </w:p>
    <w:p w:rsidR="004218E9" w:rsidRDefault="001D4691">
      <w:pPr>
        <w:pStyle w:val="Bullet0"/>
        <w:rPr>
          <w:noProof/>
          <w:szCs w:val="20"/>
        </w:rPr>
      </w:pPr>
      <w:r>
        <w:rPr>
          <w:noProof/>
        </w:rPr>
        <w:t>Council Framework Decision 2009/948/JHA on the prevention and settlement of conflicts of exercise of jurisdiction in criminal proceedings</w:t>
      </w:r>
      <w:r>
        <w:rPr>
          <w:rStyle w:val="FootnoteReference"/>
          <w:bCs/>
          <w:noProof/>
        </w:rPr>
        <w:footnoteReference w:id="11"/>
      </w:r>
      <w:r>
        <w:rPr>
          <w:noProof/>
        </w:rPr>
        <w:t>;</w:t>
      </w:r>
      <w:r>
        <w:rPr>
          <w:noProof/>
          <w:szCs w:val="20"/>
        </w:rPr>
        <w:t xml:space="preserve"> </w:t>
      </w:r>
    </w:p>
    <w:p w:rsidR="004218E9" w:rsidRDefault="001D4691">
      <w:pPr>
        <w:pStyle w:val="Bullet0"/>
        <w:rPr>
          <w:noProof/>
        </w:rPr>
      </w:pPr>
      <w:r>
        <w:rPr>
          <w:noProof/>
        </w:rPr>
        <w:t>Council Framework Decision 2002/465/JHA on joint investigation te</w:t>
      </w:r>
      <w:r>
        <w:rPr>
          <w:noProof/>
        </w:rPr>
        <w:t>ams</w:t>
      </w:r>
      <w:r>
        <w:rPr>
          <w:rStyle w:val="FootnoteReference"/>
          <w:noProof/>
          <w:szCs w:val="20"/>
        </w:rPr>
        <w:footnoteReference w:id="12"/>
      </w:r>
      <w:r>
        <w:rPr>
          <w:noProof/>
        </w:rPr>
        <w:t>;</w:t>
      </w:r>
    </w:p>
    <w:p w:rsidR="004218E9" w:rsidRDefault="001D4691">
      <w:pPr>
        <w:pStyle w:val="Bullet0"/>
        <w:rPr>
          <w:noProof/>
        </w:rPr>
      </w:pPr>
      <w:r>
        <w:rPr>
          <w:noProof/>
        </w:rPr>
        <w:t>Council Framework Decision 2002/584/JHA of 13 June 2002 on the European arrest warrant and the surrender procedures between Member States</w:t>
      </w:r>
      <w:r>
        <w:rPr>
          <w:rStyle w:val="FootnoteReference"/>
          <w:noProof/>
          <w:szCs w:val="20"/>
        </w:rPr>
        <w:footnoteReference w:id="13"/>
      </w:r>
      <w:r>
        <w:rPr>
          <w:noProof/>
        </w:rPr>
        <w:t>;</w:t>
      </w:r>
    </w:p>
    <w:p w:rsidR="004218E9" w:rsidRDefault="001D4691">
      <w:pPr>
        <w:pStyle w:val="Bullet0"/>
        <w:rPr>
          <w:noProof/>
        </w:rPr>
      </w:pPr>
      <w:r>
        <w:rPr>
          <w:noProof/>
        </w:rPr>
        <w:t>Directive (EU) 2014/41 regarding the European Investigation Order in criminal matters</w:t>
      </w:r>
      <w:r>
        <w:rPr>
          <w:rStyle w:val="FootnoteReference"/>
          <w:noProof/>
          <w:szCs w:val="20"/>
        </w:rPr>
        <w:footnoteReference w:id="14"/>
      </w:r>
      <w:r>
        <w:rPr>
          <w:noProof/>
        </w:rPr>
        <w:t xml:space="preserve">; </w:t>
      </w:r>
    </w:p>
    <w:p w:rsidR="004218E9" w:rsidRDefault="001D4691">
      <w:pPr>
        <w:pStyle w:val="Bullet0"/>
        <w:rPr>
          <w:noProof/>
        </w:rPr>
      </w:pPr>
      <w:r>
        <w:rPr>
          <w:noProof/>
        </w:rPr>
        <w:t xml:space="preserve">Convention on Mutual </w:t>
      </w:r>
      <w:r>
        <w:rPr>
          <w:noProof/>
        </w:rPr>
        <w:t>Assistance in Criminal Matters between the Member States of the European Union</w:t>
      </w:r>
      <w:r>
        <w:rPr>
          <w:rStyle w:val="FootnoteReference"/>
          <w:noProof/>
          <w:szCs w:val="20"/>
        </w:rPr>
        <w:footnoteReference w:id="15"/>
      </w:r>
      <w:r>
        <w:rPr>
          <w:noProof/>
        </w:rPr>
        <w:t xml:space="preserve">; </w:t>
      </w:r>
    </w:p>
    <w:p w:rsidR="004218E9" w:rsidRDefault="001D4691">
      <w:pPr>
        <w:pStyle w:val="Bullet0"/>
        <w:rPr>
          <w:noProof/>
        </w:rPr>
      </w:pPr>
      <w:r>
        <w:rPr>
          <w:noProof/>
        </w:rPr>
        <w:t>Convention implementing the Schengen Agreement</w:t>
      </w:r>
      <w:r>
        <w:rPr>
          <w:rStyle w:val="FootnoteReference"/>
          <w:noProof/>
          <w:szCs w:val="20"/>
        </w:rPr>
        <w:footnoteReference w:id="16"/>
      </w:r>
      <w:r>
        <w:rPr>
          <w:noProof/>
        </w:rPr>
        <w:t xml:space="preserve">; </w:t>
      </w:r>
    </w:p>
    <w:p w:rsidR="004218E9" w:rsidRDefault="001D4691">
      <w:pPr>
        <w:pStyle w:val="Bullet0"/>
        <w:rPr>
          <w:noProof/>
          <w:szCs w:val="20"/>
        </w:rPr>
      </w:pPr>
      <w:r>
        <w:rPr>
          <w:noProof/>
        </w:rPr>
        <w:t>Council Framework Decision 2006/960/JHA of 18 December 2006 on simplifying the exchange of information and intelligence betw</w:t>
      </w:r>
      <w:r>
        <w:rPr>
          <w:noProof/>
        </w:rPr>
        <w:t>een law enforcement authorities of the Member States of the European Union</w:t>
      </w:r>
      <w:r>
        <w:rPr>
          <w:rStyle w:val="FootnoteReference"/>
          <w:noProof/>
        </w:rPr>
        <w:footnoteReference w:id="17"/>
      </w:r>
      <w:r>
        <w:rPr>
          <w:noProof/>
        </w:rPr>
        <w:t>;</w:t>
      </w:r>
    </w:p>
    <w:p w:rsidR="004218E9" w:rsidRDefault="001D4691">
      <w:pPr>
        <w:pStyle w:val="Bullet0"/>
        <w:rPr>
          <w:noProof/>
          <w:szCs w:val="20"/>
        </w:rPr>
      </w:pPr>
      <w:r>
        <w:rPr>
          <w:noProof/>
        </w:rPr>
        <w:t>Council Decision 2008/615/JHA of 23 June 2008 on the stepping up of cross-border cooperation, particularly in combatting terrorism and cross-border crime (Prüm-Decision)</w:t>
      </w:r>
      <w:r>
        <w:rPr>
          <w:rStyle w:val="FootnoteReference"/>
          <w:noProof/>
        </w:rPr>
        <w:footnoteReference w:id="18"/>
      </w:r>
      <w:r>
        <w:rPr>
          <w:noProof/>
        </w:rPr>
        <w:t>;</w:t>
      </w:r>
      <w:r>
        <w:rPr>
          <w:noProof/>
          <w:szCs w:val="20"/>
        </w:rPr>
        <w:t xml:space="preserve"> </w:t>
      </w:r>
    </w:p>
    <w:p w:rsidR="004218E9" w:rsidRDefault="001D4691">
      <w:pPr>
        <w:tabs>
          <w:tab w:val="left" w:pos="2160"/>
        </w:tabs>
        <w:rPr>
          <w:noProof/>
          <w:szCs w:val="20"/>
        </w:rPr>
      </w:pPr>
      <w:r>
        <w:rPr>
          <w:noProof/>
          <w:szCs w:val="20"/>
        </w:rPr>
        <w:t>The Eu</w:t>
      </w:r>
      <w:r>
        <w:rPr>
          <w:noProof/>
          <w:szCs w:val="20"/>
        </w:rPr>
        <w:t>ropean Union has thus adopted a comprehensive set of legal instruments to fight terrorism. This highlights the need for Member States to act within the framework of the EU institutions when undertaking international commitments in the area of fighting terr</w:t>
      </w:r>
      <w:r>
        <w:rPr>
          <w:noProof/>
          <w:szCs w:val="20"/>
        </w:rPr>
        <w:t xml:space="preserve">orism.  </w:t>
      </w:r>
    </w:p>
    <w:p w:rsidR="004218E9" w:rsidRDefault="001D4691">
      <w:pPr>
        <w:tabs>
          <w:tab w:val="left" w:pos="2160"/>
        </w:tabs>
        <w:rPr>
          <w:noProof/>
          <w:szCs w:val="20"/>
        </w:rPr>
      </w:pPr>
      <w:r>
        <w:rPr>
          <w:noProof/>
          <w:szCs w:val="20"/>
        </w:rPr>
        <w:t>With the adoption of the Directive on combating terrorism, the European Union is ready to complete its commitment to be a party to the Additional Protocol by conclusion of that instrument. This can only be done by concluding Convention No. 196, at</w:t>
      </w:r>
      <w:r>
        <w:rPr>
          <w:noProof/>
          <w:szCs w:val="20"/>
        </w:rPr>
        <w:t xml:space="preserve"> the latest simultaneously with conclusion of its Additional Protocol.</w:t>
      </w:r>
    </w:p>
    <w:p w:rsidR="004218E9" w:rsidRDefault="001D4691">
      <w:pPr>
        <w:pStyle w:val="ManualHeading1"/>
        <w:rPr>
          <w:noProof/>
        </w:rPr>
      </w:pPr>
      <w:r>
        <w:rPr>
          <w:noProof/>
        </w:rPr>
        <w:lastRenderedPageBreak/>
        <w:t>4.</w:t>
      </w:r>
      <w:r>
        <w:rPr>
          <w:noProof/>
        </w:rPr>
        <w:tab/>
        <w:t>LEGAL ELEMENTS OF THE PROPOSAL</w:t>
      </w:r>
    </w:p>
    <w:p w:rsidR="004218E9" w:rsidRDefault="001D4691">
      <w:pPr>
        <w:rPr>
          <w:noProof/>
        </w:rPr>
      </w:pPr>
      <w:r>
        <w:rPr>
          <w:noProof/>
        </w:rPr>
        <w:t xml:space="preserve">The choice of legal basis for an EU measure must rest on objective factors that are amenable to judicial review; these include the aim and the content </w:t>
      </w:r>
      <w:r>
        <w:rPr>
          <w:noProof/>
        </w:rPr>
        <w:t>of the measure</w:t>
      </w:r>
      <w:r>
        <w:rPr>
          <w:rStyle w:val="FootnoteReference"/>
          <w:noProof/>
        </w:rPr>
        <w:footnoteReference w:id="19"/>
      </w:r>
      <w:r>
        <w:rPr>
          <w:noProof/>
        </w:rPr>
        <w:t>. If examination of a European Union measure reveals that it pursues a twofold purpose or that it has a twofold component and if one of those is identifiable as the main or predominant purpose or component, whereas the other is merely incide</w:t>
      </w:r>
      <w:r>
        <w:rPr>
          <w:noProof/>
        </w:rPr>
        <w:t xml:space="preserve">ntal, the measure must be founded on a single legal basis, namely that required by the main or predominant purpose or component. </w:t>
      </w:r>
    </w:p>
    <w:p w:rsidR="004218E9" w:rsidRDefault="001D4691">
      <w:pPr>
        <w:rPr>
          <w:noProof/>
        </w:rPr>
      </w:pPr>
      <w:r>
        <w:rPr>
          <w:noProof/>
        </w:rPr>
        <w:t xml:space="preserve">The predominant purpose of </w:t>
      </w:r>
      <w:r>
        <w:rPr>
          <w:noProof/>
          <w:szCs w:val="20"/>
        </w:rPr>
        <w:t xml:space="preserve">Convention No. 196 </w:t>
      </w:r>
      <w:r>
        <w:rPr>
          <w:noProof/>
        </w:rPr>
        <w:t xml:space="preserve">is to introduce criminal offences related to terrorism, for which the Union has </w:t>
      </w:r>
      <w:r>
        <w:rPr>
          <w:noProof/>
        </w:rPr>
        <w:t xml:space="preserve">competence based on Article 83(1) TFEU. The substantive legal basis for signing </w:t>
      </w:r>
      <w:r>
        <w:rPr>
          <w:noProof/>
          <w:szCs w:val="20"/>
        </w:rPr>
        <w:t xml:space="preserve">Convention No. 196 </w:t>
      </w:r>
      <w:r>
        <w:rPr>
          <w:noProof/>
        </w:rPr>
        <w:t xml:space="preserve">is therefore Article 83(1) TFEU. </w:t>
      </w:r>
    </w:p>
    <w:p w:rsidR="004218E9" w:rsidRDefault="001D4691">
      <w:pPr>
        <w:rPr>
          <w:noProof/>
        </w:rPr>
      </w:pPr>
      <w:r>
        <w:rPr>
          <w:noProof/>
        </w:rPr>
        <w:t>Article 218(6) TFEU provides that the Council, on a proposal by the negotiator, shall adopt a decision concluding the agree</w:t>
      </w:r>
      <w:r>
        <w:rPr>
          <w:noProof/>
        </w:rPr>
        <w:t xml:space="preserve">ment. Article 218(6)(a) TFEU provides that, where an agreement covers fields to which the ordinary legislative procedure applies, the Council shall adopt a decision concluding the agreement after obtaining consent of the European Parliament. </w:t>
      </w:r>
    </w:p>
    <w:p w:rsidR="004218E9" w:rsidRDefault="001D4691">
      <w:pPr>
        <w:rPr>
          <w:noProof/>
        </w:rPr>
      </w:pPr>
      <w:r>
        <w:rPr>
          <w:noProof/>
          <w:szCs w:val="20"/>
        </w:rPr>
        <w:t>Convention No</w:t>
      </w:r>
      <w:r>
        <w:rPr>
          <w:noProof/>
          <w:szCs w:val="20"/>
        </w:rPr>
        <w:t xml:space="preserve">. 196 </w:t>
      </w:r>
      <w:r>
        <w:rPr>
          <w:noProof/>
        </w:rPr>
        <w:t>covers fields to which the ordinary legislative procedure applies, most notably the setting of minimum rules concerning the definition of criminal offences in the area of terrorism, as well as  police and judicial cooperation in criminal matters (Art</w:t>
      </w:r>
      <w:r>
        <w:rPr>
          <w:noProof/>
        </w:rPr>
        <w:t>icles 82 , 83(1) and 87 TFEU). The procedural legal basis of the proposed decision is therefore Article 218(6)(a) TFEU.</w:t>
      </w:r>
    </w:p>
    <w:p w:rsidR="004218E9" w:rsidRDefault="001D4691">
      <w:pPr>
        <w:pStyle w:val="ManualHeading1"/>
        <w:rPr>
          <w:noProof/>
        </w:rPr>
      </w:pPr>
      <w:r>
        <w:rPr>
          <w:noProof/>
        </w:rPr>
        <w:t>5.</w:t>
      </w:r>
      <w:r>
        <w:rPr>
          <w:noProof/>
        </w:rPr>
        <w:tab/>
        <w:t>TERRITORIAL APPLICATION</w:t>
      </w:r>
    </w:p>
    <w:p w:rsidR="004218E9" w:rsidRDefault="001D4691">
      <w:pPr>
        <w:rPr>
          <w:noProof/>
        </w:rPr>
      </w:pPr>
      <w:r>
        <w:rPr>
          <w:noProof/>
        </w:rPr>
        <w:t xml:space="preserve">In accordance with Protocol 22 of the Treaty of the European Union, Convention No. 196 signed and eventually </w:t>
      </w:r>
      <w:r>
        <w:rPr>
          <w:noProof/>
        </w:rPr>
        <w:t xml:space="preserve">concluded by the European Union is binding upon and applies in all EU Member States with the exception of Denmark. In accordance with Protocol 21 of the Treaty of the European Union, Convention No. 196 signed and eventually concluded by the European Union </w:t>
      </w:r>
      <w:r>
        <w:rPr>
          <w:noProof/>
        </w:rPr>
        <w:t>is binding upon and applies in the United Kingdom only insofar as this Member State notifies the Council of its wish to take part in the adoption and application of this instrument. Ireland is bound by Framework Decision 2002/475/JHA and is therefore to ta</w:t>
      </w:r>
      <w:r>
        <w:rPr>
          <w:noProof/>
        </w:rPr>
        <w:t>ke part in the adoption of this Decision.</w:t>
      </w:r>
    </w:p>
    <w:p w:rsidR="004218E9" w:rsidRDefault="001D4691">
      <w:pPr>
        <w:rPr>
          <w:noProof/>
        </w:rPr>
      </w:pPr>
      <w:r>
        <w:rPr>
          <w:noProof/>
          <w:lang w:val="en-US"/>
        </w:rPr>
        <w:t xml:space="preserve"> </w:t>
      </w:r>
    </w:p>
    <w:p w:rsidR="004218E9" w:rsidRDefault="004218E9">
      <w:pPr>
        <w:rPr>
          <w:noProof/>
        </w:rPr>
        <w:sectPr w:rsidR="004218E9" w:rsidSect="001D4691">
          <w:footerReference w:type="default" r:id="rId16"/>
          <w:footerReference w:type="first" r:id="rId17"/>
          <w:pgSz w:w="11907" w:h="16839"/>
          <w:pgMar w:top="1134" w:right="1417" w:bottom="1134" w:left="1417" w:header="709" w:footer="709" w:gutter="0"/>
          <w:pgNumType w:start="2"/>
          <w:cols w:space="708"/>
          <w:docGrid w:linePitch="360"/>
        </w:sectPr>
      </w:pPr>
    </w:p>
    <w:p w:rsidR="004218E9" w:rsidRDefault="001D4691" w:rsidP="001D4691">
      <w:pPr>
        <w:pStyle w:val="Rfrenceinterinstitutionnelle"/>
        <w:rPr>
          <w:noProof/>
        </w:rPr>
      </w:pPr>
      <w:r w:rsidRPr="001D4691">
        <w:lastRenderedPageBreak/>
        <w:t>2017/0265 (NLE)</w:t>
      </w:r>
    </w:p>
    <w:p w:rsidR="004218E9" w:rsidRDefault="001D4691" w:rsidP="001D4691">
      <w:pPr>
        <w:pStyle w:val="Statut"/>
        <w:rPr>
          <w:noProof/>
        </w:rPr>
      </w:pPr>
      <w:r w:rsidRPr="001D4691">
        <w:t>Proposal for a</w:t>
      </w:r>
    </w:p>
    <w:p w:rsidR="004218E9" w:rsidRDefault="001D4691" w:rsidP="001D4691">
      <w:pPr>
        <w:pStyle w:val="Typedudocument"/>
        <w:rPr>
          <w:noProof/>
        </w:rPr>
      </w:pPr>
      <w:r w:rsidRPr="001D4691">
        <w:t>COUNCIL DECISION</w:t>
      </w:r>
    </w:p>
    <w:p w:rsidR="004218E9" w:rsidRDefault="001D4691" w:rsidP="001D4691">
      <w:pPr>
        <w:pStyle w:val="Titreobjet"/>
        <w:rPr>
          <w:noProof/>
        </w:rPr>
      </w:pPr>
      <w:proofErr w:type="gramStart"/>
      <w:r w:rsidRPr="001D4691">
        <w:t>on</w:t>
      </w:r>
      <w:proofErr w:type="gramEnd"/>
      <w:r w:rsidRPr="001D4691">
        <w:t xml:space="preserve"> the conclusion, on behalf of the European Union, of the Council of Europe Convention on the Prevention of Terrorism (CETS No. 196)</w:t>
      </w:r>
    </w:p>
    <w:p w:rsidR="004218E9" w:rsidRDefault="001D4691">
      <w:pPr>
        <w:pStyle w:val="Institutionquiagit"/>
        <w:rPr>
          <w:noProof/>
        </w:rPr>
      </w:pPr>
      <w:r>
        <w:rPr>
          <w:noProof/>
        </w:rPr>
        <w:t>THE COUNCIL OF THE EUROPEAN UNION,</w:t>
      </w:r>
    </w:p>
    <w:p w:rsidR="004218E9" w:rsidRDefault="001D4691">
      <w:pPr>
        <w:rPr>
          <w:noProof/>
        </w:rPr>
      </w:pPr>
      <w:r>
        <w:rPr>
          <w:noProof/>
        </w:rPr>
        <w:t>Having regard to the Treaty on the Functioning of the European Union, and in particular Article 83(1), in conjunction with Article 218(6)(a)</w:t>
      </w:r>
      <w:r>
        <w:t xml:space="preserve"> </w:t>
      </w:r>
      <w:r>
        <w:rPr>
          <w:noProof/>
        </w:rPr>
        <w:t>t</w:t>
      </w:r>
      <w:r>
        <w:rPr>
          <w:noProof/>
        </w:rPr>
        <w:t>hereof,</w:t>
      </w:r>
    </w:p>
    <w:p w:rsidR="004218E9" w:rsidRDefault="001D4691">
      <w:pPr>
        <w:rPr>
          <w:noProof/>
        </w:rPr>
      </w:pPr>
      <w:r>
        <w:rPr>
          <w:noProof/>
        </w:rPr>
        <w:t>Having regard to the proposal from the European Commission,</w:t>
      </w:r>
    </w:p>
    <w:p w:rsidR="004218E9" w:rsidRDefault="001D4691">
      <w:pPr>
        <w:rPr>
          <w:noProof/>
        </w:rPr>
      </w:pPr>
      <w:r>
        <w:rPr>
          <w:noProof/>
        </w:rPr>
        <w:t>Having regard to the consent of the European Parliament,</w:t>
      </w:r>
    </w:p>
    <w:p w:rsidR="004218E9" w:rsidRDefault="001D4691">
      <w:pPr>
        <w:rPr>
          <w:noProof/>
        </w:rPr>
      </w:pPr>
      <w:r>
        <w:rPr>
          <w:noProof/>
        </w:rPr>
        <w:t>Whereas:</w:t>
      </w:r>
    </w:p>
    <w:p w:rsidR="004218E9" w:rsidRDefault="001D4691">
      <w:pPr>
        <w:pStyle w:val="ManualConsidrant"/>
        <w:rPr>
          <w:noProof/>
        </w:rPr>
      </w:pPr>
      <w:r>
        <w:t>(1)</w:t>
      </w:r>
      <w:r>
        <w:tab/>
      </w:r>
      <w:r>
        <w:rPr>
          <w:noProof/>
        </w:rPr>
        <w:t>In accordance with Council Decision (EU) 2015/1913 of 18 September 2015</w:t>
      </w:r>
      <w:r>
        <w:rPr>
          <w:rStyle w:val="FootnoteReference"/>
          <w:noProof/>
        </w:rPr>
        <w:footnoteReference w:id="20"/>
      </w:r>
      <w:r>
        <w:rPr>
          <w:noProof/>
        </w:rPr>
        <w:t>, the Council of Europe Convention on the Prev</w:t>
      </w:r>
      <w:r>
        <w:rPr>
          <w:noProof/>
        </w:rPr>
        <w:t>ention of Terrorism (CETS No. 196) was signed on 22 October 2015, subject to its conclusion.</w:t>
      </w:r>
    </w:p>
    <w:p w:rsidR="004218E9" w:rsidRDefault="001D4691">
      <w:pPr>
        <w:pStyle w:val="ManualConsidrant"/>
        <w:rPr>
          <w:noProof/>
        </w:rPr>
      </w:pPr>
      <w:r>
        <w:t>(2)</w:t>
      </w:r>
      <w:r>
        <w:tab/>
      </w:r>
      <w:r>
        <w:rPr>
          <w:noProof/>
        </w:rPr>
        <w:t>Article 23 of the Council of Europe Convention on the Prevention of Terrorism (CETS No. 196; 'the Convention') provides that the Convention shall be open for a</w:t>
      </w:r>
      <w:r>
        <w:rPr>
          <w:noProof/>
        </w:rPr>
        <w:t xml:space="preserve">pproval by the European Union. </w:t>
      </w:r>
    </w:p>
    <w:p w:rsidR="004218E9" w:rsidRDefault="001D4691">
      <w:pPr>
        <w:pStyle w:val="ManualConsidrant"/>
        <w:rPr>
          <w:noProof/>
        </w:rPr>
      </w:pPr>
      <w:r>
        <w:t>(3)</w:t>
      </w:r>
      <w:r>
        <w:tab/>
      </w:r>
      <w:r>
        <w:rPr>
          <w:noProof/>
        </w:rPr>
        <w:t xml:space="preserve">The Union has already adopted measures in the different areas covered by the Convention. </w:t>
      </w:r>
    </w:p>
    <w:p w:rsidR="004218E9" w:rsidRDefault="001D4691">
      <w:pPr>
        <w:pStyle w:val="ManualConsidrant"/>
        <w:rPr>
          <w:noProof/>
        </w:rPr>
      </w:pPr>
      <w:r>
        <w:t>(4)</w:t>
      </w:r>
      <w:r>
        <w:tab/>
      </w:r>
      <w:r>
        <w:rPr>
          <w:noProof/>
        </w:rPr>
        <w:t>Ireland is bound by Council Framework Decision 2002/475/JHA</w:t>
      </w:r>
      <w:r>
        <w:rPr>
          <w:rStyle w:val="FootnoteReference"/>
          <w:noProof/>
        </w:rPr>
        <w:footnoteReference w:id="21"/>
      </w:r>
      <w:r>
        <w:rPr>
          <w:noProof/>
        </w:rPr>
        <w:t xml:space="preserve"> and is therefore taking part in the adoption of this Decision.</w:t>
      </w:r>
    </w:p>
    <w:p w:rsidR="004218E9" w:rsidRDefault="001D4691">
      <w:pPr>
        <w:pStyle w:val="ManualConsidrant"/>
        <w:rPr>
          <w:noProof/>
        </w:rPr>
      </w:pPr>
      <w:r>
        <w:t>(5</w:t>
      </w:r>
      <w:r>
        <w:t>)</w:t>
      </w:r>
      <w:r>
        <w:tab/>
      </w:r>
      <w:r>
        <w:rPr>
          <w:noProof/>
        </w:rPr>
        <w:t>[In accordance with Article 3 of Protocol (No 21) on the position of the United Kingdom and Ireland in respect of the Area of Freedom, Security and Justice, annexed to the Treaty on European Union and to the Treaty on the Functioning of the European Unio</w:t>
      </w:r>
      <w:r>
        <w:rPr>
          <w:noProof/>
        </w:rPr>
        <w:t xml:space="preserve">n, the United Kingdom has notified its wish to take part in the adoption and application of this Decision, </w:t>
      </w:r>
      <w:r>
        <w:rPr>
          <w:noProof/>
        </w:rPr>
        <w:tab/>
      </w:r>
      <w:r>
        <w:rPr>
          <w:noProof/>
        </w:rPr>
        <w:br/>
        <w:t>OR</w:t>
      </w:r>
      <w:r>
        <w:rPr>
          <w:noProof/>
        </w:rPr>
        <w:tab/>
      </w:r>
      <w:r>
        <w:rPr>
          <w:noProof/>
        </w:rPr>
        <w:br/>
        <w:t>In accordance with Articles 1 and 2 of Protocol (No 21) on the position of the United Kingdom and Ireland in respect of the Area of Freedom, Se</w:t>
      </w:r>
      <w:r>
        <w:rPr>
          <w:noProof/>
        </w:rPr>
        <w:t>curity and Justice, annexed to the Treaty on European Union and to the Treaty on the Functioning of the European Union, and without prejudice to Article 4 of that Protocol, the United Kingdom is not taking part in the adoption of this Decision and is not b</w:t>
      </w:r>
      <w:r>
        <w:rPr>
          <w:noProof/>
        </w:rPr>
        <w:t>ound by it or subject to its application,]</w:t>
      </w:r>
    </w:p>
    <w:p w:rsidR="004218E9" w:rsidRDefault="001D4691">
      <w:pPr>
        <w:pStyle w:val="ManualConsidrant"/>
        <w:rPr>
          <w:noProof/>
        </w:rPr>
      </w:pPr>
      <w:r>
        <w:t>(6)</w:t>
      </w:r>
      <w:r>
        <w:tab/>
      </w:r>
      <w:r>
        <w:rPr>
          <w:noProof/>
        </w:rPr>
        <w:t xml:space="preserve">In accordance with Articles 1 and 2 of Protocol (No 22) on the position of Denmark, annexed to the Treaty on European Union and to the Treaty on the Functioning of the </w:t>
      </w:r>
      <w:r>
        <w:rPr>
          <w:noProof/>
        </w:rPr>
        <w:lastRenderedPageBreak/>
        <w:t xml:space="preserve">European Union, Denmark is not taking </w:t>
      </w:r>
      <w:r>
        <w:rPr>
          <w:noProof/>
        </w:rPr>
        <w:t>part in the adoption of this Decision and is not bound by it or subject to its application,</w:t>
      </w:r>
    </w:p>
    <w:p w:rsidR="004218E9" w:rsidRDefault="001D4691">
      <w:pPr>
        <w:pStyle w:val="ManualConsidrant"/>
        <w:rPr>
          <w:noProof/>
        </w:rPr>
      </w:pPr>
      <w:r>
        <w:t>(7)</w:t>
      </w:r>
      <w:r>
        <w:tab/>
      </w:r>
      <w:r>
        <w:rPr>
          <w:noProof/>
        </w:rPr>
        <w:t>The Convention should therefore be approved on behalf of the European Union,</w:t>
      </w:r>
    </w:p>
    <w:p w:rsidR="004218E9" w:rsidRDefault="001D4691">
      <w:pPr>
        <w:pStyle w:val="Formuledadoption"/>
        <w:rPr>
          <w:noProof/>
        </w:rPr>
      </w:pPr>
      <w:r>
        <w:rPr>
          <w:noProof/>
        </w:rPr>
        <w:t xml:space="preserve">HAS ADOPTED THIS DECISION: </w:t>
      </w:r>
    </w:p>
    <w:p w:rsidR="004218E9" w:rsidRDefault="001D4691">
      <w:pPr>
        <w:pStyle w:val="Titrearticle"/>
        <w:rPr>
          <w:noProof/>
        </w:rPr>
      </w:pPr>
      <w:r>
        <w:rPr>
          <w:noProof/>
        </w:rPr>
        <w:t>Article 1</w:t>
      </w:r>
    </w:p>
    <w:p w:rsidR="004218E9" w:rsidRDefault="001D4691">
      <w:pPr>
        <w:rPr>
          <w:noProof/>
        </w:rPr>
      </w:pPr>
      <w:r>
        <w:rPr>
          <w:noProof/>
        </w:rPr>
        <w:t>The Council of Europe Convention on the Preve</w:t>
      </w:r>
      <w:r>
        <w:rPr>
          <w:noProof/>
        </w:rPr>
        <w:t>ntion of Terrorism (CETS No. 196) is hereby approved on behalf of the Union.</w:t>
      </w:r>
      <w:r>
        <w:t xml:space="preserve"> </w:t>
      </w:r>
    </w:p>
    <w:p w:rsidR="004218E9" w:rsidRDefault="001D4691">
      <w:pPr>
        <w:rPr>
          <w:noProof/>
        </w:rPr>
      </w:pPr>
      <w:r>
        <w:rPr>
          <w:noProof/>
        </w:rPr>
        <w:t>The text of the Convention is attached to this Decision</w:t>
      </w:r>
      <w:r>
        <w:t>.</w:t>
      </w:r>
    </w:p>
    <w:p w:rsidR="004218E9" w:rsidRDefault="001D4691">
      <w:pPr>
        <w:pStyle w:val="Titrearticle"/>
        <w:keepNext w:val="0"/>
        <w:rPr>
          <w:noProof/>
        </w:rPr>
      </w:pPr>
      <w:r>
        <w:rPr>
          <w:noProof/>
        </w:rPr>
        <w:t>Article 2</w:t>
      </w:r>
    </w:p>
    <w:p w:rsidR="004218E9" w:rsidRDefault="001D4691">
      <w:pPr>
        <w:rPr>
          <w:noProof/>
        </w:rPr>
      </w:pPr>
      <w:r>
        <w:rPr>
          <w:noProof/>
        </w:rPr>
        <w:t xml:space="preserve">The President of the Council shall designate the person empowered to proceed, on behalf of the European Union, </w:t>
      </w:r>
      <w:r>
        <w:rPr>
          <w:noProof/>
        </w:rPr>
        <w:t>to deposit the instrument of approval provided for in Article 23</w:t>
      </w:r>
      <w:r>
        <w:t xml:space="preserve"> </w:t>
      </w:r>
      <w:r>
        <w:rPr>
          <w:noProof/>
        </w:rPr>
        <w:t>of the Convention, in order to express the consent of the European Union to be bound by the Convention.</w:t>
      </w:r>
    </w:p>
    <w:p w:rsidR="004218E9" w:rsidRDefault="001D4691">
      <w:pPr>
        <w:pStyle w:val="Titrearticle"/>
        <w:rPr>
          <w:noProof/>
        </w:rPr>
      </w:pPr>
      <w:r>
        <w:rPr>
          <w:noProof/>
        </w:rPr>
        <w:t>Article 3</w:t>
      </w:r>
    </w:p>
    <w:p w:rsidR="004218E9" w:rsidRDefault="001D4691">
      <w:pPr>
        <w:keepNext/>
        <w:keepLines/>
        <w:rPr>
          <w:noProof/>
        </w:rPr>
      </w:pPr>
      <w:r>
        <w:rPr>
          <w:noProof/>
        </w:rPr>
        <w:t>This Decision shall enter into force upon its adoption</w:t>
      </w:r>
      <w:r>
        <w:rPr>
          <w:rStyle w:val="FootnoteReference"/>
          <w:noProof/>
        </w:rPr>
        <w:footnoteReference w:id="22"/>
      </w:r>
      <w:r>
        <w:rPr>
          <w:noProof/>
        </w:rPr>
        <w:t>.</w:t>
      </w:r>
    </w:p>
    <w:p w:rsidR="004218E9" w:rsidRDefault="001D4691" w:rsidP="001D4691">
      <w:pPr>
        <w:pStyle w:val="Fait"/>
        <w:rPr>
          <w:noProof/>
        </w:rPr>
      </w:pPr>
      <w:r w:rsidRPr="001D4691">
        <w:t>Done at Brussels,</w:t>
      </w:r>
    </w:p>
    <w:p w:rsidR="004218E9" w:rsidRDefault="001D4691">
      <w:pPr>
        <w:pStyle w:val="Institutionquisigne"/>
        <w:rPr>
          <w:noProof/>
        </w:rPr>
      </w:pPr>
      <w:r>
        <w:rPr>
          <w:noProof/>
        </w:rPr>
        <w:tab/>
        <w:t>F</w:t>
      </w:r>
      <w:r>
        <w:rPr>
          <w:noProof/>
        </w:rPr>
        <w:t>or the Council</w:t>
      </w:r>
    </w:p>
    <w:p w:rsidR="004218E9" w:rsidRDefault="001D4691">
      <w:pPr>
        <w:pStyle w:val="Personnequisigne"/>
        <w:rPr>
          <w:noProof/>
        </w:rPr>
      </w:pPr>
      <w:r>
        <w:rPr>
          <w:noProof/>
        </w:rPr>
        <w:tab/>
        <w:t>The President</w:t>
      </w:r>
    </w:p>
    <w:sectPr w:rsidR="004218E9" w:rsidSect="001D469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8E9" w:rsidRDefault="001D4691">
      <w:pPr>
        <w:spacing w:before="0" w:after="0"/>
      </w:pPr>
      <w:r>
        <w:separator/>
      </w:r>
    </w:p>
  </w:endnote>
  <w:endnote w:type="continuationSeparator" w:id="0">
    <w:p w:rsidR="004218E9" w:rsidRDefault="001D4691">
      <w:pPr>
        <w:spacing w:before="0" w:after="0"/>
      </w:pPr>
      <w:r>
        <w:continuationSeparator/>
      </w:r>
    </w:p>
  </w:endnote>
  <w:endnote w:type="continuationNotice" w:id="1">
    <w:p w:rsidR="004218E9" w:rsidRDefault="004218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91" w:rsidRPr="001D4691" w:rsidRDefault="001D4691" w:rsidP="001D4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91" w:rsidRPr="001D4691" w:rsidRDefault="001D4691" w:rsidP="001D4691">
    <w:pPr>
      <w:pStyle w:val="Footer"/>
      <w:rPr>
        <w:rFonts w:ascii="Arial" w:hAnsi="Arial" w:cs="Arial"/>
        <w:b/>
        <w:sz w:val="48"/>
      </w:rPr>
    </w:pPr>
    <w:r w:rsidRPr="001D4691">
      <w:rPr>
        <w:rFonts w:ascii="Arial" w:hAnsi="Arial" w:cs="Arial"/>
        <w:b/>
        <w:sz w:val="48"/>
      </w:rPr>
      <w:t>EN</w:t>
    </w:r>
    <w:r w:rsidRPr="001D4691">
      <w:rPr>
        <w:rFonts w:ascii="Arial" w:hAnsi="Arial" w:cs="Arial"/>
        <w:b/>
        <w:sz w:val="48"/>
      </w:rPr>
      <w:tab/>
    </w:r>
    <w:r w:rsidRPr="001D4691">
      <w:rPr>
        <w:rFonts w:ascii="Arial" w:hAnsi="Arial" w:cs="Arial"/>
        <w:b/>
        <w:sz w:val="48"/>
      </w:rPr>
      <w:tab/>
    </w:r>
    <w:fldSimple w:instr=" DOCVARIABLE &quot;LW_Confidence&quot; \* MERGEFORMAT ">
      <w:r>
        <w:t xml:space="preserve"> </w:t>
      </w:r>
    </w:fldSimple>
    <w:r w:rsidRPr="001D4691">
      <w:tab/>
    </w:r>
    <w:proofErr w:type="spellStart"/>
    <w:r w:rsidRPr="001D469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91" w:rsidRPr="001D4691" w:rsidRDefault="001D4691" w:rsidP="001D46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E9" w:rsidRPr="001D4691" w:rsidRDefault="001D4691" w:rsidP="001D4691">
    <w:pPr>
      <w:pStyle w:val="Footer"/>
      <w:rPr>
        <w:rFonts w:ascii="Arial" w:hAnsi="Arial" w:cs="Arial"/>
        <w:b/>
        <w:sz w:val="48"/>
      </w:rPr>
    </w:pPr>
    <w:r w:rsidRPr="001D4691">
      <w:rPr>
        <w:rFonts w:ascii="Arial" w:hAnsi="Arial" w:cs="Arial"/>
        <w:b/>
        <w:sz w:val="48"/>
      </w:rPr>
      <w:t>EN</w:t>
    </w:r>
    <w:r w:rsidRPr="001D4691">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1D4691">
      <w:tab/>
    </w:r>
    <w:r w:rsidRPr="001D469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91" w:rsidRPr="001D4691" w:rsidRDefault="001D4691" w:rsidP="001D4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8E9" w:rsidRDefault="001D4691">
      <w:pPr>
        <w:spacing w:before="0" w:after="0"/>
      </w:pPr>
      <w:r>
        <w:separator/>
      </w:r>
    </w:p>
  </w:footnote>
  <w:footnote w:type="continuationSeparator" w:id="0">
    <w:p w:rsidR="004218E9" w:rsidRDefault="001D4691">
      <w:pPr>
        <w:spacing w:before="0" w:after="0"/>
      </w:pPr>
      <w:r>
        <w:continuationSeparator/>
      </w:r>
    </w:p>
  </w:footnote>
  <w:footnote w:type="continuationNotice" w:id="1">
    <w:p w:rsidR="004218E9" w:rsidRDefault="004218E9">
      <w:pPr>
        <w:spacing w:before="0" w:after="0"/>
      </w:pPr>
    </w:p>
  </w:footnote>
  <w:footnote w:id="2">
    <w:p w:rsidR="004218E9" w:rsidRDefault="001D4691">
      <w:pPr>
        <w:pStyle w:val="FootnoteText"/>
      </w:pPr>
      <w:r>
        <w:rPr>
          <w:rStyle w:val="FootnoteReference"/>
        </w:rPr>
        <w:footnoteRef/>
      </w:r>
      <w:r>
        <w:tab/>
        <w:t xml:space="preserve">Council Decision (EU) 2015/1913 of 18 September 2015 on the signing, on behalf of the European Union, of the Council of Europe Convention on the Prevention of Terrorism (CETS No 196, OJ  L 280, 24.10.2015, p. 22 and </w:t>
      </w:r>
      <w:r>
        <w:t>Council Decision (EU) 2015/1914 of 18 September 2015 on the signing, on behalf of the European Union, of the Additional Protocol to the Council of Europe Convention on the Prevention of Terrorism (CETS No 196, OJ L 280, 24.10.2015, p. 24).</w:t>
      </w:r>
    </w:p>
  </w:footnote>
  <w:footnote w:id="3">
    <w:p w:rsidR="004218E9" w:rsidRDefault="001D4691">
      <w:pPr>
        <w:pStyle w:val="FootnoteText"/>
        <w:rPr>
          <w:sz w:val="16"/>
          <w:szCs w:val="22"/>
        </w:rPr>
      </w:pPr>
      <w:r>
        <w:rPr>
          <w:rStyle w:val="FootnoteReference"/>
          <w:szCs w:val="22"/>
        </w:rPr>
        <w:footnoteRef/>
      </w:r>
      <w:r>
        <w:rPr>
          <w:szCs w:val="22"/>
        </w:rPr>
        <w:tab/>
      </w:r>
      <w:proofErr w:type="gramStart"/>
      <w:r>
        <w:t>Council of Eur</w:t>
      </w:r>
      <w:r>
        <w:t xml:space="preserve">ope </w:t>
      </w:r>
      <w:r>
        <w:rPr>
          <w:lang w:val="en-US"/>
        </w:rPr>
        <w:t>Treaty</w:t>
      </w:r>
      <w:r>
        <w:t xml:space="preserve"> Office </w:t>
      </w:r>
      <w:hyperlink r:id="rId1" w:history="1">
        <w:r>
          <w:rPr>
            <w:rStyle w:val="Hyperlink"/>
          </w:rPr>
          <w:t>Chart of signatures and ratifications of Treaty 196</w:t>
        </w:r>
      </w:hyperlink>
      <w:r>
        <w:t>, status as of 29 August 2017.</w:t>
      </w:r>
      <w:proofErr w:type="gramEnd"/>
    </w:p>
  </w:footnote>
  <w:footnote w:id="4">
    <w:p w:rsidR="004218E9" w:rsidRDefault="001D4691">
      <w:pPr>
        <w:pStyle w:val="FootnoteText"/>
        <w:rPr>
          <w:lang w:val="en-US"/>
        </w:rPr>
      </w:pPr>
      <w:r>
        <w:rPr>
          <w:rStyle w:val="FootnoteReference"/>
        </w:rPr>
        <w:footnoteRef/>
      </w:r>
      <w:r>
        <w:tab/>
      </w:r>
      <w:r>
        <w:rPr>
          <w:lang w:val="en-US"/>
        </w:rPr>
        <w:t>See Article 10 of the Additional Proto</w:t>
      </w:r>
      <w:r>
        <w:rPr>
          <w:lang w:val="en-US"/>
        </w:rPr>
        <w:t>col.</w:t>
      </w:r>
    </w:p>
  </w:footnote>
  <w:footnote w:id="5">
    <w:p w:rsidR="004218E9" w:rsidRDefault="001D4691">
      <w:pPr>
        <w:pStyle w:val="FootnoteText"/>
      </w:pPr>
      <w:r>
        <w:rPr>
          <w:rStyle w:val="FootnoteReference"/>
        </w:rPr>
        <w:footnoteRef/>
      </w:r>
      <w:r>
        <w:tab/>
        <w:t>Council Decision (EU) 2015/1913 of 18 September 2015 on the signing, on behalf of the European Union, of the Council of Europe Convention on the Prevention of Terrorism (CETS No 196, OJ  L 280, 24.10.2015, p. 22 and Council Decision (EU) 2015/1914 o</w:t>
      </w:r>
      <w:r>
        <w:t>f 18 September 2015 on the signing, on behalf of the European Union, of the Additional Protocol to the Council of Europe Convention on the Prevention of Terrorism (CETS No 196, OJ L 280, 24.10.2015, p. 24).</w:t>
      </w:r>
    </w:p>
  </w:footnote>
  <w:footnote w:id="6">
    <w:p w:rsidR="004218E9" w:rsidRDefault="001D4691">
      <w:pPr>
        <w:pStyle w:val="FootnoteText"/>
      </w:pPr>
      <w:r>
        <w:rPr>
          <w:rStyle w:val="FootnoteReference"/>
        </w:rPr>
        <w:footnoteRef/>
      </w:r>
      <w:r>
        <w:tab/>
        <w:t>Directive 2017/541(EU) on combating terrorism a</w:t>
      </w:r>
      <w:r>
        <w:t>nd replacing Council Framework Decision 2002/475/JHA and amending Council Decision 2005/671/JHA (OJ L 88 of 31 March 2017, p.6).</w:t>
      </w:r>
    </w:p>
  </w:footnote>
  <w:footnote w:id="7">
    <w:p w:rsidR="004218E9" w:rsidRDefault="001D4691">
      <w:pPr>
        <w:pStyle w:val="FootnoteText"/>
        <w:rPr>
          <w:lang w:val="pl-PL"/>
        </w:rPr>
      </w:pPr>
      <w:r>
        <w:rPr>
          <w:rStyle w:val="FootnoteReference"/>
        </w:rPr>
        <w:footnoteRef/>
      </w:r>
      <w:r>
        <w:rPr>
          <w:lang w:val="pl-PL"/>
        </w:rPr>
        <w:tab/>
        <w:t xml:space="preserve">OJ L 253, 29.9.2005, </w:t>
      </w:r>
      <w:proofErr w:type="gramStart"/>
      <w:r>
        <w:rPr>
          <w:lang w:val="pl-PL"/>
        </w:rPr>
        <w:t>p</w:t>
      </w:r>
      <w:proofErr w:type="gramEnd"/>
      <w:r>
        <w:rPr>
          <w:lang w:val="pl-PL"/>
        </w:rPr>
        <w:t>. 22.</w:t>
      </w:r>
    </w:p>
  </w:footnote>
  <w:footnote w:id="8">
    <w:p w:rsidR="004218E9" w:rsidRDefault="001D4691">
      <w:pPr>
        <w:pStyle w:val="FootnoteText"/>
        <w:rPr>
          <w:lang w:val="pl-PL"/>
        </w:rPr>
      </w:pPr>
      <w:r>
        <w:rPr>
          <w:rStyle w:val="FootnoteReference"/>
        </w:rPr>
        <w:footnoteRef/>
      </w:r>
      <w:r>
        <w:rPr>
          <w:lang w:val="pl-PL"/>
        </w:rPr>
        <w:tab/>
      </w:r>
      <w:r>
        <w:rPr>
          <w:iCs/>
          <w:lang w:val="pl-PL"/>
        </w:rPr>
        <w:t xml:space="preserve">OJ L 315, 14.11.2012, </w:t>
      </w:r>
      <w:proofErr w:type="gramStart"/>
      <w:r>
        <w:rPr>
          <w:iCs/>
          <w:lang w:val="pl-PL"/>
        </w:rPr>
        <w:t>p</w:t>
      </w:r>
      <w:proofErr w:type="gramEnd"/>
      <w:r>
        <w:rPr>
          <w:iCs/>
          <w:lang w:val="pl-PL"/>
        </w:rPr>
        <w:t>. 57.</w:t>
      </w:r>
    </w:p>
  </w:footnote>
  <w:footnote w:id="9">
    <w:p w:rsidR="004218E9" w:rsidRDefault="001D4691">
      <w:pPr>
        <w:pStyle w:val="FootnoteText"/>
        <w:rPr>
          <w:lang w:val="pl-PL"/>
        </w:rPr>
      </w:pPr>
      <w:r>
        <w:rPr>
          <w:rStyle w:val="FootnoteReference"/>
        </w:rPr>
        <w:footnoteRef/>
      </w:r>
      <w:r>
        <w:rPr>
          <w:lang w:val="pl-PL"/>
        </w:rPr>
        <w:tab/>
      </w:r>
      <w:r>
        <w:rPr>
          <w:iCs/>
          <w:lang w:val="pl-PL"/>
        </w:rPr>
        <w:t xml:space="preserve">OJ L 261, 6.8.2004, </w:t>
      </w:r>
      <w:proofErr w:type="gramStart"/>
      <w:r>
        <w:rPr>
          <w:iCs/>
          <w:lang w:val="pl-PL"/>
        </w:rPr>
        <w:t>p</w:t>
      </w:r>
      <w:proofErr w:type="gramEnd"/>
      <w:r>
        <w:rPr>
          <w:iCs/>
          <w:lang w:val="pl-PL"/>
        </w:rPr>
        <w:t>. 15.</w:t>
      </w:r>
    </w:p>
  </w:footnote>
  <w:footnote w:id="10">
    <w:p w:rsidR="004218E9" w:rsidRDefault="001D4691">
      <w:pPr>
        <w:pStyle w:val="FootnoteText"/>
        <w:tabs>
          <w:tab w:val="left" w:pos="720"/>
          <w:tab w:val="left" w:pos="1875"/>
        </w:tabs>
        <w:rPr>
          <w:lang w:val="pl-PL"/>
        </w:rPr>
      </w:pPr>
      <w:r>
        <w:rPr>
          <w:rStyle w:val="FootnoteReference"/>
        </w:rPr>
        <w:footnoteRef/>
      </w:r>
      <w:r>
        <w:rPr>
          <w:lang w:val="pl-PL"/>
        </w:rPr>
        <w:tab/>
      </w:r>
      <w:r>
        <w:rPr>
          <w:iCs/>
          <w:lang w:val="pl-PL"/>
        </w:rPr>
        <w:t xml:space="preserve">OJ L 338, 21.12.2011, </w:t>
      </w:r>
      <w:proofErr w:type="gramStart"/>
      <w:r>
        <w:rPr>
          <w:iCs/>
          <w:lang w:val="pl-PL"/>
        </w:rPr>
        <w:t>p</w:t>
      </w:r>
      <w:proofErr w:type="gramEnd"/>
      <w:r>
        <w:rPr>
          <w:iCs/>
          <w:lang w:val="pl-PL"/>
        </w:rPr>
        <w:t>. 2.</w:t>
      </w:r>
      <w:r>
        <w:rPr>
          <w:lang w:val="pl-PL"/>
        </w:rPr>
        <w:tab/>
      </w:r>
    </w:p>
  </w:footnote>
  <w:footnote w:id="11">
    <w:p w:rsidR="004218E9" w:rsidRDefault="001D4691">
      <w:pPr>
        <w:pStyle w:val="FootnoteText"/>
        <w:rPr>
          <w:lang w:val="pl-PL"/>
        </w:rPr>
      </w:pPr>
      <w:r>
        <w:rPr>
          <w:rStyle w:val="FootnoteReference"/>
        </w:rPr>
        <w:footnoteRef/>
      </w:r>
      <w:r>
        <w:rPr>
          <w:lang w:val="pl-PL"/>
        </w:rPr>
        <w:tab/>
      </w:r>
      <w:r>
        <w:rPr>
          <w:iCs/>
          <w:lang w:val="pl-PL"/>
        </w:rPr>
        <w:t>OJ L</w:t>
      </w:r>
      <w:r>
        <w:rPr>
          <w:iCs/>
          <w:lang w:val="pl-PL"/>
        </w:rPr>
        <w:t xml:space="preserve"> 328, 15.12.2009, </w:t>
      </w:r>
      <w:proofErr w:type="gramStart"/>
      <w:r>
        <w:rPr>
          <w:iCs/>
          <w:lang w:val="pl-PL"/>
        </w:rPr>
        <w:t>p</w:t>
      </w:r>
      <w:proofErr w:type="gramEnd"/>
      <w:r>
        <w:rPr>
          <w:iCs/>
          <w:lang w:val="pl-PL"/>
        </w:rPr>
        <w:t>. 42.</w:t>
      </w:r>
    </w:p>
  </w:footnote>
  <w:footnote w:id="12">
    <w:p w:rsidR="004218E9" w:rsidRDefault="001D4691">
      <w:pPr>
        <w:pStyle w:val="FootnoteText"/>
        <w:rPr>
          <w:lang w:val="pl-PL"/>
        </w:rPr>
      </w:pPr>
      <w:r>
        <w:rPr>
          <w:rStyle w:val="FootnoteReference"/>
        </w:rPr>
        <w:footnoteRef/>
      </w:r>
      <w:r>
        <w:rPr>
          <w:lang w:val="pl-PL"/>
        </w:rPr>
        <w:tab/>
        <w:t xml:space="preserve">OJ L 162, 20.6.2002, </w:t>
      </w:r>
      <w:proofErr w:type="gramStart"/>
      <w:r>
        <w:rPr>
          <w:lang w:val="pl-PL"/>
        </w:rPr>
        <w:t>p</w:t>
      </w:r>
      <w:proofErr w:type="gramEnd"/>
      <w:r>
        <w:rPr>
          <w:lang w:val="pl-PL"/>
        </w:rPr>
        <w:t>. 1.</w:t>
      </w:r>
    </w:p>
  </w:footnote>
  <w:footnote w:id="13">
    <w:p w:rsidR="004218E9" w:rsidRDefault="001D4691">
      <w:pPr>
        <w:pStyle w:val="FootnoteText"/>
      </w:pPr>
      <w:r>
        <w:rPr>
          <w:rStyle w:val="FootnoteReference"/>
        </w:rPr>
        <w:footnoteRef/>
      </w:r>
      <w:r>
        <w:tab/>
        <w:t>OJ L 190, 18.7.2002, p.1.</w:t>
      </w:r>
    </w:p>
  </w:footnote>
  <w:footnote w:id="14">
    <w:p w:rsidR="004218E9" w:rsidRDefault="001D4691">
      <w:pPr>
        <w:pStyle w:val="FootnoteText"/>
      </w:pPr>
      <w:r>
        <w:rPr>
          <w:rStyle w:val="FootnoteReference"/>
        </w:rPr>
        <w:footnoteRef/>
      </w:r>
      <w:r>
        <w:tab/>
        <w:t>OJ L 130, 1.5.2014, p. 1.</w:t>
      </w:r>
    </w:p>
  </w:footnote>
  <w:footnote w:id="15">
    <w:p w:rsidR="004218E9" w:rsidRDefault="001D4691">
      <w:pPr>
        <w:pStyle w:val="FootnoteText"/>
      </w:pPr>
      <w:r>
        <w:rPr>
          <w:rStyle w:val="FootnoteReference"/>
        </w:rPr>
        <w:footnoteRef/>
      </w:r>
      <w:r>
        <w:tab/>
        <w:t>Council Act of 29.5.2000 establishing the Convention on Mutual Assistance in Criminal Matters between the Member States of the European Union, O</w:t>
      </w:r>
      <w:r>
        <w:t>J C197, 12.7.2000, p.1</w:t>
      </w:r>
    </w:p>
  </w:footnote>
  <w:footnote w:id="16">
    <w:p w:rsidR="004218E9" w:rsidRDefault="001D4691">
      <w:pPr>
        <w:pStyle w:val="FootnoteText"/>
        <w:rPr>
          <w:lang w:val="pl-PL"/>
        </w:rPr>
      </w:pPr>
      <w:r>
        <w:rPr>
          <w:rStyle w:val="FootnoteReference"/>
        </w:rPr>
        <w:footnoteRef/>
      </w:r>
      <w:r>
        <w:rPr>
          <w:lang w:val="pl-PL"/>
        </w:rPr>
        <w:tab/>
        <w:t xml:space="preserve">OJ L 239, 22.9.2000, </w:t>
      </w:r>
      <w:proofErr w:type="gramStart"/>
      <w:r>
        <w:rPr>
          <w:lang w:val="pl-PL"/>
        </w:rPr>
        <w:t>p</w:t>
      </w:r>
      <w:proofErr w:type="gramEnd"/>
      <w:r>
        <w:rPr>
          <w:lang w:val="pl-PL"/>
        </w:rPr>
        <w:t>. 19.</w:t>
      </w:r>
    </w:p>
  </w:footnote>
  <w:footnote w:id="17">
    <w:p w:rsidR="004218E9" w:rsidRDefault="001D4691">
      <w:pPr>
        <w:pStyle w:val="FootnoteText"/>
        <w:rPr>
          <w:lang w:val="pl-PL"/>
        </w:rPr>
      </w:pPr>
      <w:r>
        <w:rPr>
          <w:rStyle w:val="FootnoteReference"/>
        </w:rPr>
        <w:footnoteRef/>
      </w:r>
      <w:r>
        <w:rPr>
          <w:lang w:val="pl-PL"/>
        </w:rPr>
        <w:tab/>
        <w:t xml:space="preserve">OJ L 386, 29.12.2006, </w:t>
      </w:r>
      <w:proofErr w:type="gramStart"/>
      <w:r>
        <w:rPr>
          <w:lang w:val="pl-PL"/>
        </w:rPr>
        <w:t>p</w:t>
      </w:r>
      <w:proofErr w:type="gramEnd"/>
      <w:r>
        <w:rPr>
          <w:lang w:val="pl-PL"/>
        </w:rPr>
        <w:t>. 89.</w:t>
      </w:r>
    </w:p>
  </w:footnote>
  <w:footnote w:id="18">
    <w:p w:rsidR="004218E9" w:rsidRDefault="001D4691">
      <w:pPr>
        <w:pStyle w:val="FootnoteText"/>
        <w:rPr>
          <w:lang w:val="pl-PL"/>
        </w:rPr>
      </w:pPr>
      <w:r>
        <w:rPr>
          <w:rStyle w:val="FootnoteReference"/>
        </w:rPr>
        <w:footnoteRef/>
      </w:r>
      <w:r>
        <w:rPr>
          <w:lang w:val="pl-PL"/>
        </w:rPr>
        <w:tab/>
        <w:t xml:space="preserve">OJ L 210, 6.6.2008, </w:t>
      </w:r>
      <w:proofErr w:type="gramStart"/>
      <w:r>
        <w:rPr>
          <w:lang w:val="pl-PL"/>
        </w:rPr>
        <w:t>p</w:t>
      </w:r>
      <w:proofErr w:type="gramEnd"/>
      <w:r>
        <w:rPr>
          <w:lang w:val="pl-PL"/>
        </w:rPr>
        <w:t>. 1.</w:t>
      </w:r>
    </w:p>
  </w:footnote>
  <w:footnote w:id="19">
    <w:p w:rsidR="004218E9" w:rsidRDefault="001D4691">
      <w:pPr>
        <w:pStyle w:val="FootnoteText"/>
        <w:ind w:left="397" w:hanging="397"/>
      </w:pPr>
      <w:r>
        <w:rPr>
          <w:rStyle w:val="FootnoteReference"/>
        </w:rPr>
        <w:footnoteRef/>
      </w:r>
      <w:r>
        <w:tab/>
        <w:t xml:space="preserve">C-377/12, </w:t>
      </w:r>
      <w:r>
        <w:rPr>
          <w:i/>
        </w:rPr>
        <w:t>Commission v Council</w:t>
      </w:r>
      <w:r>
        <w:t>, paragraph 34.</w:t>
      </w:r>
    </w:p>
  </w:footnote>
  <w:footnote w:id="20">
    <w:p w:rsidR="004218E9" w:rsidRDefault="001D4691">
      <w:pPr>
        <w:pStyle w:val="FootnoteText"/>
        <w:rPr>
          <w:rStyle w:val="FootnoteReference"/>
        </w:rPr>
      </w:pPr>
      <w:r>
        <w:rPr>
          <w:rStyle w:val="FootnoteReference"/>
        </w:rPr>
        <w:footnoteRef/>
      </w:r>
      <w:r>
        <w:rPr>
          <w:rStyle w:val="FootnoteReference"/>
        </w:rPr>
        <w:tab/>
      </w:r>
      <w:r>
        <w:rPr>
          <w:rStyle w:val="FootnoteReference"/>
          <w:vertAlign w:val="baseline"/>
        </w:rPr>
        <w:t>OJ L 280 of 24.10.2015, p. 22.</w:t>
      </w:r>
    </w:p>
  </w:footnote>
  <w:footnote w:id="21">
    <w:p w:rsidR="004218E9" w:rsidRDefault="001D4691">
      <w:pPr>
        <w:pStyle w:val="FootnoteText"/>
      </w:pPr>
      <w:r>
        <w:rPr>
          <w:rStyle w:val="FootnoteReference"/>
        </w:rPr>
        <w:footnoteRef/>
      </w:r>
      <w:r>
        <w:tab/>
      </w:r>
      <w:proofErr w:type="gramStart"/>
      <w:r>
        <w:t>Council Framework Decision 2002/475/JHA of 13 June 2002 on co</w:t>
      </w:r>
      <w:r>
        <w:t>mbating terrorism (OJ L 164, 22.6.2002, p.3).</w:t>
      </w:r>
      <w:proofErr w:type="gramEnd"/>
    </w:p>
  </w:footnote>
  <w:footnote w:id="22">
    <w:p w:rsidR="004218E9" w:rsidRDefault="001D4691">
      <w:pPr>
        <w:pStyle w:val="FootnoteText"/>
      </w:pPr>
      <w:r>
        <w:rPr>
          <w:rStyle w:val="FootnoteReference"/>
        </w:rPr>
        <w:footnoteRef/>
      </w:r>
      <w:r>
        <w:tab/>
        <w:t>The date of entry into force of the Convention for the European Union will be published in the</w:t>
      </w:r>
      <w:r>
        <w:rPr>
          <w:i/>
        </w:rPr>
        <w:t xml:space="preserve"> Official Journal of the European Union</w:t>
      </w:r>
      <w:r>
        <w:t xml:space="preserve"> by the General Secretariat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91" w:rsidRPr="001D4691" w:rsidRDefault="001D4691" w:rsidP="001D4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91" w:rsidRPr="001D4691" w:rsidRDefault="001D4691" w:rsidP="001D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91" w:rsidRPr="001D4691" w:rsidRDefault="001D4691" w:rsidP="001D4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C82EEE"/>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80B4034A"/>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57AA897E"/>
    <w:lvl w:ilvl="0">
      <w:start w:val="1"/>
      <w:numFmt w:val="decimal"/>
      <w:pStyle w:val="ListNumber2"/>
      <w:lvlText w:val="%1."/>
      <w:lvlJc w:val="left"/>
      <w:pPr>
        <w:tabs>
          <w:tab w:val="num" w:pos="720"/>
        </w:tabs>
        <w:ind w:left="720" w:hanging="360"/>
      </w:pPr>
    </w:lvl>
  </w:abstractNum>
  <w:abstractNum w:abstractNumId="3">
    <w:nsid w:val="FFFFFF81"/>
    <w:multiLevelType w:val="singleLevel"/>
    <w:tmpl w:val="C3644D42"/>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2920163C"/>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9226686C"/>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CE7E5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15458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proofState w:spelling="clean" w:grammar="clean"/>
  <w:attachedTemplate r:id="rId1"/>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22:0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7770A95E34404B04BB19B3F73A90F77B"/>
    <w:docVar w:name="LW_CROSSREFERENCE" w:val="&lt;UNUSED&gt;"/>
    <w:docVar w:name="LW_DocType" w:val="COM"/>
    <w:docVar w:name="LW_EMISSION" w:val="18.10.2017"/>
    <w:docVar w:name="LW_EMISSION_ISODATE" w:val="2017-10-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65"/>
    <w:docVar w:name="LW_REF.II.NEW.CP_YEAR" w:val="2017"/>
    <w:docVar w:name="LW_REF.INST.NEW" w:val="COM"/>
    <w:docVar w:name="LW_REF.INST.NEW_ADOPTED" w:val="final"/>
    <w:docVar w:name="LW_REF.INST.NEW_TEXT" w:val="(2017) 606"/>
    <w:docVar w:name="LW_REF.INTERNE" w:val="&lt;UNUSED&gt;"/>
    <w:docVar w:name="LW_SOUS.TITRE.OBJ.CP" w:val="&lt;UNUSED&gt;"/>
    <w:docVar w:name="LW_STATUT.CP" w:val="Proposal for a"/>
    <w:docVar w:name="LW_SUPERTITRE" w:val="&lt;UNUSED&gt;"/>
    <w:docVar w:name="LW_TITRE.OBJ.CP" w:val="on the conclusion, on behalf of the European Union, of the Council of Europe Convention on the Prevention of Terrorism (CETS No. 196)"/>
    <w:docVar w:name="LW_TYPE.DOC.CP" w:val="COUNCIL DECISION"/>
  </w:docVars>
  <w:rsids>
    <w:rsidRoot w:val="004218E9"/>
    <w:rsid w:val="001D4691"/>
    <w:rsid w:val="0042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D4691"/>
    <w:pPr>
      <w:tabs>
        <w:tab w:val="center" w:pos="4535"/>
        <w:tab w:val="right" w:pos="9071"/>
      </w:tabs>
      <w:spacing w:before="0"/>
    </w:pPr>
  </w:style>
  <w:style w:type="character" w:customStyle="1" w:styleId="HeaderChar">
    <w:name w:val="Header Char"/>
    <w:basedOn w:val="DefaultParagraphFont"/>
    <w:link w:val="Header"/>
    <w:uiPriority w:val="99"/>
    <w:rsid w:val="001D4691"/>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D469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D4691"/>
    <w:pPr>
      <w:tabs>
        <w:tab w:val="center" w:pos="4535"/>
        <w:tab w:val="right" w:pos="9071"/>
      </w:tabs>
      <w:spacing w:before="0"/>
    </w:pPr>
  </w:style>
  <w:style w:type="character" w:customStyle="1" w:styleId="HeaderChar">
    <w:name w:val="Header Char"/>
    <w:basedOn w:val="DefaultParagraphFont"/>
    <w:link w:val="Header"/>
    <w:uiPriority w:val="99"/>
    <w:rsid w:val="001D4691"/>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D469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96266">
      <w:bodyDiv w:val="1"/>
      <w:marLeft w:val="0"/>
      <w:marRight w:val="0"/>
      <w:marTop w:val="0"/>
      <w:marBottom w:val="0"/>
      <w:divBdr>
        <w:top w:val="none" w:sz="0" w:space="0" w:color="auto"/>
        <w:left w:val="none" w:sz="0" w:space="0" w:color="auto"/>
        <w:bottom w:val="none" w:sz="0" w:space="0" w:color="auto"/>
        <w:right w:val="none" w:sz="0" w:space="0" w:color="auto"/>
      </w:divBdr>
    </w:div>
    <w:div w:id="7588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en/web/conventions/full-list/-/conventions/treaty/196/signatures?p_auth=zFDwYo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186F-6E9F-4B6E-9171-E617DC4D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1977</Words>
  <Characters>10580</Characters>
  <Application>Microsoft Office Word</Application>
  <DocSecurity>0</DocSecurity>
  <Lines>185</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2017-10-13T15:45:00Z</cp:lastPrinted>
  <dcterms:created xsi:type="dcterms:W3CDTF">2017-10-13T15:45:00Z</dcterms:created>
  <dcterms:modified xsi:type="dcterms:W3CDTF">2017-10-18T08:27:00Z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