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C810C35E5724015B00B1E880D1BB0A0" style="width:450.8pt;height:438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на Двадесетата редовна среща на договарящите се страни по Конвенцията за защита на морската среда и на крайбрежните райони в Средиземноморието, по отношение на предложението за изменение на приложение II към Протокола относно специално защитените територии и биологичното разнообразие в Средиземноморието</w:t>
      </w:r>
    </w:p>
    <w:p>
      <w:pPr>
        <w:pStyle w:val="ManualHeading1"/>
        <w:jc w:val="center"/>
        <w:rPr>
          <w:noProof/>
        </w:rPr>
      </w:pPr>
      <w:r>
        <w:rPr>
          <w:noProof/>
        </w:rPr>
        <w:t>Приложение</w:t>
      </w:r>
    </w:p>
    <w:p>
      <w:pPr>
        <w:pStyle w:val="ManualHeading1"/>
        <w:ind w:left="0" w:firstLine="0"/>
        <w:jc w:val="center"/>
        <w:rPr>
          <w:noProof/>
        </w:rPr>
      </w:pPr>
      <w:r>
        <w:rPr>
          <w:noProof/>
        </w:rPr>
        <w:t>Списък с таксономични промени, направени в морските и крайбрежните видове в приложение II към Протокола относно специално защитените територии и биологичното разнообразие в Средиземноморието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В приложение II към Протокола относно специално защитените територии и биологичното разнообразие в Средиземноморието (наричан по-долу „протоколът“) се предлагат следните актуализации от таксономична гледна точка на наименованията или класификацията на морски и крайбрежни видове: 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Следните видове бяха свързани с различна таксономична група:</w:t>
      </w:r>
    </w:p>
    <w:p>
      <w:pPr>
        <w:pStyle w:val="Tiret0"/>
        <w:numPr>
          <w:ilvl w:val="0"/>
          <w:numId w:val="6"/>
        </w:numPr>
        <w:rPr>
          <w:noProof/>
        </w:rPr>
      </w:pPr>
      <w:r>
        <w:rPr>
          <w:noProof/>
        </w:rPr>
        <w:t>„</w:t>
      </w:r>
      <w:r>
        <w:rPr>
          <w:i/>
          <w:noProof/>
        </w:rPr>
        <w:t xml:space="preserve">Fucus virsoides </w:t>
      </w:r>
      <w:r>
        <w:rPr>
          <w:noProof/>
        </w:rPr>
        <w:t>J. Agardh“ беше преместен от тип „Rhodophyta“ в тип „Heterokontophyta“</w:t>
      </w:r>
    </w:p>
    <w:p>
      <w:pPr>
        <w:pStyle w:val="Tiret0"/>
        <w:rPr>
          <w:noProof/>
        </w:rPr>
      </w:pPr>
      <w:r>
        <w:rPr>
          <w:noProof/>
        </w:rPr>
        <w:t>„</w:t>
      </w:r>
      <w:r>
        <w:rPr>
          <w:i/>
          <w:noProof/>
        </w:rPr>
        <w:t xml:space="preserve">Kallymenia spathulata </w:t>
      </w:r>
      <w:r>
        <w:rPr>
          <w:noProof/>
        </w:rPr>
        <w:t>(J. Agardh) P.G. Parkinson“ беше преместен от тип „Heterokontophyta“ в тип „Rhodophyta“.</w:t>
      </w:r>
    </w:p>
    <w:p>
      <w:pPr>
        <w:pStyle w:val="Point0number"/>
        <w:rPr>
          <w:noProof/>
        </w:rPr>
      </w:pPr>
      <w:r>
        <w:rPr>
          <w:noProof/>
        </w:rPr>
        <w:t>В категорията „Aves“ бяха заличени следните видове:</w:t>
      </w:r>
    </w:p>
    <w:p>
      <w:pPr>
        <w:pStyle w:val="Tiret1"/>
        <w:numPr>
          <w:ilvl w:val="0"/>
          <w:numId w:val="7"/>
        </w:numPr>
        <w:rPr>
          <w:noProof/>
        </w:rPr>
      </w:pPr>
      <w:r>
        <w:rPr>
          <w:noProof/>
        </w:rPr>
        <w:t>„</w:t>
      </w:r>
      <w:r>
        <w:rPr>
          <w:i/>
          <w:noProof/>
        </w:rPr>
        <w:t>Hydrobates pelagicus</w:t>
      </w:r>
      <w:r>
        <w:rPr>
          <w:noProof/>
        </w:rPr>
        <w:t xml:space="preserve"> (Linnaeus, 1758)“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Phalacrocorax aristotelis</w:t>
      </w:r>
      <w:r>
        <w:rPr>
          <w:noProof/>
        </w:rPr>
        <w:t xml:space="preserve"> (Linnaeus, 1761)“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Phalacrocorax pygmeus</w:t>
      </w:r>
      <w:r>
        <w:rPr>
          <w:noProof/>
        </w:rPr>
        <w:t xml:space="preserve"> (Pallas, 1773)“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Phoenicopterus ruber</w:t>
      </w:r>
      <w:r>
        <w:rPr>
          <w:noProof/>
        </w:rPr>
        <w:t xml:space="preserve"> (Linnaeus, 1758)“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Sterna albifrons</w:t>
      </w:r>
      <w:r>
        <w:rPr>
          <w:noProof/>
        </w:rPr>
        <w:t xml:space="preserve"> (Pallas, 1764)“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Sterna bengalensis</w:t>
      </w:r>
      <w:r>
        <w:rPr>
          <w:noProof/>
        </w:rPr>
        <w:t xml:space="preserve"> (Lesson, 1831)“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Sterna caspia</w:t>
      </w:r>
      <w:r>
        <w:rPr>
          <w:noProof/>
        </w:rPr>
        <w:t xml:space="preserve"> (Pallas, 1770)“„ 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Sterna nilotica</w:t>
      </w:r>
      <w:r>
        <w:rPr>
          <w:noProof/>
        </w:rPr>
        <w:t xml:space="preserve"> (Gmelin, JF, 1789)“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Sterna sandvicensis</w:t>
      </w:r>
      <w:r>
        <w:rPr>
          <w:noProof/>
        </w:rPr>
        <w:t xml:space="preserve"> (Latham, 1878)“.</w:t>
      </w:r>
    </w:p>
    <w:p>
      <w:pPr>
        <w:pStyle w:val="Text1"/>
        <w:rPr>
          <w:noProof/>
        </w:rPr>
      </w:pPr>
      <w:r>
        <w:rPr>
          <w:noProof/>
        </w:rPr>
        <w:t xml:space="preserve">В същата категория бяха добавени следните видове: 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Hydrobates pelagicus ssp. melitensis</w:t>
      </w:r>
      <w:r>
        <w:rPr>
          <w:noProof/>
        </w:rPr>
        <w:t xml:space="preserve"> (Schembri, 1843)“ </w:t>
      </w:r>
    </w:p>
    <w:p>
      <w:pPr>
        <w:pStyle w:val="Tiret1"/>
        <w:rPr>
          <w:noProof/>
        </w:rPr>
      </w:pPr>
      <w:r>
        <w:rPr>
          <w:noProof/>
        </w:rPr>
        <w:lastRenderedPageBreak/>
        <w:t>„</w:t>
      </w:r>
      <w:r>
        <w:rPr>
          <w:i/>
          <w:noProof/>
        </w:rPr>
        <w:t>Phalacrocorax aristotelis ssp. desmarestii</w:t>
      </w:r>
      <w:r>
        <w:rPr>
          <w:noProof/>
        </w:rPr>
        <w:t xml:space="preserve"> (Payraudeau, 1826)“ 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Microcarbo pygmaeus</w:t>
      </w:r>
      <w:r>
        <w:rPr>
          <w:noProof/>
        </w:rPr>
        <w:t xml:space="preserve"> (Pallas, 1773)“ 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Phoenicopterus roseus</w:t>
      </w:r>
      <w:r>
        <w:rPr>
          <w:noProof/>
        </w:rPr>
        <w:t xml:space="preserve"> (Pallas, 1811)“ 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Sternula albifrons</w:t>
      </w:r>
      <w:r>
        <w:rPr>
          <w:noProof/>
        </w:rPr>
        <w:t xml:space="preserve"> (Pallas, 1764)“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Thalasseus bengalensis</w:t>
      </w:r>
      <w:r>
        <w:rPr>
          <w:noProof/>
        </w:rPr>
        <w:t xml:space="preserve"> (Lesson, 1831)“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Hydroprogne caspia</w:t>
      </w:r>
      <w:r>
        <w:rPr>
          <w:noProof/>
        </w:rPr>
        <w:t xml:space="preserve"> (Pallas, 1770)“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Gelochelidon nilotica</w:t>
      </w:r>
      <w:r>
        <w:rPr>
          <w:noProof/>
        </w:rPr>
        <w:t xml:space="preserve"> (Gmelin, JF, 1789)“</w:t>
      </w:r>
    </w:p>
    <w:p>
      <w:pPr>
        <w:pStyle w:val="Tiret1"/>
        <w:rPr>
          <w:noProof/>
        </w:rPr>
      </w:pPr>
      <w:r>
        <w:rPr>
          <w:noProof/>
        </w:rPr>
        <w:t>„</w:t>
      </w:r>
      <w:r>
        <w:rPr>
          <w:i/>
          <w:noProof/>
        </w:rPr>
        <w:t>Thalasseus sandvicensis</w:t>
      </w:r>
      <w:r>
        <w:rPr>
          <w:noProof/>
        </w:rPr>
        <w:t xml:space="preserve"> (Latham, 1878)“.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2F21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21092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D4E38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B806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8A14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1EEC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16E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CAD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10:16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C810C35E5724015B00B1E880D1BB0A0"/>
    <w:docVar w:name="LW_CROSSREFERENCE" w:val="&lt;UNUSED&gt;"/>
    <w:docVar w:name="LW_DocType" w:val="ANNEX"/>
    <w:docVar w:name="LW_EMISSION" w:val="19.10.2017"/>
    <w:docVar w:name="LW_EMISSION_ISODATE" w:val="2017-10-1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85?\u1072? \u1044?\u1074?\u1072?\u1076?\u1077?\u1089?\u1077?\u1090?\u1072?\u1090?\u1072? \u1088?\u1077?\u1076?\u1086?\u1074?\u1085?\u1072? \u1089?\u1088?\u1077?\u1097?\u1072? \u1085?\u1072? \u1076?\u1086?\u1075?\u1086?\u1074?\u1072?\u1088?\u1103?\u1097?\u1080?\u1090?\u1077? \u1089?\u1077? \u1089?\u1090?\u1088?\u1072?\u1085?\u1080? \u1087?\u1086? \u1050?\u1086?\u1085?\u1074?\u1077?\u1085?\u1094?\u1080?\u1103?\u1090?\u1072? \u1079?\u1072? \u1079?\u1072?\u1097?\u1080?\u1090?\u1072? \u1085?\u1072? \u1084?\u1086?\u1088?\u1089?\u1082?\u1072?\u1090?\u1072? \u1089?\u1088?\u1077?\u1076?\u1072? \u1080? \u1085?\u1072? \u1082?\u1088?\u1072?\u1081?\u1073?\u1088?\u1077?\u1078?\u1085?\u1080?\u1090?\u1077? \u1088?\u1072?\u1081?\u1086?\u1085?\u1080? \u1074? \u1057?\u1088?\u1077?\u1076?\u1080?\u1079?\u1077?\u1084?\u1085?\u1086?\u1084?\u1086?\u1088?\u1080?\u1077?\u1090?\u1086?, \u1087?\u1086? \u1086?\u1090?\u1085?\u1086?\u1096?\u1077?\u1085?\u1080?\u1077? \u1085?\u1072? \u1087?\u1088?\u1077?\u1076?\u1083?\u1086?\u1078?\u1077?\u1085?\u1080?\u1077?\u1090?\u1086? \u1079?\u1072? \u1080?\u1079?\u1084?\u1077?\u1085?\u1077?\u1085?\u1080?\u1077? \u1085?\u1072? \u1087?\u1088?\u1080?\u1083?\u1086?\u1078?\u1077?\u1085?\u1080?\u1077? II \u1082?\u1098?\u1084? \u1055?\u1088?\u1086?\u1090?\u1086?\u1082?\u1086?\u1083?\u1072? \u1086?\u1090?\u1085?\u1086?\u1089?\u1085?\u1086? \u1089?\u1087?\u1077?\u1094?\u1080?\u1072?\u1083?\u1085?\u1086? \u1079?\u1072?\u1097?\u1080?\u1090?\u1077?\u1085?\u1080?\u1090?\u1077? \u1090?\u1077?\u1088?\u1080?\u1090?\u1086?\u1088?\u1080?\u1080? \u1080? \u1073?\u1080?\u1086?\u1083?\u1086?\u1075?\u1080?\u1095?\u1085?\u1086?\u1090?\u1086? \u1088?\u1072?\u1079?\u1085?\u1086?\u1086?\u1073?\u1088?\u1072?\u1079?\u1080?\u1077? \u1074? \u1057?\u1088?\u1077?\u1076?\u1080?\u1079?\u1077?\u1084?\u1085?\u1086?\u1084?\u1086?\u1088?\u1080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0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47CE-E205-47A4-B41B-050AFE87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242</Words>
  <Characters>1755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 Clementine (ENV)</dc:creator>
  <cp:lastModifiedBy>DIGIT/A3</cp:lastModifiedBy>
  <cp:revision>7</cp:revision>
  <dcterms:created xsi:type="dcterms:W3CDTF">2017-10-05T13:13:00Z</dcterms:created>
  <dcterms:modified xsi:type="dcterms:W3CDTF">2017-10-10T08:16:00Z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