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05E5DFFB87694845BBEBCCF124F4EFE2" style="width:450.8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ANNEX</w:t>
      </w:r>
    </w:p>
    <w:p>
      <w:pPr>
        <w:pStyle w:val="Accompagnant"/>
        <w:rPr>
          <w:noProof/>
        </w:rPr>
      </w:pPr>
      <w:r>
        <w:rPr>
          <w:noProof/>
        </w:rPr>
        <w:t>to the</w:t>
      </w:r>
    </w:p>
    <w:p>
      <w:pPr>
        <w:pStyle w:val="Typeacteprincipal"/>
        <w:rPr>
          <w:noProof/>
        </w:rPr>
      </w:pPr>
      <w:r>
        <w:rPr>
          <w:noProof/>
        </w:rPr>
        <w:t>Council Decision</w:t>
      </w:r>
    </w:p>
    <w:p>
      <w:pPr>
        <w:pStyle w:val="Objetacteprincipal"/>
        <w:rPr>
          <w:noProof/>
        </w:rPr>
      </w:pPr>
      <w:r>
        <w:rPr>
          <w:noProof/>
        </w:rPr>
        <w:t>on the position to be adopted, on behalf of the Union, at the twentieth ordinary meeting of the Contracting Parties to the Convention for the protection of the marine environment and the coastal region of the Mediterranean, with regard to a proposal for amending Annex II to the Protocol concerning specially protected areas and biological diversity in the Mediterranean</w:t>
      </w:r>
    </w:p>
    <w:p>
      <w:pPr>
        <w:pStyle w:val="ManualHeading1"/>
        <w:jc w:val="center"/>
        <w:rPr>
          <w:noProof/>
        </w:rPr>
      </w:pPr>
      <w:r>
        <w:rPr>
          <w:noProof/>
        </w:rPr>
        <w:t>Annex</w:t>
      </w:r>
    </w:p>
    <w:p>
      <w:pPr>
        <w:pStyle w:val="ManualHeading1"/>
        <w:ind w:left="0" w:firstLine="0"/>
        <w:jc w:val="center"/>
        <w:rPr>
          <w:noProof/>
        </w:rPr>
      </w:pPr>
      <w:r>
        <w:rPr>
          <w:noProof/>
        </w:rPr>
        <w:t>List of taxonomic changes made to the marine and coastal species in Annex II to the protocol concerning specially protected areas and biological diversity in the Mediterranean</w:t>
      </w:r>
    </w:p>
    <w:p>
      <w:pPr>
        <w:rPr>
          <w:noProof/>
        </w:rPr>
      </w:pPr>
    </w:p>
    <w:p>
      <w:pPr>
        <w:rPr>
          <w:noProof/>
        </w:rPr>
      </w:pPr>
      <w:r>
        <w:rPr>
          <w:noProof/>
        </w:rPr>
        <w:t xml:space="preserve">The following taxonomic updates related to the denomination or classification of marine and coastal species are proposed to Annex II to the Protocol concerning specially protected areas and biological diversity in the Mediterranean ('the Protocol'): </w:t>
      </w:r>
    </w:p>
    <w:p>
      <w:pPr>
        <w:pStyle w:val="Point0number"/>
        <w:numPr>
          <w:ilvl w:val="0"/>
          <w:numId w:val="37"/>
        </w:numPr>
        <w:rPr>
          <w:noProof/>
        </w:rPr>
      </w:pPr>
      <w:r>
        <w:rPr>
          <w:noProof/>
        </w:rPr>
        <w:t>The following species have been linked to a different taxonomic group:</w:t>
      </w:r>
    </w:p>
    <w:p>
      <w:pPr>
        <w:pStyle w:val="Tiret0"/>
        <w:numPr>
          <w:ilvl w:val="0"/>
          <w:numId w:val="38"/>
        </w:numPr>
        <w:rPr>
          <w:noProof/>
        </w:rPr>
      </w:pPr>
      <w:r>
        <w:rPr>
          <w:noProof/>
        </w:rPr>
        <w:t>"</w:t>
      </w:r>
      <w:r>
        <w:rPr>
          <w:i/>
          <w:iCs/>
          <w:noProof/>
        </w:rPr>
        <w:t xml:space="preserve">Fucus virsoides </w:t>
      </w:r>
      <w:r>
        <w:rPr>
          <w:noProof/>
        </w:rPr>
        <w:t>J. Agardh" was moved from the phylum "Rhodophyta" to the phylum "Heterokontophyta"</w:t>
      </w:r>
    </w:p>
    <w:p>
      <w:pPr>
        <w:pStyle w:val="Tiret0"/>
        <w:rPr>
          <w:noProof/>
        </w:rPr>
      </w:pPr>
      <w:r>
        <w:rPr>
          <w:noProof/>
        </w:rPr>
        <w:t>"</w:t>
      </w:r>
      <w:r>
        <w:rPr>
          <w:i/>
          <w:iCs/>
          <w:noProof/>
        </w:rPr>
        <w:t xml:space="preserve">Kallymenia spathulata </w:t>
      </w:r>
      <w:r>
        <w:rPr>
          <w:noProof/>
        </w:rPr>
        <w:t>(J. Agardh) P.G. Parkinson" was moved from the phylum "Heterokontophyta" to the phylum "Rhodophyta"</w:t>
      </w:r>
    </w:p>
    <w:p>
      <w:pPr>
        <w:pStyle w:val="Point0number"/>
        <w:rPr>
          <w:noProof/>
        </w:rPr>
      </w:pPr>
      <w:r>
        <w:rPr>
          <w:noProof/>
        </w:rPr>
        <w:t>The following species have been deleted under the category "Aves":</w:t>
      </w:r>
    </w:p>
    <w:p>
      <w:pPr>
        <w:pStyle w:val="Tiret1"/>
        <w:numPr>
          <w:ilvl w:val="0"/>
          <w:numId w:val="39"/>
        </w:numPr>
        <w:rPr>
          <w:noProof/>
        </w:rPr>
      </w:pPr>
      <w:r>
        <w:rPr>
          <w:noProof/>
        </w:rPr>
        <w:t>"</w:t>
      </w:r>
      <w:r>
        <w:rPr>
          <w:i/>
          <w:noProof/>
        </w:rPr>
        <w:t>Hydrobates pelagicus</w:t>
      </w:r>
      <w:r>
        <w:rPr>
          <w:noProof/>
        </w:rPr>
        <w:t xml:space="preserve"> (Linnaeus, 1758)"</w:t>
      </w:r>
    </w:p>
    <w:p>
      <w:pPr>
        <w:pStyle w:val="Tiret1"/>
        <w:rPr>
          <w:noProof/>
        </w:rPr>
      </w:pPr>
      <w:r>
        <w:rPr>
          <w:noProof/>
        </w:rPr>
        <w:t>"</w:t>
      </w:r>
      <w:r>
        <w:rPr>
          <w:i/>
          <w:noProof/>
        </w:rPr>
        <w:t>Phalacrocorax aristotelis</w:t>
      </w:r>
      <w:r>
        <w:rPr>
          <w:noProof/>
        </w:rPr>
        <w:t xml:space="preserve"> (Linnaeus, 1761)"</w:t>
      </w:r>
    </w:p>
    <w:p>
      <w:pPr>
        <w:pStyle w:val="Tiret1"/>
        <w:rPr>
          <w:noProof/>
        </w:rPr>
      </w:pPr>
      <w:r>
        <w:rPr>
          <w:noProof/>
        </w:rPr>
        <w:t>"</w:t>
      </w:r>
      <w:r>
        <w:rPr>
          <w:i/>
          <w:noProof/>
        </w:rPr>
        <w:t>Phalacrocorax pygmeus</w:t>
      </w:r>
      <w:r>
        <w:rPr>
          <w:noProof/>
        </w:rPr>
        <w:t xml:space="preserve"> (Pallas, 1773)" </w:t>
      </w:r>
    </w:p>
    <w:p>
      <w:pPr>
        <w:pStyle w:val="Tiret1"/>
        <w:rPr>
          <w:noProof/>
        </w:rPr>
      </w:pPr>
      <w:r>
        <w:rPr>
          <w:noProof/>
        </w:rPr>
        <w:t>"</w:t>
      </w:r>
      <w:r>
        <w:rPr>
          <w:i/>
          <w:noProof/>
        </w:rPr>
        <w:t>Phoenicopterus ruber</w:t>
      </w:r>
      <w:r>
        <w:rPr>
          <w:noProof/>
        </w:rPr>
        <w:t xml:space="preserve"> (Linnaeus, 1758)"</w:t>
      </w:r>
    </w:p>
    <w:p>
      <w:pPr>
        <w:pStyle w:val="Tiret1"/>
        <w:rPr>
          <w:noProof/>
        </w:rPr>
      </w:pPr>
      <w:r>
        <w:rPr>
          <w:noProof/>
        </w:rPr>
        <w:t>"</w:t>
      </w:r>
      <w:r>
        <w:rPr>
          <w:i/>
          <w:noProof/>
        </w:rPr>
        <w:t>Sterna albifrons</w:t>
      </w:r>
      <w:r>
        <w:rPr>
          <w:noProof/>
        </w:rPr>
        <w:t xml:space="preserve"> (Pallas, 1764)"</w:t>
      </w:r>
    </w:p>
    <w:p>
      <w:pPr>
        <w:pStyle w:val="Tiret1"/>
        <w:rPr>
          <w:noProof/>
        </w:rPr>
      </w:pPr>
      <w:r>
        <w:rPr>
          <w:noProof/>
        </w:rPr>
        <w:t>"</w:t>
      </w:r>
      <w:r>
        <w:rPr>
          <w:i/>
          <w:noProof/>
        </w:rPr>
        <w:t>Sterna bengalensis</w:t>
      </w:r>
      <w:r>
        <w:rPr>
          <w:noProof/>
        </w:rPr>
        <w:t xml:space="preserve"> (Lesson, 1831)"</w:t>
      </w:r>
    </w:p>
    <w:p>
      <w:pPr>
        <w:pStyle w:val="Tiret1"/>
        <w:rPr>
          <w:noProof/>
        </w:rPr>
      </w:pPr>
      <w:r>
        <w:rPr>
          <w:noProof/>
        </w:rPr>
        <w:t>"</w:t>
      </w:r>
      <w:r>
        <w:rPr>
          <w:i/>
          <w:noProof/>
        </w:rPr>
        <w:t>Sterna caspia</w:t>
      </w:r>
      <w:r>
        <w:rPr>
          <w:noProof/>
        </w:rPr>
        <w:t xml:space="preserve"> (Pallas, 1770)" </w:t>
      </w:r>
    </w:p>
    <w:p>
      <w:pPr>
        <w:pStyle w:val="Tiret1"/>
        <w:rPr>
          <w:noProof/>
        </w:rPr>
      </w:pPr>
      <w:r>
        <w:rPr>
          <w:noProof/>
        </w:rPr>
        <w:t>"</w:t>
      </w:r>
      <w:r>
        <w:rPr>
          <w:i/>
          <w:noProof/>
        </w:rPr>
        <w:t>Sterna nilotica</w:t>
      </w:r>
      <w:r>
        <w:rPr>
          <w:noProof/>
        </w:rPr>
        <w:t xml:space="preserve"> (Gmelin, JF, 1789)" </w:t>
      </w:r>
    </w:p>
    <w:p>
      <w:pPr>
        <w:pStyle w:val="Tiret1"/>
        <w:rPr>
          <w:noProof/>
        </w:rPr>
      </w:pPr>
      <w:r>
        <w:rPr>
          <w:noProof/>
        </w:rPr>
        <w:t>"</w:t>
      </w:r>
      <w:r>
        <w:rPr>
          <w:i/>
          <w:noProof/>
        </w:rPr>
        <w:t>Sterna sandvicensis</w:t>
      </w:r>
      <w:r>
        <w:rPr>
          <w:noProof/>
        </w:rPr>
        <w:t xml:space="preserve"> (Latham, 1878)"</w:t>
      </w:r>
    </w:p>
    <w:p>
      <w:pPr>
        <w:pStyle w:val="Text1"/>
        <w:rPr>
          <w:noProof/>
        </w:rPr>
      </w:pPr>
      <w:r>
        <w:rPr>
          <w:noProof/>
        </w:rPr>
        <w:t xml:space="preserve">While the following species have been added under the same category: </w:t>
      </w:r>
    </w:p>
    <w:p>
      <w:pPr>
        <w:pStyle w:val="Tiret1"/>
        <w:rPr>
          <w:noProof/>
        </w:rPr>
      </w:pPr>
      <w:r>
        <w:rPr>
          <w:noProof/>
        </w:rPr>
        <w:t>"</w:t>
      </w:r>
      <w:r>
        <w:rPr>
          <w:i/>
          <w:noProof/>
        </w:rPr>
        <w:t>Hydrobates pelagicus ssp. melitensis</w:t>
      </w:r>
      <w:r>
        <w:rPr>
          <w:noProof/>
        </w:rPr>
        <w:t xml:space="preserve"> (Schembri, 1843)" </w:t>
      </w:r>
    </w:p>
    <w:p>
      <w:pPr>
        <w:pStyle w:val="Tiret1"/>
        <w:rPr>
          <w:noProof/>
          <w:lang w:val="pt-PT"/>
        </w:rPr>
      </w:pPr>
      <w:r>
        <w:rPr>
          <w:noProof/>
          <w:lang w:val="pt-PT"/>
        </w:rPr>
        <w:t>"</w:t>
      </w:r>
      <w:r>
        <w:rPr>
          <w:i/>
          <w:noProof/>
          <w:lang w:val="pt-PT"/>
        </w:rPr>
        <w:t>Phalacrocorax aristotelis ssp. desmarestii</w:t>
      </w:r>
      <w:r>
        <w:rPr>
          <w:noProof/>
          <w:lang w:val="pt-PT"/>
        </w:rPr>
        <w:t xml:space="preserve"> (Payraudeau, 1826)" </w:t>
      </w:r>
    </w:p>
    <w:p>
      <w:pPr>
        <w:pStyle w:val="Tiret1"/>
        <w:rPr>
          <w:noProof/>
        </w:rPr>
      </w:pPr>
      <w:r>
        <w:rPr>
          <w:noProof/>
        </w:rPr>
        <w:lastRenderedPageBreak/>
        <w:t>"</w:t>
      </w:r>
      <w:r>
        <w:rPr>
          <w:i/>
          <w:noProof/>
        </w:rPr>
        <w:t>Microcarbo pygmaeus</w:t>
      </w:r>
      <w:r>
        <w:rPr>
          <w:noProof/>
        </w:rPr>
        <w:t xml:space="preserve"> (Pallas, 1773)" </w:t>
      </w:r>
    </w:p>
    <w:p>
      <w:pPr>
        <w:pStyle w:val="Tiret1"/>
        <w:rPr>
          <w:noProof/>
        </w:rPr>
      </w:pPr>
      <w:r>
        <w:rPr>
          <w:noProof/>
        </w:rPr>
        <w:t>"</w:t>
      </w:r>
      <w:r>
        <w:rPr>
          <w:i/>
          <w:noProof/>
        </w:rPr>
        <w:t>Phoenicopterus roseus</w:t>
      </w:r>
      <w:r>
        <w:rPr>
          <w:noProof/>
        </w:rPr>
        <w:t xml:space="preserve"> (Pallas, 1811)" </w:t>
      </w:r>
    </w:p>
    <w:p>
      <w:pPr>
        <w:pStyle w:val="Tiret1"/>
        <w:rPr>
          <w:noProof/>
        </w:rPr>
      </w:pPr>
      <w:r>
        <w:rPr>
          <w:noProof/>
        </w:rPr>
        <w:t>"</w:t>
      </w:r>
      <w:r>
        <w:rPr>
          <w:i/>
          <w:noProof/>
        </w:rPr>
        <w:t>Sternula albifrons</w:t>
      </w:r>
      <w:r>
        <w:rPr>
          <w:noProof/>
        </w:rPr>
        <w:t xml:space="preserve"> (Pallas, 1764)" </w:t>
      </w:r>
    </w:p>
    <w:p>
      <w:pPr>
        <w:pStyle w:val="Tiret1"/>
        <w:rPr>
          <w:noProof/>
        </w:rPr>
      </w:pPr>
      <w:r>
        <w:rPr>
          <w:noProof/>
        </w:rPr>
        <w:t>"</w:t>
      </w:r>
      <w:r>
        <w:rPr>
          <w:i/>
          <w:noProof/>
        </w:rPr>
        <w:t>Thalasseus bengalensis</w:t>
      </w:r>
      <w:r>
        <w:rPr>
          <w:noProof/>
        </w:rPr>
        <w:t xml:space="preserve"> (Lesson, 1831)" </w:t>
      </w:r>
    </w:p>
    <w:p>
      <w:pPr>
        <w:pStyle w:val="Tiret1"/>
        <w:rPr>
          <w:noProof/>
        </w:rPr>
      </w:pPr>
      <w:r>
        <w:rPr>
          <w:noProof/>
        </w:rPr>
        <w:t>"</w:t>
      </w:r>
      <w:r>
        <w:rPr>
          <w:i/>
          <w:noProof/>
        </w:rPr>
        <w:t>Hydroprogne caspia</w:t>
      </w:r>
      <w:r>
        <w:rPr>
          <w:noProof/>
        </w:rPr>
        <w:t xml:space="preserve"> (Pallas, 1770)" </w:t>
      </w:r>
    </w:p>
    <w:p>
      <w:pPr>
        <w:pStyle w:val="Tiret1"/>
        <w:rPr>
          <w:noProof/>
        </w:rPr>
      </w:pPr>
      <w:r>
        <w:rPr>
          <w:noProof/>
        </w:rPr>
        <w:t>"</w:t>
      </w:r>
      <w:r>
        <w:rPr>
          <w:i/>
          <w:noProof/>
        </w:rPr>
        <w:t>Gelochelidon nilotica</w:t>
      </w:r>
      <w:r>
        <w:rPr>
          <w:noProof/>
        </w:rPr>
        <w:t xml:space="preserve"> (Gmelin, JF, 1789)" </w:t>
      </w:r>
    </w:p>
    <w:p>
      <w:pPr>
        <w:pStyle w:val="Tiret1"/>
        <w:rPr>
          <w:noProof/>
        </w:rPr>
      </w:pPr>
      <w:r>
        <w:rPr>
          <w:noProof/>
        </w:rPr>
        <w:t>"</w:t>
      </w:r>
      <w:r>
        <w:rPr>
          <w:i/>
          <w:noProof/>
        </w:rPr>
        <w:t>Thalasseus sandvicensis</w:t>
      </w:r>
      <w:r>
        <w:rPr>
          <w:noProof/>
        </w:rPr>
        <w:t xml:space="preserve"> (Latham, 1878)"</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2F212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21092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3D4E38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7B806A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88A149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F1EEC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616E8C2"/>
    <w:lvl w:ilvl="0">
      <w:start w:val="1"/>
      <w:numFmt w:val="decimal"/>
      <w:pStyle w:val="ListNumber"/>
      <w:lvlText w:val="%1."/>
      <w:lvlJc w:val="left"/>
      <w:pPr>
        <w:tabs>
          <w:tab w:val="num" w:pos="360"/>
        </w:tabs>
        <w:ind w:left="360" w:hanging="360"/>
      </w:pPr>
    </w:lvl>
  </w:abstractNum>
  <w:abstractNum w:abstractNumId="7">
    <w:nsid w:val="FFFFFF89"/>
    <w:multiLevelType w:val="singleLevel"/>
    <w:tmpl w:val="45CADF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num>
  <w:num w:numId="2">
    <w:abstractNumId w:val="12"/>
  </w:num>
  <w:num w:numId="3">
    <w:abstractNumId w:val="20"/>
  </w:num>
  <w:num w:numId="4">
    <w:abstractNumId w:val="11"/>
  </w:num>
  <w:num w:numId="5">
    <w:abstractNumId w:val="13"/>
  </w:num>
  <w:num w:numId="6">
    <w:abstractNumId w:val="9"/>
  </w:num>
  <w:num w:numId="7">
    <w:abstractNumId w:val="19"/>
  </w:num>
  <w:num w:numId="8">
    <w:abstractNumId w:val="8"/>
  </w:num>
  <w:num w:numId="9">
    <w:abstractNumId w:val="14"/>
  </w:num>
  <w:num w:numId="10">
    <w:abstractNumId w:val="16"/>
  </w:num>
  <w:num w:numId="11">
    <w:abstractNumId w:val="17"/>
  </w:num>
  <w:num w:numId="12">
    <w:abstractNumId w:val="10"/>
  </w:num>
  <w:num w:numId="13">
    <w:abstractNumId w:val="15"/>
  </w:num>
  <w:num w:numId="14">
    <w:abstractNumId w:val="2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8"/>
  </w:num>
  <w:num w:numId="18">
    <w:abstractNumId w:val="18"/>
  </w:num>
  <w:num w:numId="19">
    <w:abstractNumId w:val="7"/>
  </w:num>
  <w:num w:numId="20">
    <w:abstractNumId w:val="5"/>
  </w:num>
  <w:num w:numId="21">
    <w:abstractNumId w:val="4"/>
  </w:num>
  <w:num w:numId="22">
    <w:abstractNumId w:val="3"/>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num>
  <w:num w:numId="39">
    <w:abstractNumId w:val="12"/>
    <w:lvlOverride w:ilvl="0">
      <w:startOverride w:val="1"/>
    </w:lvlOverride>
  </w:num>
  <w:num w:numId="40">
    <w:abstractNumId w:val="6"/>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ttachedTemplate r:id="rId1"/>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0 10:15:5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05E5DFFB87694845BBEBCCF124F4EFE2"/>
    <w:docVar w:name="LW_CROSSREFERENCE" w:val="&lt;UNUSED&gt;"/>
    <w:docVar w:name="LW_DocType" w:val="ANNEX"/>
    <w:docVar w:name="LW_EMISSION" w:val="19.10.2017"/>
    <w:docVar w:name="LW_EMISSION_ISODATE" w:val="2017-10-19"/>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on the position to be adopted, on behalf of the Union, at the twentieth ordinary meeting of the Contracting Parties to the Convention for the protection of the marine environment and the coastal region of the Mediterranean, with regard to a proposal for amending Annex II to the Protocol concerning specially protected areas and biological diversity in the Mediterranean"/>
    <w:docVar w:name="LW_PART_NBR" w:val="&lt;UNUSED&gt;"/>
    <w:docVar w:name="LW_PART_NBR_TOTAL" w:val="&lt;UNUSED&gt;"/>
    <w:docVar w:name="LW_REF.INST.NEW" w:val="COM"/>
    <w:docVar w:name="LW_REF.INST.NEW_ADOPTED" w:val="final"/>
    <w:docVar w:name="LW_REF.INST.NEW_TEXT" w:val="(2017) 603"/>
    <w:docVar w:name="LW_REF.INTERNE" w:val="&lt;UNUSED&gt;"/>
    <w:docVar w:name="LW_SUPERTITRE" w:val="&lt;UNUSED&gt;"/>
    <w:docVar w:name="LW_TITRE.OBJ.CP" w:val="&lt;UNUSED&gt;"/>
    <w:docVar w:name="LW_TYPE.DOC.CP" w:val="ANNEX"/>
    <w:docVar w:name="LW_TYPEACTEPRINCIPAL.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9"/>
      </w:numPr>
      <w:contextualSpacing/>
    </w:pPr>
  </w:style>
  <w:style w:type="paragraph" w:styleId="ListBullet2">
    <w:name w:val="List Bullet 2"/>
    <w:basedOn w:val="Normal"/>
    <w:uiPriority w:val="99"/>
    <w:semiHidden/>
    <w:unhideWhenUsed/>
    <w:pPr>
      <w:numPr>
        <w:numId w:val="20"/>
      </w:numPr>
      <w:contextualSpacing/>
    </w:pPr>
  </w:style>
  <w:style w:type="paragraph" w:styleId="ListBullet3">
    <w:name w:val="List Bullet 3"/>
    <w:basedOn w:val="Normal"/>
    <w:uiPriority w:val="99"/>
    <w:semiHidden/>
    <w:unhideWhenUsed/>
    <w:pPr>
      <w:numPr>
        <w:numId w:val="21"/>
      </w:numPr>
      <w:contextualSpacing/>
    </w:pPr>
  </w:style>
  <w:style w:type="paragraph" w:styleId="ListBullet4">
    <w:name w:val="List Bullet 4"/>
    <w:basedOn w:val="Normal"/>
    <w:uiPriority w:val="99"/>
    <w:semiHidden/>
    <w:unhideWhenUsed/>
    <w:pPr>
      <w:numPr>
        <w:numId w:val="22"/>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40"/>
      </w:numPr>
      <w:contextualSpacing/>
    </w:pPr>
  </w:style>
  <w:style w:type="paragraph" w:styleId="ListNumber2">
    <w:name w:val="List Number 2"/>
    <w:basedOn w:val="Normal"/>
    <w:uiPriority w:val="99"/>
    <w:semiHidden/>
    <w:unhideWhenUsed/>
    <w:pPr>
      <w:numPr>
        <w:numId w:val="41"/>
      </w:numPr>
      <w:contextualSpacing/>
    </w:pPr>
  </w:style>
  <w:style w:type="paragraph" w:styleId="ListNumber3">
    <w:name w:val="List Number 3"/>
    <w:basedOn w:val="Normal"/>
    <w:uiPriority w:val="99"/>
    <w:semiHidden/>
    <w:unhideWhenUsed/>
    <w:pPr>
      <w:numPr>
        <w:numId w:val="42"/>
      </w:numPr>
      <w:contextualSpacing/>
    </w:pPr>
  </w:style>
  <w:style w:type="paragraph" w:styleId="ListNumber4">
    <w:name w:val="List Number 4"/>
    <w:basedOn w:val="Normal"/>
    <w:uiPriority w:val="99"/>
    <w:semiHidden/>
    <w:unhideWhenUsed/>
    <w:pPr>
      <w:numPr>
        <w:numId w:val="4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9"/>
      </w:numPr>
      <w:contextualSpacing/>
    </w:pPr>
  </w:style>
  <w:style w:type="paragraph" w:styleId="ListBullet2">
    <w:name w:val="List Bullet 2"/>
    <w:basedOn w:val="Normal"/>
    <w:uiPriority w:val="99"/>
    <w:semiHidden/>
    <w:unhideWhenUsed/>
    <w:pPr>
      <w:numPr>
        <w:numId w:val="20"/>
      </w:numPr>
      <w:contextualSpacing/>
    </w:pPr>
  </w:style>
  <w:style w:type="paragraph" w:styleId="ListBullet3">
    <w:name w:val="List Bullet 3"/>
    <w:basedOn w:val="Normal"/>
    <w:uiPriority w:val="99"/>
    <w:semiHidden/>
    <w:unhideWhenUsed/>
    <w:pPr>
      <w:numPr>
        <w:numId w:val="21"/>
      </w:numPr>
      <w:contextualSpacing/>
    </w:pPr>
  </w:style>
  <w:style w:type="paragraph" w:styleId="ListBullet4">
    <w:name w:val="List Bullet 4"/>
    <w:basedOn w:val="Normal"/>
    <w:uiPriority w:val="99"/>
    <w:semiHidden/>
    <w:unhideWhenUsed/>
    <w:pPr>
      <w:numPr>
        <w:numId w:val="22"/>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40"/>
      </w:numPr>
      <w:contextualSpacing/>
    </w:pPr>
  </w:style>
  <w:style w:type="paragraph" w:styleId="ListNumber2">
    <w:name w:val="List Number 2"/>
    <w:basedOn w:val="Normal"/>
    <w:uiPriority w:val="99"/>
    <w:semiHidden/>
    <w:unhideWhenUsed/>
    <w:pPr>
      <w:numPr>
        <w:numId w:val="41"/>
      </w:numPr>
      <w:contextualSpacing/>
    </w:pPr>
  </w:style>
  <w:style w:type="paragraph" w:styleId="ListNumber3">
    <w:name w:val="List Number 3"/>
    <w:basedOn w:val="Normal"/>
    <w:uiPriority w:val="99"/>
    <w:semiHidden/>
    <w:unhideWhenUsed/>
    <w:pPr>
      <w:numPr>
        <w:numId w:val="42"/>
      </w:numPr>
      <w:contextualSpacing/>
    </w:pPr>
  </w:style>
  <w:style w:type="paragraph" w:styleId="ListNumber4">
    <w:name w:val="List Number 4"/>
    <w:basedOn w:val="Normal"/>
    <w:uiPriority w:val="99"/>
    <w:semiHidden/>
    <w:unhideWhenUsed/>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498B5-4082-4AFA-A0DE-C3F1D20C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3</Pages>
  <Words>267</Words>
  <Characters>1744</Characters>
  <Application>Microsoft Office Word</Application>
  <DocSecurity>0</DocSecurity>
  <Lines>43</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 Clementine (ENV)</dc:creator>
  <cp:lastModifiedBy>DIGIT/A3</cp:lastModifiedBy>
  <cp:revision>7</cp:revision>
  <dcterms:created xsi:type="dcterms:W3CDTF">2017-09-13T16:36:00Z</dcterms:created>
  <dcterms:modified xsi:type="dcterms:W3CDTF">2017-10-10T08:15:00Z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