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58F03A55994E0C8169F6093C82254E" style="width:450.7pt;height:39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Subject-matter of the proposal</w:t>
      </w:r>
    </w:p>
    <w:p>
      <w:pPr>
        <w:rPr>
          <w:rFonts w:eastAsia="Arial Unicode MS"/>
          <w:noProof/>
        </w:rPr>
      </w:pPr>
      <w:r>
        <w:rPr>
          <w:rFonts w:eastAsia="Arial Unicode MS"/>
          <w:noProof/>
        </w:rPr>
        <w:t xml:space="preserve">The present proposal concerns the decision establishing the position to be adopted on behalf of the Union at the </w:t>
      </w:r>
      <w:r>
        <w:rPr>
          <w:noProof/>
        </w:rPr>
        <w:t xml:space="preserve">Twentieth Ordinary Meeting of the Contracting Parties to the Barcelona Convention </w:t>
      </w:r>
      <w:r>
        <w:rPr>
          <w:rFonts w:eastAsia="Arial Unicode MS"/>
          <w:noProof/>
        </w:rPr>
        <w:t>concerning the amendments to Annex II to the Protocol concerning Specially Protected Areas and Biological Diversity in the Mediterranean.</w:t>
      </w:r>
    </w:p>
    <w:p>
      <w:pPr>
        <w:pStyle w:val="ManualHeading1"/>
        <w:rPr>
          <w:noProof/>
        </w:rPr>
      </w:pPr>
      <w:r>
        <w:t>2.</w:t>
      </w:r>
      <w:r>
        <w:tab/>
      </w:r>
      <w:r>
        <w:rPr>
          <w:noProof/>
        </w:rPr>
        <w:t>Context of the proposal</w:t>
      </w:r>
    </w:p>
    <w:p>
      <w:pPr>
        <w:pStyle w:val="ManualHeading2"/>
        <w:rPr>
          <w:noProof/>
        </w:rPr>
      </w:pPr>
      <w:r>
        <w:t>2.1.</w:t>
      </w:r>
      <w:r>
        <w:tab/>
      </w:r>
      <w:r>
        <w:rPr>
          <w:noProof/>
        </w:rPr>
        <w:t>The Barcelona Convention and Protocols</w:t>
      </w:r>
    </w:p>
    <w:p>
      <w:pPr>
        <w:rPr>
          <w:rFonts w:eastAsia="Arial Unicode MS"/>
          <w:noProof/>
        </w:rPr>
      </w:pPr>
      <w:r>
        <w:rPr>
          <w:rFonts w:eastAsia="Arial Unicode MS"/>
          <w:noProof/>
        </w:rPr>
        <w:t xml:space="preserve">The Barcelona Convention for the protection of the marine environment and the coastal region of the Mediterranean (‘the Barcelona Convention') aims to ensure the sustainable management of natural marine and land resources and to protect the marine environment and coastal zones, through prevention, reduction and elimination of pollution. The Barcelona Convention entered into force on 9 July 2004. </w:t>
      </w:r>
    </w:p>
    <w:p>
      <w:pPr>
        <w:rPr>
          <w:rFonts w:eastAsia="Arial Unicode MS"/>
          <w:noProof/>
        </w:rPr>
      </w:pPr>
      <w:r>
        <w:rPr>
          <w:noProof/>
        </w:rPr>
        <w:t xml:space="preserve">Seven Protocols addressing specific aspects of Mediterranean environmental conservation complete the </w:t>
      </w:r>
      <w:r>
        <w:rPr>
          <w:rFonts w:eastAsia="Arial Unicode MS"/>
          <w:noProof/>
        </w:rPr>
        <w:t>Barcelona Convention</w:t>
      </w:r>
      <w:r>
        <w:rPr>
          <w:noProof/>
        </w:rPr>
        <w:t xml:space="preserve">, including the Protocol concerning Specially Protected Areas and Biological Diversity in the Mediterranean (adopted in 1995, replacing the related protocol of 1982) and its Annexes. </w:t>
      </w:r>
    </w:p>
    <w:p>
      <w:pPr>
        <w:rPr>
          <w:noProof/>
        </w:rPr>
      </w:pPr>
      <w:r>
        <w:rPr>
          <w:rFonts w:eastAsia="Arial Unicode MS"/>
          <w:noProof/>
        </w:rPr>
        <w:t>The European Union is a Party to the Barcelona Convention</w:t>
      </w:r>
      <w:r>
        <w:rPr>
          <w:rStyle w:val="FootnoteReference"/>
          <w:noProof/>
        </w:rPr>
        <w:footnoteReference w:id="1"/>
      </w:r>
      <w:r>
        <w:rPr>
          <w:rFonts w:eastAsia="Arial Unicode MS"/>
          <w:noProof/>
        </w:rPr>
        <w:t xml:space="preserve"> and its Protocols</w:t>
      </w:r>
      <w:r>
        <w:rPr>
          <w:rStyle w:val="FootnoteReference"/>
          <w:noProof/>
        </w:rPr>
        <w:footnoteReference w:id="2"/>
      </w:r>
      <w:r>
        <w:rPr>
          <w:rFonts w:eastAsia="Arial Unicode MS"/>
          <w:noProof/>
        </w:rPr>
        <w:t xml:space="preserve">. </w:t>
      </w:r>
      <w:r>
        <w:rPr>
          <w:noProof/>
        </w:rPr>
        <w:t>Italy, Greece, Spain, France, Slovenia, Malta, Cyprus and Croatia are also parties to the Barcelona Convention and its Protocols, together with 13 non-EU Mediterranean countries.</w:t>
      </w:r>
    </w:p>
    <w:p>
      <w:pPr>
        <w:pStyle w:val="ManualHeading2"/>
        <w:rPr>
          <w:noProof/>
        </w:rPr>
      </w:pPr>
      <w:r>
        <w:t>2.2.</w:t>
      </w:r>
      <w:r>
        <w:tab/>
      </w:r>
      <w:r>
        <w:rPr>
          <w:noProof/>
        </w:rPr>
        <w:t xml:space="preserve">The Twentieth Ordinary Meeting of the Contracting Parties </w:t>
      </w:r>
    </w:p>
    <w:p>
      <w:pPr>
        <w:rPr>
          <w:noProof/>
        </w:rPr>
      </w:pPr>
      <w:r>
        <w:rPr>
          <w:noProof/>
        </w:rPr>
        <w:t xml:space="preserve">The Twentieth Ordinary Meeting of the Contracting Parties of the Barcelona Convention will take place from 17 to 20 December 2017 in Tirana, Albania. </w:t>
      </w:r>
    </w:p>
    <w:p>
      <w:pPr>
        <w:rPr>
          <w:noProof/>
        </w:rPr>
      </w:pPr>
      <w:r>
        <w:rPr>
          <w:noProof/>
        </w:rPr>
        <w:t>The Meeting of the Parties will be asked to decide, inter alia, on an act having legal effects, namely a proposal to amend Annex II (List of Endangered and Threatened Species) to the Protocol concerning Specially Protected Areas and Biological Diversity in the Mediterranean ("the Protocol").</w:t>
      </w:r>
    </w:p>
    <w:p>
      <w:pPr>
        <w:rPr>
          <w:noProof/>
        </w:rPr>
      </w:pPr>
      <w:r>
        <w:rPr>
          <w:noProof/>
        </w:rPr>
        <w:t>The procedure described in Article 23 of the Barcelona Convention applies to the adoption of any amendment to the Annexes to a protocol. Such amendments shall be adopted by a three-fourths majority vote of the Contracting Parties to the Protocol. In accordance with Article 25 of the Barcelona Convention, "</w:t>
      </w:r>
      <w:r>
        <w:rPr>
          <w:i/>
          <w:noProof/>
        </w:rPr>
        <w:t>the European Economic Community […] shall exercise their right to vote with a number of votes equal to the number of their member States which are Contracting Parties to this Convention and to one or more protocols; the European Economic Community […] shall not exercise their right to vote in cases where the member States concerned exercise theirs, and conversely</w:t>
      </w:r>
      <w:r>
        <w:rPr>
          <w:noProof/>
        </w:rPr>
        <w:t xml:space="preserve">". </w:t>
      </w:r>
    </w:p>
    <w:p>
      <w:pPr>
        <w:pStyle w:val="ManualHeading2"/>
        <w:rPr>
          <w:noProof/>
        </w:rPr>
      </w:pPr>
      <w:r>
        <w:t>2.3.</w:t>
      </w:r>
      <w:r>
        <w:tab/>
      </w:r>
      <w:r>
        <w:rPr>
          <w:noProof/>
        </w:rPr>
        <w:t>The envisaged amendments to Annex II to the Protocol</w:t>
      </w:r>
    </w:p>
    <w:p>
      <w:pPr>
        <w:rPr>
          <w:rFonts w:eastAsia="Arial Unicode MS"/>
          <w:noProof/>
        </w:rPr>
      </w:pPr>
      <w:r>
        <w:rPr>
          <w:rFonts w:eastAsia="Arial Unicode MS"/>
          <w:noProof/>
        </w:rPr>
        <w:t xml:space="preserve">During the </w:t>
      </w:r>
      <w:r>
        <w:rPr>
          <w:noProof/>
        </w:rPr>
        <w:t xml:space="preserve">Twentieth Ordinary Meeting of the Contracting Parties of the Barcelona Convention, between 17-20 December 2017, </w:t>
      </w:r>
      <w:r>
        <w:rPr>
          <w:rFonts w:eastAsia="Arial Unicode MS"/>
          <w:noProof/>
        </w:rPr>
        <w:t xml:space="preserve">the Parties are to adopt </w:t>
      </w:r>
      <w:r>
        <w:rPr>
          <w:noProof/>
        </w:rPr>
        <w:t xml:space="preserve">amendments to Annex II to Protocol </w:t>
      </w:r>
      <w:r>
        <w:rPr>
          <w:rFonts w:eastAsia="Arial Unicode MS"/>
          <w:noProof/>
        </w:rPr>
        <w:t>(‘the envisaged act’).</w:t>
      </w:r>
    </w:p>
    <w:p>
      <w:pPr>
        <w:rPr>
          <w:rFonts w:eastAsia="Arial Unicode MS"/>
          <w:noProof/>
        </w:rPr>
      </w:pPr>
      <w:r>
        <w:rPr>
          <w:rFonts w:eastAsia="Arial Unicode MS"/>
          <w:noProof/>
        </w:rPr>
        <w:t>The purposes of the envisaged act are to:</w:t>
      </w:r>
    </w:p>
    <w:p>
      <w:pPr>
        <w:pStyle w:val="Default"/>
        <w:rPr>
          <w:noProof/>
        </w:rPr>
      </w:pPr>
      <w:r>
        <w:rPr>
          <w:rFonts w:eastAsia="Arial Unicode MS"/>
          <w:noProof/>
        </w:rPr>
        <w:t xml:space="preserve">- add to the list of species of Annex II to the </w:t>
      </w:r>
      <w:r>
        <w:rPr>
          <w:noProof/>
        </w:rPr>
        <w:t xml:space="preserve">Protocol, four new species of </w:t>
      </w:r>
      <w:r>
        <w:rPr>
          <w:i/>
          <w:noProof/>
        </w:rPr>
        <w:t>Anthozoa</w:t>
      </w:r>
      <w:r>
        <w:rPr>
          <w:noProof/>
        </w:rPr>
        <w:t xml:space="preserve"> (a class of marine invertebrates including corals), namely </w:t>
      </w:r>
      <w:r>
        <w:rPr>
          <w:i/>
          <w:iCs/>
          <w:noProof/>
        </w:rPr>
        <w:t>Isidella elongata</w:t>
      </w:r>
      <w:r>
        <w:rPr>
          <w:noProof/>
        </w:rPr>
        <w:t xml:space="preserve">, </w:t>
      </w:r>
      <w:r>
        <w:rPr>
          <w:i/>
          <w:iCs/>
          <w:noProof/>
        </w:rPr>
        <w:t>Dendrophyllia cornigera</w:t>
      </w:r>
      <w:r>
        <w:rPr>
          <w:noProof/>
        </w:rPr>
        <w:t xml:space="preserve">, </w:t>
      </w:r>
      <w:r>
        <w:rPr>
          <w:i/>
          <w:iCs/>
          <w:noProof/>
        </w:rPr>
        <w:t xml:space="preserve">Dendrophyllia ramea </w:t>
      </w:r>
      <w:r>
        <w:rPr>
          <w:noProof/>
        </w:rPr>
        <w:t xml:space="preserve">and </w:t>
      </w:r>
      <w:r>
        <w:rPr>
          <w:i/>
          <w:iCs/>
          <w:noProof/>
        </w:rPr>
        <w:t>Desmophyllum dianthus</w:t>
      </w:r>
      <w:r>
        <w:rPr>
          <w:noProof/>
        </w:rPr>
        <w:t xml:space="preserve">, </w:t>
      </w:r>
    </w:p>
    <w:p>
      <w:pPr>
        <w:rPr>
          <w:rFonts w:eastAsia="Arial Unicode MS"/>
          <w:noProof/>
        </w:rPr>
      </w:pPr>
      <w:r>
        <w:rPr>
          <w:rFonts w:eastAsia="Arial Unicode MS"/>
          <w:noProof/>
        </w:rPr>
        <w:t xml:space="preserve">- update the denomination of a number of marine and coastal bird species, in view of the taxonomic changes that occurred since the last amendments of the Annexes to the Protocol. </w:t>
      </w:r>
    </w:p>
    <w:p>
      <w:pPr>
        <w:rPr>
          <w:rFonts w:eastAsia="Arial Unicode MS"/>
          <w:noProof/>
        </w:rPr>
      </w:pPr>
      <w:r>
        <w:rPr>
          <w:rFonts w:eastAsia="Arial Unicode MS"/>
          <w:noProof/>
        </w:rPr>
        <w:t xml:space="preserve">The envisaged act shall become binding on the parties in accordance with Article 29 of the </w:t>
      </w:r>
      <w:r>
        <w:rPr>
          <w:noProof/>
        </w:rPr>
        <w:t>Barcelona Convention</w:t>
      </w:r>
      <w:r>
        <w:rPr>
          <w:rFonts w:eastAsia="Arial Unicode MS"/>
          <w:noProof/>
        </w:rPr>
        <w:t>, which provides that "</w:t>
      </w:r>
      <w:r>
        <w:rPr>
          <w:rFonts w:eastAsia="Arial Unicode MS"/>
          <w:i/>
          <w:noProof/>
        </w:rPr>
        <w:t>[a]ny protocol to this Convention shall be binding […] on the Contracting Parties to the protocol in question</w:t>
      </w:r>
      <w:r>
        <w:rPr>
          <w:rFonts w:eastAsia="Arial Unicode MS"/>
          <w:noProof/>
        </w:rPr>
        <w:t>" and Article 23, which provides that "</w:t>
      </w:r>
      <w:r>
        <w:rPr>
          <w:rFonts w:eastAsia="Arial Unicode MS"/>
          <w:i/>
          <w:noProof/>
        </w:rPr>
        <w:t>Annexes to this Convention or to any protocol shall form an integral part of the Convention or such protocol, as the case may be</w:t>
      </w:r>
      <w:r>
        <w:rPr>
          <w:rFonts w:eastAsia="Arial Unicode MS"/>
          <w:noProof/>
        </w:rPr>
        <w:t>".</w:t>
      </w:r>
    </w:p>
    <w:p>
      <w:pPr>
        <w:pStyle w:val="ManualHeading1"/>
        <w:rPr>
          <w:noProof/>
        </w:rPr>
      </w:pPr>
      <w:r>
        <w:t>3.</w:t>
      </w:r>
      <w:r>
        <w:tab/>
      </w:r>
      <w:r>
        <w:rPr>
          <w:noProof/>
        </w:rPr>
        <w:t>Position to be adopted on behalf of the Union</w:t>
      </w:r>
    </w:p>
    <w:p>
      <w:pPr>
        <w:rPr>
          <w:noProof/>
        </w:rPr>
      </w:pPr>
      <w:r>
        <w:rPr>
          <w:noProof/>
        </w:rPr>
        <w:t xml:space="preserve">The Protocol establishes a List of Endangered or Threatened Species and a List of Species whose Exploitation is Regulated (Article 12). These two lists respectively constitute Annexes II and III to the Protocol. Contracting Parties have the obligation to adopt concerted measures to ensure the protection and the conservation of animal and plant species appearing in these annexes. </w:t>
      </w:r>
    </w:p>
    <w:p>
      <w:pPr>
        <w:rPr>
          <w:rFonts w:eastAsia="Arial Unicode MS"/>
          <w:noProof/>
        </w:rPr>
      </w:pPr>
      <w:r>
        <w:rPr>
          <w:noProof/>
        </w:rPr>
        <w:t xml:space="preserve">The envisaged act first proposes to </w:t>
      </w:r>
      <w:r>
        <w:rPr>
          <w:rFonts w:eastAsia="Arial Unicode MS"/>
          <w:noProof/>
        </w:rPr>
        <w:t xml:space="preserve">update the denomination of a number of marine and coastal bird species, in view of the taxonomic changes that occurred since the last amendments of the Annexes to the Protocol. These do not constitute substantial or material amendments but merely give up-to-date names to species already on the list. </w:t>
      </w:r>
    </w:p>
    <w:p>
      <w:pPr>
        <w:rPr>
          <w:noProof/>
        </w:rPr>
      </w:pPr>
      <w:r>
        <w:rPr>
          <w:rFonts w:eastAsia="Arial Unicode MS"/>
          <w:noProof/>
        </w:rPr>
        <w:t xml:space="preserve">Secondly, the envisaged act proposes to add to the list of species of Annex II to the </w:t>
      </w:r>
      <w:r>
        <w:rPr>
          <w:noProof/>
        </w:rPr>
        <w:t xml:space="preserve">Protocol, four </w:t>
      </w:r>
      <w:r>
        <w:rPr>
          <w:noProof/>
          <w:szCs w:val="24"/>
        </w:rPr>
        <w:t xml:space="preserve">new </w:t>
      </w:r>
      <w:r>
        <w:rPr>
          <w:i/>
          <w:noProof/>
          <w:szCs w:val="24"/>
        </w:rPr>
        <w:t>Anthozoa</w:t>
      </w:r>
      <w:r>
        <w:rPr>
          <w:noProof/>
          <w:szCs w:val="24"/>
        </w:rPr>
        <w:t xml:space="preserve"> species (</w:t>
      </w:r>
      <w:r>
        <w:rPr>
          <w:i/>
          <w:iCs/>
          <w:noProof/>
          <w:szCs w:val="24"/>
        </w:rPr>
        <w:t>Isidella elongata</w:t>
      </w:r>
      <w:r>
        <w:rPr>
          <w:noProof/>
          <w:szCs w:val="24"/>
        </w:rPr>
        <w:t xml:space="preserve">, </w:t>
      </w:r>
      <w:r>
        <w:rPr>
          <w:i/>
          <w:iCs/>
          <w:noProof/>
          <w:szCs w:val="24"/>
        </w:rPr>
        <w:t>Dendrophyllia cornigera</w:t>
      </w:r>
      <w:r>
        <w:rPr>
          <w:noProof/>
          <w:szCs w:val="24"/>
        </w:rPr>
        <w:t xml:space="preserve">, </w:t>
      </w:r>
      <w:r>
        <w:rPr>
          <w:i/>
          <w:iCs/>
          <w:noProof/>
          <w:szCs w:val="24"/>
        </w:rPr>
        <w:t xml:space="preserve">Dendrophyllia ramea </w:t>
      </w:r>
      <w:r>
        <w:rPr>
          <w:noProof/>
          <w:szCs w:val="24"/>
        </w:rPr>
        <w:t xml:space="preserve">and </w:t>
      </w:r>
      <w:r>
        <w:rPr>
          <w:i/>
          <w:iCs/>
          <w:noProof/>
          <w:szCs w:val="24"/>
        </w:rPr>
        <w:t>Desmophyllum dianthus</w:t>
      </w:r>
      <w:r>
        <w:rPr>
          <w:noProof/>
        </w:rPr>
        <w:t>).</w:t>
      </w:r>
    </w:p>
    <w:p>
      <w:pPr>
        <w:rPr>
          <w:noProof/>
        </w:rPr>
      </w:pPr>
      <w:r>
        <w:rPr>
          <w:noProof/>
        </w:rPr>
        <w:t>This second proposal was discussed in the relevant technical body under the Convention, at the 13</w:t>
      </w:r>
      <w:r>
        <w:rPr>
          <w:noProof/>
          <w:vertAlign w:val="superscript"/>
        </w:rPr>
        <w:t>th</w:t>
      </w:r>
      <w:r>
        <w:rPr>
          <w:noProof/>
        </w:rPr>
        <w:t xml:space="preserve"> meeting of the focal points for the Protocol, where the EU was represented. </w:t>
      </w:r>
    </w:p>
    <w:p>
      <w:pPr>
        <w:rPr>
          <w:rFonts w:eastAsia="Arial Unicode MS"/>
          <w:noProof/>
          <w:szCs w:val="24"/>
        </w:rPr>
      </w:pPr>
      <w:r>
        <w:rPr>
          <w:noProof/>
          <w:szCs w:val="24"/>
        </w:rPr>
        <w:t xml:space="preserve">The four coral </w:t>
      </w:r>
      <w:r>
        <w:rPr>
          <w:noProof/>
          <w:szCs w:val="24"/>
          <w:lang w:val="en"/>
        </w:rPr>
        <w:t>species</w:t>
      </w:r>
      <w:r>
        <w:rPr>
          <w:noProof/>
          <w:szCs w:val="24"/>
        </w:rPr>
        <w:t xml:space="preserve"> concerned are present in the habitat type of Community interest "Reefs" whose conservation requires the designation of special areas of conservation</w:t>
      </w:r>
      <w:r>
        <w:rPr>
          <w:rStyle w:val="FootnoteReference"/>
          <w:noProof/>
          <w:szCs w:val="24"/>
        </w:rPr>
        <w:footnoteReference w:id="3"/>
      </w:r>
      <w:r>
        <w:rPr>
          <w:noProof/>
          <w:szCs w:val="24"/>
        </w:rPr>
        <w:t xml:space="preserve"> under Annex I to the Habitats Directive</w:t>
      </w:r>
      <w:r>
        <w:rPr>
          <w:rStyle w:val="FootnoteReference"/>
          <w:noProof/>
          <w:szCs w:val="24"/>
        </w:rPr>
        <w:footnoteReference w:id="4"/>
      </w:r>
      <w:r>
        <w:rPr>
          <w:noProof/>
          <w:szCs w:val="24"/>
        </w:rPr>
        <w:t>. In particular, the Interpretation Manual of European Union Habitats</w:t>
      </w:r>
      <w:r>
        <w:rPr>
          <w:rStyle w:val="FootnoteReference"/>
          <w:noProof/>
          <w:szCs w:val="24"/>
        </w:rPr>
        <w:footnoteReference w:id="5"/>
      </w:r>
      <w:r>
        <w:rPr>
          <w:noProof/>
          <w:szCs w:val="24"/>
        </w:rPr>
        <w:t xml:space="preserve"> includes as Mediterranean reef forming species the </w:t>
      </w:r>
      <w:r>
        <w:rPr>
          <w:i/>
          <w:iCs/>
          <w:noProof/>
          <w:szCs w:val="24"/>
        </w:rPr>
        <w:t xml:space="preserve">Dendrophyllia ramea </w:t>
      </w:r>
      <w:r>
        <w:rPr>
          <w:noProof/>
          <w:szCs w:val="24"/>
        </w:rPr>
        <w:t xml:space="preserve">community, </w:t>
      </w:r>
      <w:r>
        <w:rPr>
          <w:i/>
          <w:iCs/>
          <w:noProof/>
          <w:szCs w:val="24"/>
        </w:rPr>
        <w:t xml:space="preserve">Dendrophyllia cornigera </w:t>
      </w:r>
      <w:r>
        <w:rPr>
          <w:noProof/>
          <w:szCs w:val="24"/>
        </w:rPr>
        <w:t xml:space="preserve">community, facies of </w:t>
      </w:r>
      <w:r>
        <w:rPr>
          <w:i/>
          <w:iCs/>
          <w:noProof/>
          <w:szCs w:val="24"/>
        </w:rPr>
        <w:t>Isidella elongata</w:t>
      </w:r>
      <w:r>
        <w:rPr>
          <w:iCs/>
          <w:noProof/>
          <w:szCs w:val="24"/>
        </w:rPr>
        <w:t>, and</w:t>
      </w:r>
      <w:r>
        <w:rPr>
          <w:i/>
          <w:iCs/>
          <w:noProof/>
          <w:szCs w:val="24"/>
        </w:rPr>
        <w:t xml:space="preserve"> </w:t>
      </w:r>
      <w:r>
        <w:rPr>
          <w:noProof/>
          <w:szCs w:val="24"/>
        </w:rPr>
        <w:t xml:space="preserve">white corals communities such as those of </w:t>
      </w:r>
      <w:r>
        <w:rPr>
          <w:i/>
          <w:iCs/>
          <w:noProof/>
          <w:szCs w:val="24"/>
        </w:rPr>
        <w:t xml:space="preserve">Lophelia pertusa </w:t>
      </w:r>
      <w:r>
        <w:rPr>
          <w:noProof/>
          <w:szCs w:val="24"/>
        </w:rPr>
        <w:t xml:space="preserve">and </w:t>
      </w:r>
      <w:r>
        <w:rPr>
          <w:i/>
          <w:iCs/>
          <w:noProof/>
          <w:szCs w:val="24"/>
        </w:rPr>
        <w:t>Madrepora oculata</w:t>
      </w:r>
      <w:r>
        <w:rPr>
          <w:noProof/>
          <w:szCs w:val="24"/>
        </w:rPr>
        <w:t xml:space="preserve"> (to which the species </w:t>
      </w:r>
      <w:r>
        <w:rPr>
          <w:i/>
          <w:noProof/>
          <w:szCs w:val="24"/>
        </w:rPr>
        <w:t>Desmophyllum dianthus</w:t>
      </w:r>
      <w:r>
        <w:rPr>
          <w:noProof/>
          <w:szCs w:val="24"/>
        </w:rPr>
        <w:t xml:space="preserve"> is known to be associated). The four species are recognised as threatened in the Mediterranean Red List of Threatened Species</w:t>
      </w:r>
      <w:r>
        <w:rPr>
          <w:rStyle w:val="FootnoteReference"/>
          <w:noProof/>
          <w:szCs w:val="24"/>
        </w:rPr>
        <w:footnoteReference w:id="6"/>
      </w:r>
      <w:r>
        <w:rPr>
          <w:noProof/>
          <w:szCs w:val="24"/>
        </w:rPr>
        <w:t xml:space="preserve"> (</w:t>
      </w:r>
      <w:r>
        <w:rPr>
          <w:i/>
          <w:noProof/>
          <w:szCs w:val="24"/>
        </w:rPr>
        <w:t>Dendrophyllia ramea</w:t>
      </w:r>
      <w:r>
        <w:rPr>
          <w:noProof/>
          <w:szCs w:val="24"/>
        </w:rPr>
        <w:t xml:space="preserve"> is presently classified as vulnerable; </w:t>
      </w:r>
      <w:r>
        <w:rPr>
          <w:i/>
          <w:noProof/>
          <w:szCs w:val="24"/>
        </w:rPr>
        <w:t xml:space="preserve">Dendrophyllia cornigera </w:t>
      </w:r>
      <w:r>
        <w:rPr>
          <w:noProof/>
          <w:szCs w:val="24"/>
        </w:rPr>
        <w:t>and</w:t>
      </w:r>
      <w:r>
        <w:rPr>
          <w:i/>
          <w:noProof/>
          <w:szCs w:val="24"/>
        </w:rPr>
        <w:t xml:space="preserve"> Desmophyllum dianthus</w:t>
      </w:r>
      <w:r>
        <w:rPr>
          <w:noProof/>
          <w:szCs w:val="24"/>
        </w:rPr>
        <w:t xml:space="preserve"> are endangered; and </w:t>
      </w:r>
      <w:r>
        <w:rPr>
          <w:i/>
          <w:iCs/>
          <w:noProof/>
          <w:szCs w:val="24"/>
        </w:rPr>
        <w:t xml:space="preserve">Isidella elongate </w:t>
      </w:r>
      <w:r>
        <w:rPr>
          <w:iCs/>
          <w:noProof/>
          <w:szCs w:val="24"/>
        </w:rPr>
        <w:t xml:space="preserve">is critically endangered and </w:t>
      </w:r>
      <w:r>
        <w:rPr>
          <w:noProof/>
          <w:szCs w:val="24"/>
        </w:rPr>
        <w:t>is considered nearly-endemic</w:t>
      </w:r>
      <w:r>
        <w:rPr>
          <w:iCs/>
          <w:noProof/>
          <w:szCs w:val="24"/>
        </w:rPr>
        <w:t xml:space="preserve">). </w:t>
      </w:r>
      <w:r>
        <w:rPr>
          <w:noProof/>
          <w:szCs w:val="24"/>
        </w:rPr>
        <w:t>Three of the concerned species (</w:t>
      </w:r>
      <w:r>
        <w:rPr>
          <w:i/>
          <w:noProof/>
          <w:szCs w:val="24"/>
        </w:rPr>
        <w:t>D. ramea</w:t>
      </w:r>
      <w:r>
        <w:rPr>
          <w:noProof/>
          <w:szCs w:val="24"/>
        </w:rPr>
        <w:t xml:space="preserve">, </w:t>
      </w:r>
      <w:r>
        <w:rPr>
          <w:i/>
          <w:noProof/>
          <w:szCs w:val="24"/>
        </w:rPr>
        <w:t xml:space="preserve">D. cornigera </w:t>
      </w:r>
      <w:r>
        <w:rPr>
          <w:noProof/>
          <w:szCs w:val="24"/>
        </w:rPr>
        <w:t>and</w:t>
      </w:r>
      <w:r>
        <w:rPr>
          <w:i/>
          <w:noProof/>
          <w:szCs w:val="24"/>
        </w:rPr>
        <w:t xml:space="preserve"> D. dianthus </w:t>
      </w:r>
      <w:r>
        <w:rPr>
          <w:noProof/>
          <w:szCs w:val="24"/>
        </w:rPr>
        <w:t>) belong to</w:t>
      </w:r>
      <w:r>
        <w:rPr>
          <w:rStyle w:val="st"/>
          <w:noProof/>
          <w:szCs w:val="24"/>
        </w:rPr>
        <w:t xml:space="preserve"> a group of stony coral</w:t>
      </w:r>
      <w:r>
        <w:rPr>
          <w:noProof/>
          <w:szCs w:val="24"/>
        </w:rPr>
        <w:t>s included in Appendix II of the Convention on International Trade in Endangered Species of Wild Fauna and Flora and therefore in Annex B to Council Regulation (EC) No 338/97</w:t>
      </w:r>
      <w:r>
        <w:rPr>
          <w:rStyle w:val="FootnoteReference"/>
          <w:noProof/>
          <w:szCs w:val="24"/>
        </w:rPr>
        <w:footnoteReference w:id="7"/>
      </w:r>
      <w:r>
        <w:rPr>
          <w:noProof/>
          <w:szCs w:val="24"/>
        </w:rPr>
        <w:t xml:space="preserve"> (Wildlife Trade Regulation). The four </w:t>
      </w:r>
      <w:r>
        <w:rPr>
          <w:i/>
          <w:noProof/>
          <w:szCs w:val="24"/>
        </w:rPr>
        <w:t>Anthozoa</w:t>
      </w:r>
      <w:r>
        <w:rPr>
          <w:noProof/>
          <w:szCs w:val="24"/>
        </w:rPr>
        <w:t xml:space="preserve"> species are exposed to numerous anthropogenic impacts in the Mediterranean Sea such as bottom trawling, benthic long line fishing, input of pollutants, drilling, global warming or ocean acidification. Their recovery ability can be very low, due to relatively slow growth rates, low dispersal ability, and relatively long life span. </w:t>
      </w:r>
      <w:r>
        <w:rPr>
          <w:rFonts w:eastAsia="Arial Unicode MS"/>
          <w:noProof/>
          <w:szCs w:val="24"/>
        </w:rPr>
        <w:t>Even if the scientific information related to the population of the four species is scarce, the available population records or qualitative observations point to alarming habitat regression and/or population decline.</w:t>
      </w:r>
    </w:p>
    <w:p>
      <w:pPr>
        <w:rPr>
          <w:noProof/>
        </w:rPr>
      </w:pPr>
      <w:r>
        <w:rPr>
          <w:noProof/>
        </w:rPr>
        <w:t xml:space="preserve">The support of these proposals by the Union ensures consistency between its internal and external action. </w:t>
      </w:r>
    </w:p>
    <w:p>
      <w:pPr>
        <w:rPr>
          <w:noProof/>
          <w:szCs w:val="24"/>
        </w:rPr>
      </w:pPr>
      <w:r>
        <w:rPr>
          <w:noProof/>
        </w:rPr>
        <w:t>The Union is committed to international cooperation for the protection of biodiversity in line with Article 191(1) TFEU and in accordance with Article 5 of the UN Convention on Biological Diversity (CBD), and the decisions made during the tenth, twelfth and thirteenth meetings of the Conference of the Parties to the CBD in Nagoya, 2010</w:t>
      </w:r>
      <w:r>
        <w:rPr>
          <w:rStyle w:val="FootnoteReference"/>
          <w:noProof/>
        </w:rPr>
        <w:footnoteReference w:id="8"/>
      </w:r>
      <w:r>
        <w:rPr>
          <w:noProof/>
        </w:rPr>
        <w:t>, Pyeongchang, 2014</w:t>
      </w:r>
      <w:r>
        <w:rPr>
          <w:rStyle w:val="FootnoteReference"/>
          <w:noProof/>
        </w:rPr>
        <w:footnoteReference w:id="9"/>
      </w:r>
      <w:r>
        <w:rPr>
          <w:noProof/>
        </w:rPr>
        <w:t xml:space="preserve"> and Mexico, 2016. </w:t>
      </w:r>
      <w:r>
        <w:rPr>
          <w:noProof/>
          <w:szCs w:val="24"/>
        </w:rPr>
        <w:t>In that regard, the species proposed for inclusion are in particular concerned by Decision XIII/11</w:t>
      </w:r>
      <w:r>
        <w:rPr>
          <w:rStyle w:val="FootnoteReference"/>
          <w:noProof/>
          <w:szCs w:val="24"/>
        </w:rPr>
        <w:footnoteReference w:id="10"/>
      </w:r>
      <w:r>
        <w:rPr>
          <w:noProof/>
          <w:szCs w:val="24"/>
        </w:rPr>
        <w:t xml:space="preserve"> of the thirteenth </w:t>
      </w:r>
      <w:r>
        <w:rPr>
          <w:noProof/>
        </w:rPr>
        <w:t xml:space="preserve">Conference of the Parties to the CBD </w:t>
      </w:r>
      <w:r>
        <w:rPr>
          <w:noProof/>
          <w:szCs w:val="24"/>
        </w:rPr>
        <w:t xml:space="preserve">promoting the implementation of a voluntary specific work plan on biodiversity in cold-water areas, aiming among others at maintaining and enhancing the resilience of ecosystems in cold-water areas. </w:t>
      </w:r>
    </w:p>
    <w:p>
      <w:pPr>
        <w:rPr>
          <w:i/>
          <w:noProof/>
        </w:rPr>
      </w:pPr>
      <w:r>
        <w:rPr>
          <w:noProof/>
        </w:rPr>
        <w:t xml:space="preserve">This proposal is also in line with the concern expressed at the United Nations Conference on Sustainable Development in 2012 </w:t>
      </w:r>
      <w:r>
        <w:rPr>
          <w:i/>
          <w:noProof/>
        </w:rPr>
        <w:t>"on the significant vulnerability of coral reefs and mangroves to impacts, including from climate change, ocean acidification, overfishing, destructive fishing practices and pollution"</w:t>
      </w:r>
      <w:r>
        <w:rPr>
          <w:noProof/>
        </w:rPr>
        <w:t xml:space="preserve"> and the commitment </w:t>
      </w:r>
      <w:r>
        <w:rPr>
          <w:i/>
          <w:noProof/>
        </w:rPr>
        <w:t xml:space="preserve">“to support international cooperation with a view to conserving coral reef and mangrove ecosystems and realizing their social, economic and environmental benefits as well as facilitating technical collaboration and voluntary information-sharing" </w:t>
      </w:r>
      <w:r>
        <w:rPr>
          <w:noProof/>
        </w:rPr>
        <w:t>made at that same Conference.</w:t>
      </w:r>
      <w:r>
        <w:rPr>
          <w:i/>
          <w:noProof/>
        </w:rPr>
        <w:t xml:space="preserve"> </w:t>
      </w:r>
    </w:p>
    <w:p>
      <w:pPr>
        <w:rPr>
          <w:noProof/>
        </w:rPr>
      </w:pPr>
      <w:r>
        <w:rPr>
          <w:noProof/>
        </w:rPr>
        <w:t xml:space="preserve">It also contributes to the </w:t>
      </w:r>
      <w:r>
        <w:rPr>
          <w:noProof/>
          <w:lang w:val="en"/>
        </w:rPr>
        <w:t>achievement of Sustainable Development Goal 14.2, aiming at</w:t>
      </w:r>
      <w:r>
        <w:rPr>
          <w:i/>
          <w:noProof/>
          <w:lang w:val="en"/>
        </w:rPr>
        <w:t xml:space="preserve"> "by 2020 sustainably manag[ing]</w:t>
      </w:r>
      <w:r>
        <w:rPr>
          <w:noProof/>
        </w:rPr>
        <w:t xml:space="preserve"> </w:t>
      </w:r>
      <w:r>
        <w:rPr>
          <w:i/>
          <w:noProof/>
        </w:rPr>
        <w:t>and protect[ing] marine and coastal ecosystems to avoid significant adverse impacts including by strengthening their resilience and take action for their restoration, to achieve healthy and productive oceans</w:t>
      </w:r>
      <w:r>
        <w:rPr>
          <w:noProof/>
        </w:rPr>
        <w:t>".</w:t>
      </w:r>
    </w:p>
    <w:p>
      <w:pPr>
        <w:rPr>
          <w:noProof/>
        </w:rPr>
      </w:pPr>
      <w:r>
        <w:rPr>
          <w:noProof/>
          <w:lang w:val="en"/>
        </w:rPr>
        <w:t xml:space="preserve">In view of the above, the Union should support the proposal </w:t>
      </w:r>
      <w:r>
        <w:rPr>
          <w:noProof/>
        </w:rPr>
        <w:t xml:space="preserve">to amend Annex II to the Protocol.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notion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1"/>
      </w:r>
    </w:p>
    <w:p>
      <w:pPr>
        <w:pStyle w:val="ManualHeading3"/>
        <w:rPr>
          <w:noProof/>
        </w:rPr>
      </w:pPr>
      <w:r>
        <w:t>4.1.2.</w:t>
      </w:r>
      <w:r>
        <w:tab/>
      </w:r>
      <w:r>
        <w:rPr>
          <w:noProof/>
        </w:rPr>
        <w:t>Application to the present case</w:t>
      </w:r>
    </w:p>
    <w:p>
      <w:pPr>
        <w:rPr>
          <w:noProof/>
        </w:rPr>
      </w:pPr>
      <w:r>
        <w:rPr>
          <w:noProof/>
        </w:rPr>
        <w:t>The act which the Meeting of the Contracting Parties to the Barcelona Convention is called upon to adopt constitutes an act having legal effects. The envisaged act will be binding under international law in accordance with Articles 23 and 29 of the Barcelona Convention. The procedural legal basis for the proposed decision, therefore,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 xml:space="preserve">The substantive legal basis for a decision under Article 218(9) TFEU depends primarily on the objective and content of the envisaged act in respect of which a position is adopted on behalf of the Union. </w:t>
      </w:r>
    </w:p>
    <w:p>
      <w:pPr>
        <w:pStyle w:val="ManualHeading3"/>
        <w:rPr>
          <w:noProof/>
        </w:rPr>
      </w:pPr>
      <w:r>
        <w:t>4.2.2.</w:t>
      </w:r>
      <w:r>
        <w:tab/>
      </w:r>
      <w:r>
        <w:rPr>
          <w:noProof/>
        </w:rPr>
        <w:t>Application to the present case</w:t>
      </w:r>
    </w:p>
    <w:p>
      <w:pPr>
        <w:rPr>
          <w:noProof/>
        </w:rPr>
      </w:pPr>
      <w:r>
        <w:rPr>
          <w:noProof/>
        </w:rPr>
        <w:t xml:space="preserve">The objective and content of the envisaged act relate to environment. The substantive legal basis of the proposed decision, therefore, is Article 192(1) TFEU.  </w:t>
      </w:r>
    </w:p>
    <w:p>
      <w:pPr>
        <w:pStyle w:val="ManualHeading2"/>
        <w:rPr>
          <w:noProof/>
        </w:rPr>
      </w:pPr>
      <w:r>
        <w:t>4.3.</w:t>
      </w:r>
      <w:r>
        <w:tab/>
      </w:r>
      <w:r>
        <w:rPr>
          <w:noProof/>
        </w:rPr>
        <w:t>Conclusion</w:t>
      </w:r>
    </w:p>
    <w:p>
      <w:pPr>
        <w:rPr>
          <w:noProof/>
        </w:rPr>
      </w:pPr>
      <w:r>
        <w:rPr>
          <w:noProof/>
        </w:rPr>
        <w:t>The legal basis of the proposed decision should be Article 192(1)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at the twentieth ordinary meeting of the Contracting Parties to the Convention for the protection of the marine environment and the coastal region of the Mediterranean, with regard to a proposal for amending Annex II to the Protocol concerning specially protected areas and biological diversity in the Mediterranean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192(1),</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Convention for the protection of the marine environment and the coastal region of the Mediterranean ('the Barcelona Convention') was concluded by the Community in accordance with Council Decision 1999/802/EC</w:t>
      </w:r>
      <w:r>
        <w:rPr>
          <w:rStyle w:val="FootnoteReference"/>
          <w:noProof/>
        </w:rPr>
        <w:footnoteReference w:id="12"/>
      </w:r>
      <w:r>
        <w:rPr>
          <w:noProof/>
        </w:rPr>
        <w:t xml:space="preserve"> and entered into force on </w:t>
      </w:r>
      <w:r>
        <w:rPr>
          <w:rFonts w:eastAsia="Arial Unicode MS"/>
          <w:noProof/>
        </w:rPr>
        <w:t>9 July 2004.</w:t>
      </w:r>
    </w:p>
    <w:p>
      <w:pPr>
        <w:pStyle w:val="ManualConsidrant"/>
        <w:rPr>
          <w:noProof/>
        </w:rPr>
      </w:pPr>
      <w:r>
        <w:t>(2)</w:t>
      </w:r>
      <w:r>
        <w:tab/>
      </w:r>
      <w:r>
        <w:rPr>
          <w:noProof/>
        </w:rPr>
        <w:t>The Union is also a Party to the Protocol concerning specially protected areas and biological diversity in the Mediterranean (‘the Protocol’), which was concluded by the Community in accordance with Council Decision 1999/800/EC</w:t>
      </w:r>
      <w:r>
        <w:rPr>
          <w:rStyle w:val="FootnoteReference"/>
          <w:noProof/>
        </w:rPr>
        <w:footnoteReference w:id="13"/>
      </w:r>
      <w:r>
        <w:rPr>
          <w:noProof/>
        </w:rPr>
        <w:t xml:space="preserve"> and entered into force on 12 December 1999.</w:t>
      </w:r>
    </w:p>
    <w:p>
      <w:pPr>
        <w:pStyle w:val="ManualConsidrant"/>
        <w:rPr>
          <w:noProof/>
        </w:rPr>
      </w:pPr>
      <w:r>
        <w:t>(3)</w:t>
      </w:r>
      <w:r>
        <w:tab/>
      </w:r>
      <w:r>
        <w:rPr>
          <w:noProof/>
        </w:rPr>
        <w:t>Pursuant to Article 18</w:t>
      </w:r>
      <w:r>
        <w:t xml:space="preserve"> </w:t>
      </w:r>
      <w:r>
        <w:rPr>
          <w:noProof/>
        </w:rPr>
        <w:t xml:space="preserve">of the Barcelona Convention, one of the functions of the meetings of the Contracting Parties is to adopt, review and amend as required the Annexes to that Convention and to the protocols. </w:t>
      </w:r>
    </w:p>
    <w:p>
      <w:pPr>
        <w:pStyle w:val="ManualConsidrant"/>
        <w:rPr>
          <w:noProof/>
        </w:rPr>
      </w:pPr>
      <w:r>
        <w:t>(4)</w:t>
      </w:r>
      <w:r>
        <w:tab/>
      </w:r>
      <w:r>
        <w:rPr>
          <w:rFonts w:eastAsia="Arial Unicode MS"/>
          <w:noProof/>
        </w:rPr>
        <w:t xml:space="preserve">The </w:t>
      </w:r>
      <w:r>
        <w:rPr>
          <w:noProof/>
        </w:rPr>
        <w:t xml:space="preserve">twentieth ordinary meeting of the Contracting Parties to the Barcelona Convention, is scheduled to take place from 17 to 20 December 2017. Among the points on the agenda, the meeting is to adopt amendments to Annex II to the Protocol. </w:t>
      </w:r>
    </w:p>
    <w:p>
      <w:pPr>
        <w:pStyle w:val="ManualConsidrant"/>
        <w:rPr>
          <w:noProof/>
        </w:rPr>
      </w:pPr>
      <w:r>
        <w:t>(5)</w:t>
      </w:r>
      <w:r>
        <w:tab/>
      </w:r>
      <w:r>
        <w:rPr>
          <w:noProof/>
        </w:rPr>
        <w:t xml:space="preserve">The purpose of those amendments is to add four new </w:t>
      </w:r>
      <w:r>
        <w:rPr>
          <w:i/>
          <w:noProof/>
        </w:rPr>
        <w:t>Anthozoa</w:t>
      </w:r>
      <w:r>
        <w:rPr>
          <w:noProof/>
        </w:rPr>
        <w:t xml:space="preserve"> species (</w:t>
      </w:r>
      <w:r>
        <w:rPr>
          <w:i/>
          <w:noProof/>
        </w:rPr>
        <w:t xml:space="preserve">Isidella elongata, Dendrophyllia cornigera, Dendrophyllia ramea </w:t>
      </w:r>
      <w:r>
        <w:rPr>
          <w:noProof/>
        </w:rPr>
        <w:t>and</w:t>
      </w:r>
      <w:r>
        <w:rPr>
          <w:i/>
          <w:noProof/>
        </w:rPr>
        <w:t xml:space="preserve"> Desmophyllum dianthus</w:t>
      </w:r>
      <w:r>
        <w:rPr>
          <w:noProof/>
        </w:rPr>
        <w:t>) to the list of species set out in Annex II to the Protocol, and to update the denomination of a number of marine and coastal bird species in that list in view of certain taxonomic changes that occurred since the last amendments of the Annexes to the Protocol.</w:t>
      </w:r>
    </w:p>
    <w:p>
      <w:pPr>
        <w:pStyle w:val="ManualConsidrant"/>
        <w:rPr>
          <w:noProof/>
        </w:rPr>
      </w:pPr>
      <w:r>
        <w:t>(6)</w:t>
      </w:r>
      <w:r>
        <w:tab/>
      </w:r>
      <w:r>
        <w:rPr>
          <w:noProof/>
        </w:rPr>
        <w:t>It is appropriate to establish the position to be adopted on behalf of the Union in the twentieth ordinary meeting of the Contracting Parties to the Barcelona Convention, as the amendments to Annex II to the Protocol will be binding upon the Union.</w:t>
      </w:r>
    </w:p>
    <w:p>
      <w:pPr>
        <w:pStyle w:val="ManualConsidrant"/>
        <w:rPr>
          <w:noProof/>
        </w:rPr>
      </w:pPr>
      <w:r>
        <w:t>(7)</w:t>
      </w:r>
      <w:r>
        <w:tab/>
      </w:r>
      <w:r>
        <w:rPr>
          <w:noProof/>
        </w:rPr>
        <w:t xml:space="preserve">The four </w:t>
      </w:r>
      <w:r>
        <w:rPr>
          <w:i/>
          <w:noProof/>
        </w:rPr>
        <w:t>Anthozoa</w:t>
      </w:r>
      <w:r>
        <w:rPr>
          <w:noProof/>
        </w:rPr>
        <w:t xml:space="preserve"> species proposed for inclusion in Annex II to the Protocol are present in natural habitat types of Community interest whose conservation requires the designation of special areas of conservation as set out in Annex I to Council Directive 92/43/EEC</w:t>
      </w:r>
      <w:r>
        <w:rPr>
          <w:rStyle w:val="FootnoteReference"/>
          <w:noProof/>
          <w:szCs w:val="24"/>
        </w:rPr>
        <w:footnoteReference w:id="14"/>
      </w:r>
      <w:r>
        <w:rPr>
          <w:noProof/>
        </w:rPr>
        <w:t>. Three of those species are also included in Appendix II to the Convention on International Trade in Endangered Species of Wild Fauna and Flora which is implemented in the Union by Annex B to Council Regulation (EC) No 338/97</w:t>
      </w:r>
      <w:r>
        <w:rPr>
          <w:rStyle w:val="FootnoteReference"/>
          <w:noProof/>
          <w:szCs w:val="24"/>
        </w:rPr>
        <w:footnoteReference w:id="15"/>
      </w:r>
      <w:r>
        <w:rPr>
          <w:noProof/>
        </w:rPr>
        <w:t>. All of the species proposed for inclusion are known to be threatened in the Mediterranean Sea and are therefore in need of the enhanced protection from human activities that is provided under the Protocol.</w:t>
      </w:r>
      <w:r>
        <w:t xml:space="preserve"> </w:t>
      </w:r>
    </w:p>
    <w:p>
      <w:pPr>
        <w:pStyle w:val="ManualConsidrant"/>
        <w:rPr>
          <w:noProof/>
        </w:rPr>
      </w:pPr>
      <w:r>
        <w:t>(8)</w:t>
      </w:r>
      <w:r>
        <w:tab/>
      </w:r>
      <w:r>
        <w:rPr>
          <w:noProof/>
        </w:rPr>
        <w:t xml:space="preserve">As the proposal for the decision at the twentieth ordinary meeting of the Contracting Parties to the Barcelona Convention is for the amendment of Annex II to the Protocol, it is appropriate to publish it in the </w:t>
      </w:r>
      <w:r>
        <w:rPr>
          <w:i/>
          <w:noProof/>
        </w:rPr>
        <w:t xml:space="preserve">Official Journal of the European Union </w:t>
      </w:r>
      <w:r>
        <w:rPr>
          <w:noProof/>
        </w:rPr>
        <w:t>after its adoption.</w:t>
      </w:r>
    </w:p>
    <w:p>
      <w:pPr>
        <w:pStyle w:val="ManualConsidrant"/>
        <w:rPr>
          <w:noProof/>
        </w:rPr>
      </w:pPr>
      <w:r>
        <w:t>(9)</w:t>
      </w:r>
      <w:r>
        <w:tab/>
      </w:r>
      <w:r>
        <w:rPr>
          <w:noProof/>
        </w:rPr>
        <w:t>At the twentieth ordinary meeting of the Contracting Parties to the Barcelona Convention, the Union is to be represented by the Commission in accordance with Article 17(1) of the Treaty on European Union (TEU). The Member States are to support the position of the Union in accordance with Article 4(3) TEU,</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at the twentieth ordinary meeting of the Contracting Parties to the Convention for the protection of the marine environment and the coastal region of the Mediterranean (‘Barcelona Convention’) shall be to support the proposal for a decision amending Annex II to the Protocol concerning specially protected areas and biological diversity in the Mediterranean (‘the Protocol’) as regards:</w:t>
      </w:r>
    </w:p>
    <w:p>
      <w:pPr>
        <w:pStyle w:val="Point0number"/>
        <w:numPr>
          <w:ilvl w:val="0"/>
          <w:numId w:val="26"/>
        </w:numPr>
        <w:rPr>
          <w:noProof/>
        </w:rPr>
      </w:pPr>
      <w:r>
        <w:rPr>
          <w:noProof/>
        </w:rPr>
        <w:t>the addition of the following species to:</w:t>
      </w:r>
    </w:p>
    <w:p>
      <w:pPr>
        <w:pStyle w:val="Tiret1"/>
        <w:numPr>
          <w:ilvl w:val="0"/>
          <w:numId w:val="5"/>
        </w:numPr>
        <w:rPr>
          <w:i/>
          <w:noProof/>
        </w:rPr>
      </w:pPr>
      <w:r>
        <w:rPr>
          <w:i/>
          <w:noProof/>
        </w:rPr>
        <w:t>Dendrophyllia cornigera,</w:t>
      </w:r>
    </w:p>
    <w:p>
      <w:pPr>
        <w:pStyle w:val="Tiret1"/>
        <w:rPr>
          <w:i/>
          <w:noProof/>
        </w:rPr>
      </w:pPr>
      <w:r>
        <w:rPr>
          <w:i/>
          <w:noProof/>
        </w:rPr>
        <w:t>Dendrophyllia ramea,</w:t>
      </w:r>
    </w:p>
    <w:p>
      <w:pPr>
        <w:pStyle w:val="Tiret1"/>
        <w:rPr>
          <w:i/>
          <w:noProof/>
        </w:rPr>
      </w:pPr>
      <w:r>
        <w:rPr>
          <w:i/>
          <w:noProof/>
        </w:rPr>
        <w:t xml:space="preserve">Desmophyllum dianthus, </w:t>
      </w:r>
    </w:p>
    <w:p>
      <w:pPr>
        <w:pStyle w:val="Tiret1"/>
        <w:rPr>
          <w:i/>
          <w:noProof/>
        </w:rPr>
      </w:pPr>
      <w:r>
        <w:rPr>
          <w:i/>
          <w:noProof/>
        </w:rPr>
        <w:t>Isidella elongata;</w:t>
      </w:r>
    </w:p>
    <w:p>
      <w:pPr>
        <w:pStyle w:val="Point0number"/>
        <w:rPr>
          <w:noProof/>
        </w:rPr>
      </w:pPr>
      <w:r>
        <w:rPr>
          <w:noProof/>
        </w:rPr>
        <w:t>the changes made to the denomination of marine and coastal bird species due to taxonomic changes set out in Annex.</w:t>
      </w:r>
    </w:p>
    <w:p>
      <w:pPr>
        <w:pStyle w:val="Titrearticle"/>
        <w:rPr>
          <w:noProof/>
        </w:rPr>
      </w:pPr>
      <w:r>
        <w:rPr>
          <w:noProof/>
        </w:rPr>
        <w:t>Article 2</w:t>
      </w:r>
    </w:p>
    <w:p>
      <w:pPr>
        <w:rPr>
          <w:noProof/>
        </w:rPr>
      </w:pPr>
      <w:r>
        <w:rPr>
          <w:noProof/>
        </w:rPr>
        <w:t xml:space="preserve">After its adoption, the decision referred to in Article 1 shall be published in the </w:t>
      </w:r>
      <w:r>
        <w:rPr>
          <w:i/>
          <w:noProof/>
        </w:rPr>
        <w:t>Official Journal of the European Union</w:t>
      </w:r>
      <w:r>
        <w:rPr>
          <w:noProof/>
        </w:rPr>
        <w:t>.</w:t>
      </w:r>
    </w:p>
    <w:p>
      <w:pPr>
        <w:pStyle w:val="Titrearticle"/>
        <w:rPr>
          <w:noProof/>
        </w:rPr>
      </w:pPr>
      <w:r>
        <w:rPr>
          <w:noProof/>
        </w:rPr>
        <w:t xml:space="preserve">Article 3 </w:t>
      </w:r>
    </w:p>
    <w:p>
      <w:pPr>
        <w:rPr>
          <w:noProof/>
        </w:rPr>
      </w:pPr>
      <w:r>
        <w:rPr>
          <w:noProof/>
        </w:rPr>
        <w:t>This Decision is addressed to the Commission and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r>
      <w:r>
        <w:rPr>
          <w:rFonts w:eastAsia="Times New Roman"/>
          <w:noProof/>
          <w:lang w:eastAsia="en-GB"/>
        </w:rPr>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Decision 77/585/EEC of 25 July 1977 concluding the Convention for the protection of the Mediterranean Sea against pollution and the Protocol for the prevention of the pollution of the Mediterranean Sea by dumping from ships and aircraft (OJ L 240, 19.9.1977, p. 1) and Council Decision 1999/802/EC of 22 October 1999 on the acceptance of amendments to the Convention for the Protection of the Mediterranean Sea against Pollution and to the Protocol for the Prevention of Pollution by Dumping from Ships and Aircraft (Barcelona Convention) </w:t>
      </w:r>
      <w:r>
        <w:rPr>
          <w:bCs/>
        </w:rPr>
        <w:t>(</w:t>
      </w:r>
      <w:r>
        <w:rPr>
          <w:iCs/>
        </w:rPr>
        <w:t>OJ L 322, 14.12.1999, p. 32).</w:t>
      </w:r>
    </w:p>
  </w:footnote>
  <w:footnote w:id="2">
    <w:p>
      <w:pPr>
        <w:pStyle w:val="FootnoteText"/>
      </w:pPr>
      <w:r>
        <w:rPr>
          <w:rStyle w:val="FootnoteReference"/>
        </w:rPr>
        <w:footnoteRef/>
      </w:r>
      <w:r>
        <w:tab/>
      </w:r>
      <w:r>
        <w:rPr>
          <w:iCs/>
        </w:rPr>
        <w:t xml:space="preserve">Council Decision </w:t>
      </w:r>
      <w:r>
        <w:rPr>
          <w:bCs/>
        </w:rPr>
        <w:t>1999/800/EC of 22 October 1999 on concluding the Protocol concerning specially protected areas and biological diversity in the Mediterranean, and on accepting the annexes to that Protocol (Barcelona Convention) (</w:t>
      </w:r>
      <w:r>
        <w:rPr>
          <w:iCs/>
        </w:rPr>
        <w:t>OJ L 322, 14.12.1999, p. 1).</w:t>
      </w:r>
      <w:r>
        <w:t xml:space="preserve"> </w:t>
      </w:r>
    </w:p>
  </w:footnote>
  <w:footnote w:id="3">
    <w:p>
      <w:pPr>
        <w:pStyle w:val="FootnoteText"/>
      </w:pPr>
      <w:r>
        <w:rPr>
          <w:rStyle w:val="FootnoteReference"/>
        </w:rPr>
        <w:footnoteRef/>
      </w:r>
      <w:r>
        <w:tab/>
        <w:t>Special areas of conservation as defined in article 1 (l) of the Habitat Directive means sites of Community importance designated by the Member States through a statutory, administrative and/or contractual act where the necessary conservation measures are applied for the maintenance or restoration, at a favourable conservation status, of the natural habitats and/or the populations of the species for which the site is designated</w:t>
      </w:r>
      <w:r>
        <w:rPr>
          <w:iCs/>
        </w:rPr>
        <w:t>.</w:t>
      </w:r>
    </w:p>
  </w:footnote>
  <w:footnote w:id="4">
    <w:p>
      <w:pPr>
        <w:pStyle w:val="FootnoteText"/>
      </w:pPr>
      <w:r>
        <w:rPr>
          <w:rStyle w:val="FootnoteReference"/>
        </w:rPr>
        <w:footnoteRef/>
      </w:r>
      <w:r>
        <w:tab/>
        <w:t>Council Directive 92/43/EEC</w:t>
      </w:r>
      <w:r>
        <w:rPr>
          <w:i/>
        </w:rPr>
        <w:t xml:space="preserve"> </w:t>
      </w:r>
      <w:r>
        <w:t xml:space="preserve">of </w:t>
      </w:r>
      <w:r>
        <w:rPr>
          <w:bCs/>
        </w:rPr>
        <w:t xml:space="preserve">21 May 1992 </w:t>
      </w:r>
      <w:r>
        <w:t>on the conservation of natural habitats and of wild fauna and flora (OJ L</w:t>
      </w:r>
      <w:r>
        <w:rPr>
          <w:i/>
          <w:iCs/>
        </w:rPr>
        <w:t xml:space="preserve"> </w:t>
      </w:r>
      <w:r>
        <w:rPr>
          <w:iCs/>
        </w:rPr>
        <w:t>206, 22.7.1992, p. 7).</w:t>
      </w:r>
    </w:p>
  </w:footnote>
  <w:footnote w:id="5">
    <w:p>
      <w:pPr>
        <w:pStyle w:val="FootnoteText"/>
      </w:pPr>
      <w:r>
        <w:rPr>
          <w:rStyle w:val="FootnoteReference"/>
        </w:rPr>
        <w:footnoteRef/>
      </w:r>
      <w:r>
        <w:tab/>
        <w:t xml:space="preserve">Interpretation Manual of European Union Habitats – EUR28, adopted by the Habitats Committee on 4 October 1999 (version EUR15) and last amended in April 2013 </w:t>
      </w:r>
      <w:hyperlink r:id="rId1" w:history="1">
        <w:r>
          <w:rPr>
            <w:rStyle w:val="Hyperlink"/>
          </w:rPr>
          <w:t>http://ec.europa.eu/environment/nature/legislation/habitatsdirective/docs/Int_Manual_EU28.pdf</w:t>
        </w:r>
      </w:hyperlink>
      <w:r>
        <w:t>.</w:t>
      </w:r>
    </w:p>
  </w:footnote>
  <w:footnote w:id="6">
    <w:p>
      <w:pPr>
        <w:pStyle w:val="FootnoteText"/>
      </w:pPr>
      <w:r>
        <w:rPr>
          <w:rStyle w:val="FootnoteReference"/>
        </w:rPr>
        <w:footnoteRef/>
      </w:r>
      <w:r>
        <w:tab/>
      </w:r>
      <w:hyperlink r:id="rId2" w:history="1">
        <w:r>
          <w:rPr>
            <w:rStyle w:val="Hyperlink"/>
          </w:rPr>
          <w:t>http://www.iucnredlist.org/initiatives/mediterranean</w:t>
        </w:r>
      </w:hyperlink>
    </w:p>
  </w:footnote>
  <w:footnote w:id="7">
    <w:p>
      <w:pPr>
        <w:pStyle w:val="FootnoteText"/>
      </w:pPr>
      <w:r>
        <w:rPr>
          <w:rStyle w:val="FootnoteReference"/>
        </w:rPr>
        <w:footnoteRef/>
      </w:r>
      <w:r>
        <w:tab/>
        <w:t>Council Regulation (EC) No 338/97 of 9 December 1996 on the protection of species of wild fauna and flora by regulating trade therein (OJ L 61, 3.3.1997, p. 1).</w:t>
      </w:r>
    </w:p>
  </w:footnote>
  <w:footnote w:id="8">
    <w:p>
      <w:pPr>
        <w:pStyle w:val="FootnoteText"/>
      </w:pPr>
      <w:r>
        <w:rPr>
          <w:rStyle w:val="FootnoteReference"/>
        </w:rPr>
        <w:footnoteRef/>
      </w:r>
      <w:r>
        <w:tab/>
        <w:t xml:space="preserve">Dec. X/2, </w:t>
      </w:r>
      <w:r>
        <w:rPr>
          <w:i/>
        </w:rPr>
        <w:t>Strategic Plan for Biodiversity 2011-2020 and the Aichi Biodiversity Targets</w:t>
      </w:r>
      <w:r>
        <w:t>, including "Aichi Biodiversity Target" no. 10, according to which "by 2015, the multiple anthropogenic pressures on coral reefs, and other vulnerable ecosystems impacted by climate change or ocean acidification are minimized, so as to maintain their integrity and functioning".</w:t>
      </w:r>
    </w:p>
  </w:footnote>
  <w:footnote w:id="9">
    <w:p>
      <w:pPr>
        <w:pStyle w:val="FootnoteText"/>
      </w:pPr>
      <w:r>
        <w:rPr>
          <w:rStyle w:val="FootnoteReference"/>
        </w:rPr>
        <w:footnoteRef/>
      </w:r>
      <w:r>
        <w:tab/>
        <w:t xml:space="preserve">Dec. XII/23, Annex, </w:t>
      </w:r>
      <w:r>
        <w:rPr>
          <w:i/>
        </w:rPr>
        <w:t>Priority actions to achieve Aichi Biodiversity Target 10 for coral reefs and closely associated ecosystems</w:t>
      </w:r>
      <w:r>
        <w:t>.</w:t>
      </w:r>
    </w:p>
  </w:footnote>
  <w:footnote w:id="10">
    <w:p>
      <w:pPr>
        <w:pStyle w:val="FootnoteText"/>
      </w:pPr>
      <w:r>
        <w:rPr>
          <w:rStyle w:val="FootnoteReference"/>
        </w:rPr>
        <w:footnoteRef/>
      </w:r>
      <w:r>
        <w:tab/>
        <w:t xml:space="preserve">Dec.XIII/11, </w:t>
      </w:r>
      <w:r>
        <w:rPr>
          <w:i/>
        </w:rPr>
        <w:t>Voluntary specific workplan on biodiversity in cold-water areas within the jurisdictional scope of the convention.</w:t>
      </w:r>
    </w:p>
  </w:footnote>
  <w:footnote w:id="11">
    <w:p>
      <w:pPr>
        <w:pStyle w:val="FootnoteText"/>
      </w:pPr>
      <w:r>
        <w:rPr>
          <w:rStyle w:val="FootnoteReference"/>
        </w:rPr>
        <w:footnoteRef/>
      </w:r>
      <w:r>
        <w:tab/>
        <w:t xml:space="preserve">Case C-399/12 Germany v Council (OIV), ECLI:EU:C:2014:2258, paragraphs 61-64. </w:t>
      </w:r>
    </w:p>
  </w:footnote>
  <w:footnote w:id="12">
    <w:p>
      <w:pPr>
        <w:pStyle w:val="FootnoteText"/>
      </w:pPr>
      <w:r>
        <w:rPr>
          <w:rStyle w:val="FootnoteReference"/>
        </w:rPr>
        <w:footnoteRef/>
      </w:r>
      <w:r>
        <w:tab/>
        <w:t xml:space="preserve">Council Decision 1999/802/EC of 22 October 1999 on the acceptance of amendments to the Convention for the Protection of the Mediterranean Sea against Pollution and to the Protocol for the Prevention of Pollution by Dumping from Ships and Aircraft (Barcelona Convention) </w:t>
      </w:r>
      <w:r>
        <w:rPr>
          <w:bCs/>
        </w:rPr>
        <w:t>(</w:t>
      </w:r>
      <w:r>
        <w:rPr>
          <w:iCs/>
        </w:rPr>
        <w:t>OJ L 322, 14.12.1999, p. 32).</w:t>
      </w:r>
      <w:r>
        <w:t xml:space="preserve"> </w:t>
      </w:r>
    </w:p>
  </w:footnote>
  <w:footnote w:id="13">
    <w:p>
      <w:pPr>
        <w:pStyle w:val="FootnoteText"/>
      </w:pPr>
      <w:r>
        <w:rPr>
          <w:rStyle w:val="FootnoteReference"/>
        </w:rPr>
        <w:footnoteRef/>
      </w:r>
      <w:r>
        <w:tab/>
      </w:r>
      <w:r>
        <w:rPr>
          <w:iCs/>
        </w:rPr>
        <w:t xml:space="preserve">Council Decision </w:t>
      </w:r>
      <w:r>
        <w:rPr>
          <w:bCs/>
        </w:rPr>
        <w:t>1999/800/EC of 22 October 1999 on concluding the Protocol concerning specially protected areas and biological diversity in the Mediterranean, and on accepting the annexes to that Protocol (Barcelona Convention) (</w:t>
      </w:r>
      <w:r>
        <w:rPr>
          <w:iCs/>
        </w:rPr>
        <w:t>OJ L 322, 14.12.1999, p. 1).</w:t>
      </w:r>
      <w:r>
        <w:t xml:space="preserve"> </w:t>
      </w:r>
    </w:p>
  </w:footnote>
  <w:footnote w:id="14">
    <w:p>
      <w:pPr>
        <w:pStyle w:val="FootnoteText"/>
      </w:pPr>
      <w:r>
        <w:rPr>
          <w:rStyle w:val="FootnoteReference"/>
        </w:rPr>
        <w:footnoteRef/>
      </w:r>
      <w:r>
        <w:tab/>
        <w:t>Council Directive 92/43/EEC</w:t>
      </w:r>
      <w:r>
        <w:rPr>
          <w:i/>
        </w:rPr>
        <w:t xml:space="preserve"> </w:t>
      </w:r>
      <w:r>
        <w:t xml:space="preserve">of </w:t>
      </w:r>
      <w:r>
        <w:rPr>
          <w:bCs/>
        </w:rPr>
        <w:t xml:space="preserve">21 May 1992 </w:t>
      </w:r>
      <w:r>
        <w:t>on the conservation of natural habitats and of wild fauna and flora (OJ L</w:t>
      </w:r>
      <w:r>
        <w:rPr>
          <w:i/>
          <w:iCs/>
        </w:rPr>
        <w:t xml:space="preserve"> </w:t>
      </w:r>
      <w:r>
        <w:rPr>
          <w:iCs/>
        </w:rPr>
        <w:t>206, 22.7.1992, p. 7).</w:t>
      </w:r>
    </w:p>
  </w:footnote>
  <w:footnote w:id="15">
    <w:p>
      <w:pPr>
        <w:pStyle w:val="FootnoteText"/>
      </w:pPr>
      <w:r>
        <w:rPr>
          <w:rStyle w:val="FootnoteReference"/>
        </w:rPr>
        <w:footnoteRef/>
      </w:r>
      <w:r>
        <w:tab/>
        <w:t>Council Regulation (EC) No 338/97 of 9 December 1996 on the protection of species of wild fauna and flora by regulating trade therein (OJ L 61, 3.3.1997,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2885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8073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7C91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3059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6D88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C299A2"/>
    <w:lvl w:ilvl="0">
      <w:start w:val="1"/>
      <w:numFmt w:val="decimal"/>
      <w:pStyle w:val="ListNumber"/>
      <w:lvlText w:val="%1."/>
      <w:lvlJc w:val="left"/>
      <w:pPr>
        <w:tabs>
          <w:tab w:val="num" w:pos="360"/>
        </w:tabs>
        <w:ind w:left="360" w:hanging="360"/>
      </w:pPr>
    </w:lvl>
  </w:abstractNum>
  <w:abstractNum w:abstractNumId="7">
    <w:nsid w:val="FFFFFF89"/>
    <w:multiLevelType w:val="singleLevel"/>
    <w:tmpl w:val="9CBEC1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lvlOverride w:ilvl="0">
      <w:startOverride w:val="1"/>
    </w:lvlOverride>
  </w:num>
  <w:num w:numId="4">
    <w:abstractNumId w:val="0"/>
  </w:num>
  <w:num w:numId="5">
    <w:abstractNumId w:val="12"/>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10:14:2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5358F03A55994E0C8169F6093C82254E"/>
    <w:docVar w:name="LW_CROSSREFERENCE" w:val="&lt;UNUSED&gt;"/>
    <w:docVar w:name="LW_DocType" w:val="COM"/>
    <w:docVar w:name="LW_EMISSION" w:val="19.10.2017"/>
    <w:docVar w:name="LW_EMISSION_ISODATE" w:val="2017-10-1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63"/>
    <w:docVar w:name="LW_REF.II.NEW.CP_YEAR" w:val="2017"/>
    <w:docVar w:name="LW_REF.INST.NEW" w:val="COM"/>
    <w:docVar w:name="LW_REF.INST.NEW_ADOPTED" w:val="final"/>
    <w:docVar w:name="LW_REF.INST.NEW_TEXT" w:val="(2017) 603"/>
    <w:docVar w:name="LW_REF.INTERNE" w:val="&lt;UNUSED&gt;"/>
    <w:docVar w:name="LW_SOUS.TITRE.OBJ.CP" w:val="&lt;UNUSED&gt;"/>
    <w:docVar w:name="LW_STATUT.CP" w:val="Proposal for a"/>
    <w:docVar w:name="LW_SUPERTITRE" w:val="&lt;UNUSED&gt;"/>
    <w:docVar w:name="LW_TITRE.OBJ.CP" w:val="on the position to be adopted, on behalf of the European Union, at the twentieth ordinary meeting of the Contracting Parties to the Convention for the protection of the marine environment and the coastal region of the Mediterranean, with regard to a proposal for amending Annex II to the Protocol concerning specially protected areas and biological diversity in the Mediterranea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rPr>
      <w:rFonts w:eastAsia="Times New Roman"/>
      <w:lang w:eastAsia="en-GB"/>
    </w:rPr>
  </w:style>
  <w:style w:type="paragraph" w:styleId="ListNumber4">
    <w:name w:val="List Number 4"/>
    <w:basedOn w:val="Normal"/>
    <w:pPr>
      <w:numPr>
        <w:numId w:val="4"/>
      </w:numPr>
      <w:contextualSpacing/>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rPr>
      <w:rFonts w:eastAsia="Times New Roman"/>
      <w:lang w:eastAsia="en-GB"/>
    </w:rPr>
  </w:style>
  <w:style w:type="paragraph" w:styleId="ListNumber4">
    <w:name w:val="List Number 4"/>
    <w:basedOn w:val="Normal"/>
    <w:pPr>
      <w:numPr>
        <w:numId w:val="4"/>
      </w:numPr>
      <w:contextualSpacing/>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ucnredlist.org/initiatives/mediterranean" TargetMode="External"/><Relationship Id="rId1" Type="http://schemas.openxmlformats.org/officeDocument/2006/relationships/hyperlink" Target="http://ec.europa.eu/environment/nature/legislation/habitatsdirective/docs/Int_Manual_EU2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4D7F-09AA-49A8-B5FD-C3C62D34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2322</Words>
  <Characters>12610</Characters>
  <Application>Microsoft Office Word</Application>
  <DocSecurity>0</DocSecurity>
  <Lines>217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2017-08-16T13:23:00Z</cp:lastPrinted>
  <dcterms:created xsi:type="dcterms:W3CDTF">2017-09-13T16:31:00Z</dcterms:created>
  <dcterms:modified xsi:type="dcterms:W3CDTF">2017-10-10T08:14:00Z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