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3994027E-4FA9-4FE7-A81B-EDCDD763BBAF" style="width:451.25pt;height:379.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 ПРЕДМЕТ НА ПРЕДЛОЖЕНИЕТО</w:t>
      </w:r>
    </w:p>
    <w:p>
      <w:pPr>
        <w:rPr>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ЕС—ЕАСТ за общ транзитен режим („Съвместният комитет“), във връзка с предвиденото приемане на Решение на Съвместния комитет за изменение на допълненията към Конвенцията от 20 май 1987 г. за общ транзитен режим („Конвенцията“).</w:t>
      </w:r>
    </w:p>
    <w:p>
      <w:pPr>
        <w:pStyle w:val="ManualHeading1"/>
        <w:rPr>
          <w:noProof/>
        </w:rPr>
      </w:pPr>
      <w:r>
        <w:rPr>
          <w:noProof/>
        </w:rPr>
        <w:t xml:space="preserve">2. </w:t>
      </w:r>
      <w:r>
        <w:rPr>
          <w:noProof/>
        </w:rPr>
        <w:tab/>
        <w:t>КОНТЕКСТ НА ПРЕДЛОЖЕНИЕТО</w:t>
      </w:r>
    </w:p>
    <w:p>
      <w:pPr>
        <w:pStyle w:val="ManualHeading2"/>
        <w:rPr>
          <w:rFonts w:eastAsia="Arial Unicode MS"/>
          <w:noProof/>
        </w:rPr>
      </w:pPr>
      <w:r>
        <w:rPr>
          <w:noProof/>
          <w:color w:val="000000"/>
          <w:u w:color="000000"/>
          <w:bdr w:val="nil"/>
        </w:rPr>
        <w:t xml:space="preserve">2.1. </w:t>
      </w:r>
      <w:r>
        <w:rPr>
          <w:strike/>
          <w:noProof/>
          <w:color w:val="000000"/>
          <w:u w:color="000000"/>
          <w:bdr w:val="nil"/>
        </w:rPr>
        <w:t>•</w:t>
      </w:r>
      <w:r>
        <w:rPr>
          <w:noProof/>
        </w:rPr>
        <w:tab/>
      </w:r>
      <w:r>
        <w:rPr>
          <w:noProof/>
          <w:color w:val="000000"/>
          <w:u w:color="000000"/>
          <w:bdr w:val="nil"/>
        </w:rPr>
        <w:t xml:space="preserve">Конвенцията за общ транзитен режим </w:t>
      </w:r>
    </w:p>
    <w:p>
      <w:pPr>
        <w:rPr>
          <w:noProof/>
        </w:rPr>
      </w:pPr>
      <w:r>
        <w:rPr>
          <w:noProof/>
        </w:rPr>
        <w:t>Целта на Конвенцията е да се улесни движението на стоки между Европейския съюз и други държави, които са договарящи страни по Конвенцията. Тя влезе в сила на 1 януари 1988 г.</w:t>
      </w:r>
    </w:p>
    <w:p>
      <w:pPr>
        <w:rPr>
          <w:noProof/>
        </w:rPr>
      </w:pPr>
      <w:r>
        <w:rPr>
          <w:noProof/>
        </w:rPr>
        <w:t>Европейският съюз е договаряща страна по Конвенцията.</w:t>
      </w:r>
    </w:p>
    <w:p>
      <w:pPr>
        <w:pStyle w:val="ManualHeading2"/>
        <w:rPr>
          <w:noProof/>
        </w:rPr>
      </w:pPr>
      <w:r>
        <w:rPr>
          <w:noProof/>
        </w:rPr>
        <w:t>2.2.</w:t>
      </w:r>
      <w:r>
        <w:rPr>
          <w:noProof/>
        </w:rPr>
        <w:tab/>
        <w:t>СЪВМЕСТНИЯТ КОМИТЕТ ЕС—ЕАСТ</w:t>
      </w:r>
    </w:p>
    <w:p>
      <w:pPr>
        <w:rPr>
          <w:noProof/>
        </w:rPr>
      </w:pPr>
      <w:r>
        <w:rPr>
          <w:noProof/>
        </w:rPr>
        <w:t xml:space="preserve">Задачата на Съвместния комитет ЕС—ЕАСТ за общ транзитен режим е да ръководи изпълнението на Конвенцията и да осигурява надлежното й изпълнение. Посредством решения Съвместният комитет приема изменения на допълненията към Конвенцията. </w:t>
      </w:r>
    </w:p>
    <w:p>
      <w:pPr>
        <w:rPr>
          <w:noProof/>
        </w:rPr>
      </w:pPr>
      <w:r>
        <w:rPr>
          <w:noProof/>
        </w:rPr>
        <w:t xml:space="preserve">Решенията на Съвместния комитет се приемат с единодушие от договарящите страни. </w:t>
      </w:r>
    </w:p>
    <w:p>
      <w:pPr>
        <w:pStyle w:val="ManualHeading2"/>
        <w:rPr>
          <w:noProof/>
        </w:rPr>
      </w:pPr>
      <w:r>
        <w:rPr>
          <w:noProof/>
        </w:rPr>
        <w:t>2.3.</w:t>
      </w:r>
      <w:r>
        <w:rPr>
          <w:noProof/>
        </w:rPr>
        <w:tab/>
        <w:t>Решението на Съвместния комитет ЕС—ЕАСТ.</w:t>
      </w:r>
    </w:p>
    <w:p>
      <w:pPr>
        <w:rPr>
          <w:noProof/>
        </w:rPr>
      </w:pPr>
      <w:r>
        <w:rPr>
          <w:noProof/>
        </w:rPr>
        <w:t>Очаква се по време на своето 30-то заседание на 5 декември 2017 г. Съвместният комитет да приеме решение за изменение на допълненията към Конвенцията.</w:t>
      </w:r>
    </w:p>
    <w:p>
      <w:pPr>
        <w:rPr>
          <w:noProof/>
        </w:rPr>
      </w:pPr>
      <w:r>
        <w:rPr>
          <w:noProof/>
        </w:rPr>
        <w:t>Идеята на общия транзитен режим е да се разшири обхватът на режим съюзен транзит, така че да включи договарящите страни по Конвенцията, които не са държави — членки на Съюза („държави с общ транзитен режим“). Посредством Решение № 1/2016 на Съвместния комитет от 28 април 2016 г.</w:t>
      </w:r>
      <w:r>
        <w:rPr>
          <w:rStyle w:val="FootnoteReference"/>
          <w:noProof/>
        </w:rPr>
        <w:footnoteReference w:id="1"/>
      </w:r>
      <w:r>
        <w:rPr>
          <w:noProof/>
        </w:rPr>
        <w:t xml:space="preserve"> Конвенцията бе изменена, за да се приведе в съответствие с разпоредбите на Митническия кодекс на Съюза (МКС) и неговите делегирани актове и актове за изпълнение относно договорености в областта на транзита и митническия статус на съюзни стоки. Решението влезе в сила на 1 май 2016 г.</w:t>
      </w:r>
    </w:p>
    <w:p>
      <w:pPr>
        <w:rPr>
          <w:noProof/>
        </w:rPr>
      </w:pPr>
      <w:r>
        <w:rPr>
          <w:noProof/>
        </w:rPr>
        <w:t xml:space="preserve">Вследствие на искането, отправено от икономическите оператори, да получат достатъчно време да се подготвят за новите правила и предвид необходимостта от подобряване или въвеждане на съответните митнически системи, което трябва да се извърши през следващите няколко години, някои разпоредби на пакета от нормативни актове по МКС ще се прилагат, считано от дата след 1 май 2016 г. Що се отнася до режим транзит, разпоредбите относно използването на електронния транспортен документ (ETД) като декларация за транзит при въздушен транспорт ще започнат да се прилагат най-късно от 1 май 2018 г., а някои разпоредби относно транзита ще започнат да се прилагат само след като завърши подобрението на електронната система за транзит. Що се отнася до митническия статус на съюзни стоки, някои от разпоредбите все още не са приложими, тъй като те също изискват въвеждането на съответните електронни системи. </w:t>
      </w:r>
    </w:p>
    <w:p>
      <w:pPr>
        <w:rPr>
          <w:noProof/>
        </w:rPr>
      </w:pPr>
      <w:r>
        <w:rPr>
          <w:noProof/>
        </w:rPr>
        <w:lastRenderedPageBreak/>
        <w:t>Ето защо Конвенцията трябва да бъде допълнително изменена, за да бъде приведена изцяло в съответствие с пакета от нормативни актове по МКС, а държавите с общ транзитен режим да имат достатъчно време да се подготвят за прилагането на изменените разпоредби и на допълнителните елементи от данни, които ще се изискват, когато новите системи и разпоредби станат изцяло приложими съгласно митническото законодателство на ЕС.</w:t>
      </w:r>
    </w:p>
    <w:p>
      <w:pPr>
        <w:rPr>
          <w:noProof/>
        </w:rPr>
      </w:pPr>
      <w:r>
        <w:rPr>
          <w:noProof/>
        </w:rPr>
        <w:t>Процедурата за установяване на обща позиция на ЕС във връзка с проекта за решение относно допълнителните изменения на Конвенцията следва да протече сравнително гладко, тъй като измененията се основават на разпоредбите на ЕС, които бяха одобрени от държавите членки и включени в МКС, в сила от 1 май 2016 г.</w:t>
      </w:r>
    </w:p>
    <w:p>
      <w:pPr>
        <w:rPr>
          <w:noProof/>
        </w:rPr>
      </w:pPr>
      <w:r>
        <w:rPr>
          <w:noProof/>
        </w:rPr>
        <w:t>Комисията се приканва да приеме проекта на решение и да го предаде на Съвета.</w:t>
      </w:r>
    </w:p>
    <w:p>
      <w:pPr>
        <w:rPr>
          <w:noProof/>
        </w:rPr>
      </w:pPr>
      <w:r>
        <w:rPr>
          <w:noProof/>
        </w:rPr>
        <w:t xml:space="preserve">Решението на Съвместния комитет за изменение на Конвенцията ще бъде обвързващо за договарящите страни в съответствие с член 2 от същото решение, в който се предвижда, че „[н]астоящото решение влиза в сила в деня на приемането му“. </w:t>
      </w:r>
    </w:p>
    <w:p>
      <w:pPr>
        <w:rPr>
          <w:noProof/>
        </w:rPr>
      </w:pPr>
      <w:r>
        <w:rPr>
          <w:noProof/>
        </w:rPr>
        <w:t>Съгласно 15, параграф 3 от Конвенцията този вид решение се привежда в действие от договарящите страни в съответствие с националното законодателство.</w:t>
      </w:r>
    </w:p>
    <w:p>
      <w:pPr>
        <w:pStyle w:val="ManualHeading1"/>
        <w:rPr>
          <w:noProof/>
        </w:rPr>
      </w:pPr>
      <w:r>
        <w:rPr>
          <w:noProof/>
        </w:rPr>
        <w:t xml:space="preserve">3. </w:t>
      </w:r>
      <w:r>
        <w:rPr>
          <w:noProof/>
        </w:rPr>
        <w:tab/>
        <w:t>Позиция, която да бъде заета от името на Съюза</w:t>
      </w:r>
    </w:p>
    <w:p>
      <w:pPr>
        <w:rPr>
          <w:noProof/>
        </w:rPr>
      </w:pPr>
      <w:r>
        <w:rPr>
          <w:noProof/>
        </w:rPr>
        <w:t xml:space="preserve">Предложението изменя разпоредби в допълненията към Конвенцията и в приложенията към тези допълнения. С измененията се предлага привеждането на разпоредбите в Конвенцията в съответствие с разпоредбите в делегираните актове и актовете за изпълнение на МКС по отношение на разпоредбите за съюзния транзит и митническия статус на съюзни стоки, които ще станат приложими от конкретни дати в бъдеще. </w:t>
      </w:r>
    </w:p>
    <w:p>
      <w:pPr>
        <w:rPr>
          <w:noProof/>
        </w:rPr>
      </w:pPr>
      <w:r>
        <w:rPr>
          <w:noProof/>
        </w:rPr>
        <w:t>Целта е да се подобри функционирането на общия транзитен режим между договарящите страни. Измененията следва да доведат до съществени и осезаеми ползи за търговците и митническите администрации чрез подобряване на яснотата и гарантиране на плавен преход към новите електронни процедури.</w:t>
      </w:r>
    </w:p>
    <w:p>
      <w:pPr>
        <w:rPr>
          <w:rFonts w:eastAsia="Arial Unicode MS"/>
          <w:noProof/>
        </w:rPr>
      </w:pPr>
      <w:r>
        <w:rPr>
          <w:noProof/>
        </w:rPr>
        <w:t>Предлаган инструмент: Решение на Съвместния комитет ЕС—ЕАСТ за общ транзитен режим.</w:t>
      </w:r>
    </w:p>
    <w:p>
      <w:pPr>
        <w:rPr>
          <w:rFonts w:eastAsia="Arial Unicode MS"/>
          <w:noProof/>
        </w:rPr>
      </w:pPr>
      <w:r>
        <w:rPr>
          <w:noProof/>
        </w:rPr>
        <w:t>Няма друг по-подходящ вид нормативен акт.</w:t>
      </w:r>
    </w:p>
    <w:p>
      <w:pPr>
        <w:rPr>
          <w:rFonts w:eastAsia="Arial Unicode MS"/>
          <w:noProof/>
        </w:rPr>
      </w:pPr>
      <w:r>
        <w:rPr>
          <w:noProof/>
        </w:rPr>
        <w:t>Предложеното решение е съвместимо с общата политика в областта на търговията и транспорта.</w:t>
      </w:r>
    </w:p>
    <w:p>
      <w:pPr>
        <w:pStyle w:val="ManualHeading1"/>
        <w:rPr>
          <w:noProof/>
        </w:rPr>
      </w:pPr>
      <w:r>
        <w:rPr>
          <w:noProof/>
        </w:rPr>
        <w:t xml:space="preserve">4. </w:t>
      </w:r>
      <w:r>
        <w:rPr>
          <w:noProof/>
        </w:rPr>
        <w:tab/>
        <w:t xml:space="preserve">ПРАВНО ОСНОВАНИЕ  </w:t>
      </w:r>
    </w:p>
    <w:p>
      <w:pPr>
        <w:pStyle w:val="ManualHeading2"/>
        <w:rPr>
          <w:rFonts w:eastAsia="Arial Unicode MS"/>
          <w:noProof/>
          <w:u w:color="000000"/>
          <w:bdr w:val="nil"/>
        </w:rPr>
      </w:pPr>
      <w:r>
        <w:rPr>
          <w:noProof/>
        </w:rPr>
        <w:t>4.1. •</w:t>
      </w:r>
      <w:r>
        <w:rPr>
          <w:noProof/>
        </w:rPr>
        <w:tab/>
        <w:t>Процесуалноправно основание</w:t>
      </w:r>
    </w:p>
    <w:p>
      <w:pPr>
        <w:pStyle w:val="ManualHeading3"/>
        <w:rPr>
          <w:noProof/>
        </w:rPr>
      </w:pPr>
      <w:r>
        <w:rPr>
          <w:noProof/>
        </w:rPr>
        <w:t>4.1.1. 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b/>
          <w:noProof/>
        </w:rPr>
      </w:pPr>
      <w:r>
        <w:rPr>
          <w:noProof/>
        </w:rPr>
        <w:t xml:space="preserve">В член 15, параграф 3, буква а) от Конвенцията се предвижда, че Съвместният комитет ЕС—ЕАСТ приема чрез решения изменения на допълненията към Конвенцията. </w:t>
      </w:r>
    </w:p>
    <w:p>
      <w:pPr>
        <w:pStyle w:val="ManualHeading3"/>
        <w:rPr>
          <w:noProof/>
        </w:rPr>
      </w:pPr>
      <w:r>
        <w:rPr>
          <w:noProof/>
        </w:rPr>
        <w:t>4.1.2. Приложение в конкретния случай</w:t>
      </w:r>
    </w:p>
    <w:p>
      <w:pPr>
        <w:rPr>
          <w:noProof/>
        </w:rPr>
      </w:pPr>
      <w:r>
        <w:rPr>
          <w:noProof/>
        </w:rPr>
        <w:t>Съвместният комитет е създаден по силата на член 14 от Конвенцията.</w:t>
      </w:r>
    </w:p>
    <w:p>
      <w:pPr>
        <w:rPr>
          <w:noProof/>
        </w:rPr>
      </w:pPr>
      <w:r>
        <w:rPr>
          <w:noProof/>
        </w:rPr>
        <w:t>Решението, което Съвместният комитет има за задача да приеме, представлява акт с правно действие. То ще бъде обвързващо съгласно международното право в съответствие с член 20 от Конвенцията.</w:t>
      </w:r>
    </w:p>
    <w:p>
      <w:pPr>
        <w:rPr>
          <w:noProof/>
        </w:rPr>
      </w:pPr>
      <w:r>
        <w:rPr>
          <w:noProof/>
        </w:rPr>
        <w:t>Решението не допълва, нито изменя институционалната рамка на Конвенцията.</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 Материалноправно основание</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w:t>
      </w:r>
    </w:p>
    <w:p>
      <w:pPr>
        <w:rPr>
          <w:noProof/>
        </w:rPr>
      </w:pPr>
      <w:r>
        <w:rPr>
          <w:noProof/>
        </w:rPr>
        <w:t>Поради това материалноправно основание на предложеното решение е член 207 от ДФЕС.</w:t>
      </w:r>
    </w:p>
    <w:p>
      <w:pPr>
        <w:rPr>
          <w:noProof/>
        </w:rPr>
      </w:pPr>
      <w:r>
        <w:rPr>
          <w:noProof/>
        </w:rPr>
        <w:t>Опростяванията, постигнати чрез Конвенцията, и предвижданото изменение засягат ефикасността на процедурите за преминаване на границите и следователно общата търговска политика на ЕС.</w:t>
      </w:r>
    </w:p>
    <w:p>
      <w:pPr>
        <w:pStyle w:val="ManualHeading2"/>
        <w:rPr>
          <w:noProof/>
        </w:rPr>
      </w:pPr>
      <w:r>
        <w:rPr>
          <w:noProof/>
        </w:rPr>
        <w:t>4.3. Заключение</w:t>
      </w:r>
    </w:p>
    <w:p>
      <w:pPr>
        <w:rPr>
          <w:noProof/>
        </w:rPr>
      </w:pPr>
      <w:r>
        <w:rPr>
          <w:noProof/>
        </w:rPr>
        <w:t>Правното основание за предложеното решение следва да бъде член 207 от ДФЕС във връзка с член 218, параграф 9 от ДФЕС.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2017/0267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Конвенцията от 20 май 1987 г. за общ транзитен режим, по отношение на измененията на посочената Конвенция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Конвенцията за общ транзитен режим („Конвенцията“) беше сключена от Европейския съюз по силата на Решение на Съвета</w:t>
      </w:r>
      <w:r>
        <w:rPr>
          <w:rStyle w:val="FootnoteReference"/>
          <w:noProof/>
        </w:rPr>
        <w:footnoteReference w:id="2"/>
      </w:r>
      <w:r>
        <w:rPr>
          <w:noProof/>
        </w:rPr>
        <w:t xml:space="preserve"> и влезе в сила на 1 януари 1988 г.</w:t>
      </w:r>
    </w:p>
    <w:p>
      <w:pPr>
        <w:pStyle w:val="ManualConsidrant"/>
        <w:rPr>
          <w:noProof/>
        </w:rPr>
      </w:pPr>
      <w:r>
        <w:t>(2)</w:t>
      </w:r>
      <w:r>
        <w:tab/>
      </w:r>
      <w:r>
        <w:rPr>
          <w:noProof/>
        </w:rPr>
        <w:t>В съответствие с член 15, параграф 3, буква а) от Конвенцията Съвместният комитет ЕС—ЕАСТ за общ транзитен режим, създаден по силата на Конвенцията („Съвместният комитет“), може да приема с решение изменения на допълненията към Конвенцията.</w:t>
      </w:r>
    </w:p>
    <w:p>
      <w:pPr>
        <w:pStyle w:val="ManualConsidrant"/>
        <w:rPr>
          <w:noProof/>
        </w:rPr>
      </w:pPr>
      <w:r>
        <w:t>(3)</w:t>
      </w:r>
      <w:r>
        <w:tab/>
      </w:r>
      <w:r>
        <w:rPr>
          <w:noProof/>
        </w:rPr>
        <w:t>Очаква се по време на своето 30-то заседание на 5 декември 2017 г. Съвместният комитет да приеме решение за изменение на допълненията към Конвенцията.</w:t>
      </w:r>
    </w:p>
    <w:p>
      <w:pPr>
        <w:pStyle w:val="ManualConsidrant"/>
        <w:rPr>
          <w:noProof/>
        </w:rPr>
      </w:pPr>
      <w:r>
        <w:t>(4)</w:t>
      </w:r>
      <w:r>
        <w:tab/>
      </w:r>
      <w:r>
        <w:rPr>
          <w:noProof/>
        </w:rPr>
        <w:t>Целесъобразно е да се установи позицията, която трябва да се заеме от името на Съюза в рамките на Съвместния комитет, тъй като неговото решение ще бъде обвързващо за Съюза.</w:t>
      </w:r>
    </w:p>
    <w:p>
      <w:pPr>
        <w:pStyle w:val="ManualConsidrant"/>
        <w:rPr>
          <w:noProof/>
        </w:rPr>
      </w:pPr>
      <w:r>
        <w:t>(5)</w:t>
      </w:r>
      <w:r>
        <w:tab/>
      </w:r>
      <w:r>
        <w:rPr>
          <w:noProof/>
        </w:rPr>
        <w:t>С Регламент (ЕС) № 952/2013 на Европейския парламент и на Съвета за създаване на Митнически кодекс на Съюза</w:t>
      </w:r>
      <w:r>
        <w:rPr>
          <w:rStyle w:val="FootnoteReference"/>
          <w:noProof/>
        </w:rPr>
        <w:footnoteReference w:id="3"/>
      </w:r>
      <w:r>
        <w:rPr>
          <w:noProof/>
        </w:rPr>
        <w:t xml:space="preserve"> и неговите делегирани актове и актовете за изпълнение беше въведена възможността да се използва електронен транспортен документ (ETД) като декларация за транзит при въздушен транспорт. Тези разпоредби ще се прилагат изцяло най-късно от 1 май 2018 г. Освен това, някои разпоредби относно транзита и митническия статус на съюзни стоки ще започнат да се прилагат едва след подобряването или въвеждането на съответните електронни системи, считано от датите, посочени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w:t>
      </w:r>
      <w:r>
        <w:rPr>
          <w:rStyle w:val="FootnoteReference"/>
          <w:noProof/>
        </w:rPr>
        <w:footnoteReference w:id="4"/>
      </w:r>
      <w:r>
        <w:rPr>
          <w:noProof/>
        </w:rPr>
        <w:t xml:space="preserve">. </w:t>
      </w:r>
    </w:p>
    <w:p>
      <w:pPr>
        <w:pStyle w:val="ManualConsidrant"/>
        <w:rPr>
          <w:noProof/>
        </w:rPr>
      </w:pPr>
      <w:r>
        <w:t>(6)</w:t>
      </w:r>
      <w:r>
        <w:tab/>
      </w:r>
      <w:r>
        <w:rPr>
          <w:noProof/>
        </w:rPr>
        <w:t>За да се осигури гладко и ефикасно функциониране на търговията между Съюза и договарящите страни по Конвенцията, разпоредбите относно използването на ETД като транзитна декларация и за прилагането на съответните електронни системи следва да бъдат включени в допълненията към Конвенцията. Тези изменения са необходими за по-нататъшното привеждане на Конвенцията в съответствие със законодателството на Съюза.</w:t>
      </w:r>
    </w:p>
    <w:p>
      <w:pPr>
        <w:pStyle w:val="ManualConsidrant"/>
        <w:rPr>
          <w:noProof/>
        </w:rPr>
      </w:pPr>
      <w:r>
        <w:t>(7)</w:t>
      </w:r>
      <w:r>
        <w:tab/>
      </w:r>
      <w:r>
        <w:rPr>
          <w:noProof/>
        </w:rPr>
        <w:t xml:space="preserve">Всички държави — членки на Европейския съюз, изразиха своето положително становище относно предложените изменения в работната група на ЕС—ЕАСТ по общия транзитен режим. </w:t>
      </w:r>
    </w:p>
    <w:p>
      <w:pPr>
        <w:pStyle w:val="ManualConsidrant"/>
        <w:rPr>
          <w:noProof/>
        </w:rPr>
      </w:pPr>
      <w:r>
        <w:t>(8)</w:t>
      </w:r>
      <w:r>
        <w:tab/>
      </w:r>
      <w:r>
        <w:rPr>
          <w:noProof/>
        </w:rPr>
        <w:t>Тъй като решението на Съвместния съвет ще измени Конвенцията, е целесъобразно след приемането му то да бъде публикувано в Официален вестник на Европейския съюз.</w:t>
      </w:r>
    </w:p>
    <w:p>
      <w:pPr>
        <w:pStyle w:val="ManualConsidrant"/>
        <w:rPr>
          <w:noProof/>
        </w:rPr>
      </w:pPr>
      <w:r>
        <w:t>(9)</w:t>
      </w:r>
      <w:r>
        <w:tab/>
      </w:r>
      <w:r>
        <w:rPr>
          <w:noProof/>
        </w:rPr>
        <w:t>В рамките на Съвместния съвет Съюзът се представлява от Комисията в съответствие с член 17, параграф 1 от Договора за Европейския съюз (ДФЕС). Поради това позицията на Съюза по отношение на предложените изменения следва да се основава на приложения проект на решение,</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по време на заседанието на Съвместния комитет ЕС—ЕАСТ за общ транзитен режим (наричан по-нататък „Съвместният комитет“) по отношение на измененията на допълненията към тази Конвенция, се определя в проекта на Решение № 1/2017 на Съвместния комитет ЕС—ЕАСТ за общ транзит, приложен към настоящото решение.</w:t>
      </w:r>
    </w:p>
    <w:p>
      <w:pPr>
        <w:rPr>
          <w:noProof/>
        </w:rPr>
      </w:pPr>
      <w:r>
        <w:rPr>
          <w:noProof/>
        </w:rPr>
        <w:t>Представителите на Съюза в Съвместния комитет могат да приемат незначителни промени в проекта на решение, без да е необходимо допълнително решение на Съвета.</w:t>
      </w:r>
    </w:p>
    <w:p>
      <w:pPr>
        <w:pStyle w:val="Titrearticle"/>
        <w:rPr>
          <w:noProof/>
        </w:rPr>
      </w:pPr>
      <w:r>
        <w:rPr>
          <w:noProof/>
        </w:rPr>
        <w:t>Член 2</w:t>
      </w:r>
    </w:p>
    <w:p>
      <w:pPr>
        <w:rPr>
          <w:i/>
          <w:noProof/>
        </w:rPr>
      </w:pPr>
      <w:r>
        <w:rPr>
          <w:noProof/>
        </w:rPr>
        <w:t xml:space="preserve">След като бъде прието, решението на Съвместния комитет се публикува в </w:t>
      </w:r>
      <w:r>
        <w:rPr>
          <w:i/>
          <w:noProof/>
        </w:rPr>
        <w:t>Официален вестник на Европейския съюз</w:t>
      </w:r>
      <w:r>
        <w:rPr>
          <w:noProof/>
        </w:rPr>
        <w:t>.</w:t>
      </w:r>
    </w:p>
    <w:p>
      <w:pPr>
        <w:pStyle w:val="Titrearticle"/>
        <w:rPr>
          <w:noProof/>
        </w:rPr>
      </w:pPr>
      <w:r>
        <w:rPr>
          <w:noProof/>
        </w:rPr>
        <w:t>Член 3</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142, 31.5.2016 г., стp. 25</w:t>
      </w:r>
    </w:p>
  </w:footnote>
  <w:footnote w:id="2">
    <w:p>
      <w:pPr>
        <w:pStyle w:val="FootnoteText"/>
      </w:pPr>
      <w:r>
        <w:rPr>
          <w:rStyle w:val="FootnoteReference"/>
        </w:rPr>
        <w:footnoteRef/>
      </w:r>
      <w:r>
        <w:tab/>
        <w:t>ОВ L 226, 13.8.1987 г., стр. 2.</w:t>
      </w:r>
    </w:p>
  </w:footnote>
  <w:footnote w:id="3">
    <w:p>
      <w:pPr>
        <w:pStyle w:val="FootnoteText"/>
      </w:pPr>
      <w:r>
        <w:rPr>
          <w:rStyle w:val="FootnoteReference"/>
        </w:rPr>
        <w:footnoteRef/>
      </w:r>
      <w:r>
        <w:tab/>
        <w:t>ОВ L 269, 10.10.2013 г., стр. 1.</w:t>
      </w:r>
    </w:p>
  </w:footnote>
  <w:footnote w:id="4">
    <w:p>
      <w:pPr>
        <w:pStyle w:val="FootnoteText"/>
      </w:pPr>
      <w:r>
        <w:rPr>
          <w:rStyle w:val="FootnoteReference"/>
        </w:rPr>
        <w:footnoteRef/>
      </w:r>
      <w:r>
        <w:tab/>
        <w:t>ОВ L 99, 15.4.2016 г., стр.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8424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50CD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0418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76F6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649B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2CAA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C808E4"/>
    <w:lvl w:ilvl="0">
      <w:start w:val="1"/>
      <w:numFmt w:val="decimal"/>
      <w:pStyle w:val="ListNumber"/>
      <w:lvlText w:val="%1."/>
      <w:lvlJc w:val="left"/>
      <w:pPr>
        <w:tabs>
          <w:tab w:val="num" w:pos="360"/>
        </w:tabs>
        <w:ind w:left="360" w:hanging="360"/>
      </w:pPr>
    </w:lvl>
  </w:abstractNum>
  <w:abstractNum w:abstractNumId="7">
    <w:nsid w:val="FFFFFF89"/>
    <w:multiLevelType w:val="singleLevel"/>
    <w:tmpl w:val="5C8C05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20 10:17: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994027E-4FA9-4FE7-A81B-EDCDD763BBAF"/>
    <w:docVar w:name="LW_COVERPAGE_TYPE" w:val="1"/>
    <w:docVar w:name="LW_CROSSREFERENCE" w:val="&lt;UNUSED&gt;"/>
    <w:docVar w:name="LW_DocType" w:val="COM"/>
    <w:docVar w:name="LW_EMISSION" w:val="20.10.2017"/>
    <w:docVar w:name="LW_EMISSION_ISODATE" w:val="2017-10-2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7"/>
    <w:docVar w:name="LW_REF.II.NEW.CP_YEAR" w:val="2017"/>
    <w:docVar w:name="LW_REF.INST.NEW" w:val="COM"/>
    <w:docVar w:name="LW_REF.INST.NEW_ADOPTED" w:val="final"/>
    <w:docVar w:name="LW_REF.INST.NEW_TEXT" w:val="(2017) 6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0?\u1086?\u1085?\u1074?\u1077?\u1085?\u1094?\u1080?\u1103?\u1090?\u1072? \u1086?\u1090? 20 \u1084?\u1072?\u1081? 1987 \u1075?. \u1079?\u1072? \u1086?\u1073?\u1097? \u1090?\u1088?\u1072?\u1085?\u1079?\u1080?\u1090?\u1077?\u1085? \u1088?\u1077?\u1078?\u1080?\u1084?, \u1087?\u1086? \u1086?\u1090?\u1085?\u1086?\u1096?\u1077?\u1085?\u1080?\u1077? \u1085?\u1072? \u1080?\u1079?\u1084?\u1077?\u1085?\u1077?\u1085?\u1080?\u1103?\u1090?\u1072? \u1085?\u1072? \u1087?\u1086?\u1089?\u1086?\u1095?\u1077?\u1085?\u1072?\u1090?\u1072? \u1050?\u1086?\u1085?\u1074?\u1077?\u1085?\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71B9-56A7-4817-AC11-62E18F82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1587</Words>
  <Characters>8893</Characters>
  <Application>Microsoft Office Word</Application>
  <DocSecurity>0</DocSecurity>
  <Lines>174</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2017-10-19T10:37:00Z</dcterms:created>
  <dcterms:modified xsi:type="dcterms:W3CDTF">2017-10-20T08:17:00Z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DQCStatus">
    <vt:lpwstr>Green (DQC version 03)</vt:lpwstr>
  </property>
  <property fmtid="{D5CDD505-2E9C-101B-9397-08002B2CF9AE}" pid="10" name="Level of sensitivity">
    <vt:lpwstr>Standard treatment</vt:lpwstr>
  </property>
</Properties>
</file>