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BD4B605152543A7956281440E9415B0" style="width:450.75pt;height:321.3pt">
            <v:imagedata r:id="rId12" o:title=""/>
          </v:shape>
        </w:pict>
      </w:r>
    </w:p>
    <w:bookmarkEnd w:id="0"/>
    <w:p>
      <w:pPr>
        <w:pStyle w:val="Pagedecouverture"/>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60"/>
        </w:sectPr>
      </w:pPr>
    </w:p>
    <w:p>
      <w:pPr>
        <w:pStyle w:val="Heading1"/>
        <w:rPr>
          <w:noProof/>
        </w:rPr>
      </w:pPr>
      <w:bookmarkStart w:id="1" w:name="_GoBack"/>
      <w:bookmarkEnd w:id="1"/>
      <w:r>
        <w:rPr>
          <w:noProof/>
        </w:rPr>
        <w:lastRenderedPageBreak/>
        <w:t>1.</w:t>
      </w:r>
      <w:r>
        <w:rPr>
          <w:noProof/>
        </w:rPr>
        <w:tab/>
        <w:t>ВЪВЕДЕНИЕ</w:t>
      </w:r>
    </w:p>
    <w:p>
      <w:pPr>
        <w:jc w:val="both"/>
        <w:rPr>
          <w:rFonts w:ascii="Times New Roman" w:hAnsi="Times New Roman" w:cs="Times New Roman"/>
          <w:noProof/>
          <w:sz w:val="24"/>
          <w:szCs w:val="24"/>
        </w:rPr>
      </w:pPr>
      <w:r>
        <w:rPr>
          <w:rFonts w:ascii="Times New Roman" w:hAnsi="Times New Roman"/>
          <w:noProof/>
          <w:sz w:val="24"/>
        </w:rPr>
        <w:t>Във връзка с шестдесетата годишнина от подписването на Договора от Рим лидерите на ЕС, Европейският парламент и Европейската комисия приеха Римската програма и се ангажираха да работят за безопасна, сигурна, просперираща, устойчива, социална и по-силна Европа на глобалната сцена. Европейските програми за спътникова навигация EGNOS и „Галилео“ допринасят за тази програма.</w:t>
      </w:r>
    </w:p>
    <w:p>
      <w:pPr>
        <w:jc w:val="both"/>
        <w:rPr>
          <w:rFonts w:ascii="Times New Roman" w:hAnsi="Times New Roman" w:cs="Times New Roman"/>
          <w:noProof/>
          <w:sz w:val="24"/>
          <w:szCs w:val="24"/>
        </w:rPr>
      </w:pPr>
      <w:r>
        <w:rPr>
          <w:rFonts w:ascii="Times New Roman" w:hAnsi="Times New Roman"/>
          <w:noProof/>
          <w:sz w:val="24"/>
        </w:rPr>
        <w:t>В съответствие с космическата стратегия на Съюза</w:t>
      </w:r>
      <w:r>
        <w:rPr>
          <w:rStyle w:val="FootnoteReference"/>
          <w:rFonts w:ascii="Times New Roman" w:hAnsi="Times New Roman"/>
          <w:noProof/>
          <w:sz w:val="24"/>
        </w:rPr>
        <w:footnoteReference w:id="2"/>
      </w:r>
      <w:r>
        <w:rPr>
          <w:rFonts w:ascii="Times New Roman" w:hAnsi="Times New Roman"/>
          <w:noProof/>
          <w:sz w:val="24"/>
        </w:rPr>
        <w:t xml:space="preserve"> и целите на Регламента</w:t>
      </w:r>
      <w:r>
        <w:rPr>
          <w:rStyle w:val="FootnoteReference"/>
          <w:rFonts w:ascii="Times New Roman" w:hAnsi="Times New Roman"/>
          <w:noProof/>
          <w:sz w:val="24"/>
        </w:rPr>
        <w:footnoteReference w:id="3"/>
      </w:r>
      <w:r>
        <w:rPr>
          <w:rFonts w:ascii="Times New Roman" w:hAnsi="Times New Roman"/>
          <w:noProof/>
          <w:sz w:val="24"/>
        </w:rPr>
        <w:t xml:space="preserve"> за ГНСС</w:t>
      </w:r>
      <w:r>
        <w:rPr>
          <w:rStyle w:val="FootnoteReference"/>
          <w:rFonts w:ascii="Times New Roman" w:hAnsi="Times New Roman"/>
          <w:noProof/>
          <w:sz w:val="24"/>
        </w:rPr>
        <w:footnoteReference w:id="4"/>
      </w:r>
      <w:r>
        <w:rPr>
          <w:rFonts w:ascii="Times New Roman" w:hAnsi="Times New Roman"/>
          <w:noProof/>
          <w:sz w:val="24"/>
        </w:rPr>
        <w:t xml:space="preserve"> програмите „Галилео“ и EGNOS са насочени към:</w:t>
      </w:r>
    </w:p>
    <w:p>
      <w:pPr>
        <w:pStyle w:val="ListParagraph"/>
        <w:numPr>
          <w:ilvl w:val="0"/>
          <w:numId w:val="20"/>
        </w:numPr>
        <w:jc w:val="both"/>
        <w:rPr>
          <w:rFonts w:ascii="Times New Roman" w:hAnsi="Times New Roman" w:cs="Times New Roman"/>
          <w:noProof/>
          <w:sz w:val="24"/>
          <w:szCs w:val="24"/>
        </w:rPr>
      </w:pPr>
      <w:r>
        <w:rPr>
          <w:rFonts w:ascii="Times New Roman" w:hAnsi="Times New Roman"/>
          <w:noProof/>
          <w:sz w:val="24"/>
        </w:rPr>
        <w:t>максимално интегриране на темата за космическото пространство в европейското общество и икономика чрез увеличаване на използването на навигационни спътникови технологии и приложения в подкрепа на публичните политики;</w:t>
      </w:r>
    </w:p>
    <w:p>
      <w:pPr>
        <w:pStyle w:val="ListParagraph"/>
        <w:numPr>
          <w:ilvl w:val="0"/>
          <w:numId w:val="20"/>
        </w:numPr>
        <w:jc w:val="both"/>
        <w:rPr>
          <w:rFonts w:ascii="Times New Roman" w:hAnsi="Times New Roman" w:cs="Times New Roman"/>
          <w:noProof/>
          <w:sz w:val="24"/>
          <w:szCs w:val="24"/>
        </w:rPr>
      </w:pPr>
      <w:r>
        <w:rPr>
          <w:rFonts w:ascii="Times New Roman" w:hAnsi="Times New Roman"/>
          <w:noProof/>
          <w:sz w:val="24"/>
        </w:rPr>
        <w:t>насърчаване на конкурентен в глобален мащаб европейски космически сектор чрез подкрепа на научните изследвания, иновациите, предприемачеството за растеж и работни места във всички държави членки;</w:t>
      </w:r>
    </w:p>
    <w:p>
      <w:pPr>
        <w:pStyle w:val="ListParagraph"/>
        <w:numPr>
          <w:ilvl w:val="0"/>
          <w:numId w:val="20"/>
        </w:numPr>
        <w:jc w:val="both"/>
        <w:rPr>
          <w:rFonts w:ascii="Times New Roman" w:hAnsi="Times New Roman" w:cs="Times New Roman"/>
          <w:noProof/>
          <w:sz w:val="24"/>
          <w:szCs w:val="24"/>
        </w:rPr>
      </w:pPr>
      <w:r>
        <w:rPr>
          <w:rFonts w:ascii="Times New Roman" w:hAnsi="Times New Roman"/>
          <w:noProof/>
          <w:sz w:val="24"/>
        </w:rPr>
        <w:t>засилване на взаимодействието между гражданските дейности и дейностите по безопасността в сферата на навигацията и осигуряване на европейска автономност;</w:t>
      </w:r>
    </w:p>
    <w:p>
      <w:pPr>
        <w:pStyle w:val="ListParagraph"/>
        <w:numPr>
          <w:ilvl w:val="0"/>
          <w:numId w:val="20"/>
        </w:numPr>
        <w:jc w:val="both"/>
        <w:rPr>
          <w:rFonts w:ascii="Times New Roman" w:hAnsi="Times New Roman" w:cs="Times New Roman"/>
          <w:noProof/>
          <w:sz w:val="24"/>
          <w:szCs w:val="24"/>
        </w:rPr>
      </w:pPr>
      <w:r>
        <w:rPr>
          <w:rFonts w:ascii="Times New Roman" w:hAnsi="Times New Roman"/>
          <w:noProof/>
          <w:sz w:val="24"/>
        </w:rPr>
        <w:t>насърчаване на ролята на Съюза в световен план и създаване на нови възможности за бизнес за европейската спътниковата навигация.</w:t>
      </w:r>
    </w:p>
    <w:p>
      <w:pPr>
        <w:jc w:val="both"/>
        <w:rPr>
          <w:noProof/>
        </w:rPr>
      </w:pPr>
      <w:r>
        <w:rPr>
          <w:rFonts w:ascii="Times New Roman" w:hAnsi="Times New Roman"/>
          <w:noProof/>
          <w:sz w:val="24"/>
        </w:rPr>
        <w:t>Настоящият доклад представя междинната оценка на европейските програми за спътникова навигация — „Галилео“ и EGNOS, и оценката на Европейската агенция за ГНСС (GSA) съгласно изискванията на член 34 от Регламент (ЕС) № 1285/2013 за изграждане и експлоатация на европейските навигационни спътникови системи („Регламент за ГНСС“)</w:t>
      </w:r>
      <w:r>
        <w:rPr>
          <w:rFonts w:ascii="Times New Roman" w:hAnsi="Times New Roman"/>
          <w:noProof/>
          <w:sz w:val="24"/>
          <w:vertAlign w:val="superscript"/>
        </w:rPr>
        <w:footnoteReference w:id="5"/>
      </w:r>
      <w:r>
        <w:rPr>
          <w:rFonts w:ascii="Times New Roman" w:hAnsi="Times New Roman"/>
          <w:noProof/>
          <w:sz w:val="24"/>
        </w:rPr>
        <w:t xml:space="preserve"> и член 26 от Регламент (ЕС) № 912/2010 за създаване на Европейската агенция за ГНСС („Регламент за GSA“)</w:t>
      </w:r>
      <w:r>
        <w:rPr>
          <w:rFonts w:ascii="Times New Roman" w:hAnsi="Times New Roman"/>
          <w:noProof/>
          <w:sz w:val="24"/>
          <w:vertAlign w:val="superscript"/>
        </w:rPr>
        <w:footnoteReference w:id="6"/>
      </w:r>
      <w:r>
        <w:rPr>
          <w:rFonts w:ascii="Times New Roman" w:hAnsi="Times New Roman"/>
          <w:noProof/>
          <w:sz w:val="24"/>
        </w:rPr>
        <w:t>. Докладът е придружен от работен документ на службите на Комисията, описващ подробно оценката, основаваща се на факти.</w:t>
      </w:r>
      <w:r>
        <w:rPr>
          <w:noProof/>
        </w:rPr>
        <w:t xml:space="preserve"> </w:t>
      </w:r>
    </w:p>
    <w:p>
      <w:pPr>
        <w:jc w:val="both"/>
        <w:rPr>
          <w:rFonts w:ascii="Times New Roman" w:hAnsi="Times New Roman" w:cs="Times New Roman"/>
          <w:noProof/>
          <w:sz w:val="24"/>
          <w:szCs w:val="24"/>
        </w:rPr>
      </w:pPr>
      <w:r>
        <w:rPr>
          <w:rFonts w:ascii="Times New Roman" w:hAnsi="Times New Roman"/>
          <w:noProof/>
          <w:sz w:val="24"/>
        </w:rPr>
        <w:t>Във фокуса на междинната оценка е периодът от 1 януари 2014 г. до 31 декември 2016 г. Тя анализира напредъка, отбелязан от европейските програми за ГНСС „Галилео“ и EGNOS спрямо критериите за оценка, установени в Насоките за по-добро регулиране</w:t>
      </w:r>
      <w:r>
        <w:rPr>
          <w:rFonts w:ascii="Times New Roman" w:hAnsi="Times New Roman"/>
          <w:noProof/>
          <w:sz w:val="24"/>
          <w:vertAlign w:val="superscript"/>
        </w:rPr>
        <w:footnoteReference w:id="7"/>
      </w:r>
      <w:r>
        <w:rPr>
          <w:rFonts w:ascii="Times New Roman" w:hAnsi="Times New Roman"/>
          <w:noProof/>
          <w:sz w:val="24"/>
        </w:rPr>
        <w:t>: ефективност, ефикасност, значение, съгласуваност и добавена стойност за ЕС, специфичните изисквания, заложени в Регламента за ГНСС, и общите политически цели на Съюза. Тъй като по силата на Регламента за ГНСС на GSA е възложена ключова роля за изпълнението на европейските програми за спътникова навигация, Комисията счете за уместно да извърши оценка на GSA заедно с оценката на програмите.</w:t>
      </w:r>
    </w:p>
    <w:p>
      <w:pPr>
        <w:pStyle w:val="Heading1"/>
        <w:rPr>
          <w:noProof/>
        </w:rPr>
      </w:pPr>
      <w:r>
        <w:rPr>
          <w:noProof/>
        </w:rPr>
        <w:t>2.</w:t>
      </w:r>
      <w:r>
        <w:rPr>
          <w:noProof/>
        </w:rPr>
        <w:tab/>
        <w:t>ОСНОВНИ КОНСТАТАЦИИ ОТНОСНО ИЗПЪЛНЕНИЕТО НА ЕВРОПЕЙСКИТЕ ПРОГРАМИ ЗА ГНСС</w:t>
      </w:r>
    </w:p>
    <w:p>
      <w:pPr>
        <w:pStyle w:val="Heading1"/>
        <w:rPr>
          <w:noProof/>
        </w:rPr>
      </w:pPr>
      <w:r>
        <w:rPr>
          <w:noProof/>
        </w:rPr>
        <w:t>2.1.</w:t>
      </w:r>
      <w:r>
        <w:rPr>
          <w:noProof/>
        </w:rPr>
        <w:tab/>
        <w:t>Значение на програмите „Галилео“ и EGNOS</w:t>
      </w:r>
    </w:p>
    <w:p>
      <w:pPr>
        <w:spacing w:after="240"/>
        <w:jc w:val="both"/>
        <w:rPr>
          <w:rFonts w:ascii="Times New Roman" w:eastAsia="Times New Roman" w:hAnsi="Times New Roman" w:cs="Times New Roman"/>
          <w:noProof/>
          <w:sz w:val="24"/>
          <w:szCs w:val="24"/>
        </w:rPr>
      </w:pPr>
      <w:r>
        <w:rPr>
          <w:rFonts w:ascii="Times New Roman" w:hAnsi="Times New Roman"/>
          <w:noProof/>
          <w:sz w:val="24"/>
        </w:rPr>
        <w:t>Европейските системи за спътникова навигация — „Галилео“ и EGNOS, собственост на Европейския съюз, са от основно значение както за икономиката, така и за сигурността на Европа. Сигналите за определяне на местоположението и времето, предоставяни от системите за спътникова навигация, се използват в редица основни области на европейската икономика, като например мрежите за мобилна телефония, автомобилната навигация, управлението на трафика, синхронизирането на електропреносната мрежа или електронната търговия. Установено е, че почти 11 % от икономиката на ЕС е зависима от услугите на спътниковата навигация</w:t>
      </w:r>
      <w:r>
        <w:rPr>
          <w:rStyle w:val="FootnoteReference"/>
          <w:rFonts w:ascii="Times New Roman" w:hAnsi="Times New Roman"/>
          <w:noProof/>
          <w:sz w:val="24"/>
        </w:rPr>
        <w:footnoteReference w:id="8"/>
      </w:r>
      <w:r>
        <w:rPr>
          <w:rFonts w:ascii="Times New Roman" w:hAnsi="Times New Roman"/>
          <w:noProof/>
          <w:sz w:val="24"/>
        </w:rPr>
        <w:t>. Ето защо ЕС категорично трябва да поддържа и изпълнява независими програми за спътникова навигация, за да обезпечи наличието на тези приложения и услуги, осигурявайки глобално покритие, включително в околополярната област. В допълнение към това космическият капацитет е от стратегическо значение за целите на политиката по граждански и търговски въпроси и в областта на сигурността и отбраната. В този смисъл Европа трябва да гарантира автономен, сигурен и разходоефективен достъп до космическото пространство.</w:t>
      </w:r>
    </w:p>
    <w:p>
      <w:pPr>
        <w:pStyle w:val="Heading1"/>
        <w:rPr>
          <w:noProof/>
        </w:rPr>
      </w:pPr>
      <w:r>
        <w:rPr>
          <w:noProof/>
        </w:rPr>
        <w:t>2.2.</w:t>
      </w:r>
      <w:r>
        <w:rPr>
          <w:noProof/>
        </w:rPr>
        <w:tab/>
        <w:t>Постигане на ключовите цели</w:t>
      </w:r>
    </w:p>
    <w:p>
      <w:pPr>
        <w:pStyle w:val="Heading2"/>
        <w:rPr>
          <w:noProof/>
        </w:rPr>
      </w:pPr>
      <w:r>
        <w:rPr>
          <w:noProof/>
        </w:rPr>
        <w:t>2.2.1.</w:t>
      </w:r>
      <w:r>
        <w:rPr>
          <w:noProof/>
        </w:rPr>
        <w:tab/>
        <w:t>Навлизане на пазара</w:t>
      </w:r>
    </w:p>
    <w:p>
      <w:pPr>
        <w:jc w:val="both"/>
        <w:rPr>
          <w:rFonts w:ascii="Times New Roman" w:hAnsi="Times New Roman"/>
          <w:bCs/>
          <w:noProof/>
          <w:sz w:val="24"/>
        </w:rPr>
      </w:pPr>
      <w:r>
        <w:rPr>
          <w:rFonts w:ascii="Times New Roman" w:hAnsi="Times New Roman"/>
          <w:noProof/>
          <w:sz w:val="24"/>
        </w:rPr>
        <w:t>В рамките на периода на оценяване програмите „Галилео“ и EGNOS постигнаха добър напредък при навлизането на пазара. Европейската промишленост за ГНСС отбеляза растеж и през 2015 г. заема 25 % от глобалния пазар за ГНСС</w:t>
      </w:r>
      <w:r>
        <w:rPr>
          <w:rFonts w:ascii="Times New Roman" w:hAnsi="Times New Roman"/>
          <w:noProof/>
          <w:sz w:val="24"/>
          <w:vertAlign w:val="superscript"/>
        </w:rPr>
        <w:footnoteReference w:id="9"/>
      </w:r>
      <w:r>
        <w:rPr>
          <w:rFonts w:ascii="Times New Roman" w:hAnsi="Times New Roman"/>
          <w:noProof/>
          <w:sz w:val="24"/>
        </w:rPr>
        <w:t>. Производителите в пазарните сегменти на автомобилния и морския транспорт са представени предимно от европейски производители. Интеграторите в пазарните сегменти на морския транспорт, селското стопанство и наблюдението са представени предимно от европейски системни интегратори.</w:t>
      </w:r>
    </w:p>
    <w:p>
      <w:pPr>
        <w:jc w:val="both"/>
        <w:rPr>
          <w:rFonts w:ascii="Times New Roman" w:hAnsi="Times New Roman"/>
          <w:bCs/>
          <w:noProof/>
          <w:sz w:val="24"/>
        </w:rPr>
      </w:pPr>
      <w:r>
        <w:rPr>
          <w:rFonts w:ascii="Times New Roman" w:hAnsi="Times New Roman"/>
          <w:noProof/>
          <w:sz w:val="24"/>
        </w:rPr>
        <w:t>Европа отбелязва отлични резултати по отношение на разработването на приложения с добавена стойност благодарение на няколко големи предприятия и множество иновативни МСП и стартиращи предприятия</w:t>
      </w:r>
      <w:r>
        <w:rPr>
          <w:rStyle w:val="FootnoteReference"/>
          <w:rFonts w:ascii="Times New Roman" w:hAnsi="Times New Roman"/>
          <w:noProof/>
          <w:sz w:val="24"/>
        </w:rPr>
        <w:footnoteReference w:id="10"/>
      </w:r>
      <w:r>
        <w:rPr>
          <w:rFonts w:ascii="Times New Roman" w:hAnsi="Times New Roman"/>
          <w:noProof/>
          <w:sz w:val="24"/>
        </w:rPr>
        <w:t>.</w:t>
      </w:r>
    </w:p>
    <w:p>
      <w:pPr>
        <w:jc w:val="both"/>
        <w:rPr>
          <w:rFonts w:ascii="Times New Roman" w:hAnsi="Times New Roman"/>
          <w:bCs/>
          <w:noProof/>
          <w:sz w:val="24"/>
        </w:rPr>
      </w:pPr>
      <w:r>
        <w:rPr>
          <w:rFonts w:ascii="Times New Roman" w:hAnsi="Times New Roman"/>
          <w:noProof/>
          <w:sz w:val="24"/>
        </w:rPr>
        <w:t>Разработването на програмата „Галилео“ вече донесе значителни ползи в Европа, като например разработването на услуги. По този начин след обявяването на началните услуги по програмата „Галилео“ производителите на чипсетове и приемници получиха възможността да започнат да се възползват от по-добри ГНСС сигнали, особено по отношение на смартфоните и системите за автомобилна навигация. По-голямата част от новите навигационни чипсетове включват обработката на сигнали от „Галилео“ и постепенно биват интегрирани в приемниците на ползвателите в различни пазарни сегменти. Всички нови продукти на двамата най-големи производители на смартфони включват чипсетове, които са съвместими с „Галилео“, което е реален показател за успеха ѝ. Регулаторните мерки, предприети от ЕС в автомобилния сектор (eCall и „Цифров тахограф“), стимулират въвеждането на решения, интегриращи базирани върху ГНСС технологии, като същевременно с това се постига съвместимост с „Галилео“ и EGNOS. Следва да се отбележи, че „Галилео“ се конкурира с други ГНСС, подкрепяни от регулаторни мерки за налагане или насърчаване на използването на тези системи.</w:t>
      </w:r>
    </w:p>
    <w:p>
      <w:pPr>
        <w:jc w:val="both"/>
        <w:rPr>
          <w:rFonts w:ascii="Times New Roman" w:hAnsi="Times New Roman" w:cs="Times New Roman"/>
          <w:noProof/>
          <w:sz w:val="24"/>
        </w:rPr>
      </w:pPr>
      <w:r>
        <w:rPr>
          <w:rFonts w:ascii="Times New Roman" w:hAnsi="Times New Roman"/>
          <w:noProof/>
          <w:sz w:val="24"/>
        </w:rPr>
        <w:t>Що се отнася до EGNOS, вече са постигнати значителни социално-икономически ползи, особено в три промишлени области с най-голямо пазарно проникване: въздухоплаване, селско стопанство и наблюдение. В други сектори, като например на морския и железопътния транспорт, GSA въвежда пътни карти за пазарно проникване. Въпреки това поради по-бавното въвеждане на нови технологии и наличието на алтернативни наземни технологии в тези сектори навлизането на пазара е по-бавно.</w:t>
      </w:r>
    </w:p>
    <w:p>
      <w:pPr>
        <w:pStyle w:val="Heading2"/>
        <w:rPr>
          <w:noProof/>
        </w:rPr>
      </w:pPr>
      <w:r>
        <w:rPr>
          <w:noProof/>
        </w:rPr>
        <w:t>2.2.2.</w:t>
      </w:r>
      <w:r>
        <w:rPr>
          <w:noProof/>
        </w:rPr>
        <w:tab/>
        <w:t>Разгръщане на системата и услуги</w:t>
      </w:r>
    </w:p>
    <w:p>
      <w:pPr>
        <w:spacing w:after="240"/>
        <w:jc w:val="both"/>
        <w:rPr>
          <w:rFonts w:ascii="Times New Roman" w:eastAsia="Times New Roman" w:hAnsi="Times New Roman" w:cs="Times New Roman"/>
          <w:noProof/>
          <w:sz w:val="24"/>
          <w:szCs w:val="24"/>
        </w:rPr>
      </w:pPr>
      <w:r>
        <w:rPr>
          <w:rFonts w:ascii="Times New Roman" w:hAnsi="Times New Roman"/>
          <w:noProof/>
          <w:sz w:val="24"/>
        </w:rPr>
        <w:t>Програмата „Галилео“ постигна своята ключова цел, поставена за периода на оценяване — беше обявено, че системата е действаща и предоставя начални услуги от декември 2016 г., а именно начална отворена услуга (OS), услуга за търсене и спасяване (SAR) и публично регулирана услуга (PRS).</w:t>
      </w:r>
    </w:p>
    <w:p>
      <w:pPr>
        <w:spacing w:after="240"/>
        <w:jc w:val="both"/>
        <w:rPr>
          <w:rFonts w:ascii="Times New Roman" w:eastAsia="Times New Roman" w:hAnsi="Times New Roman" w:cs="Times New Roman"/>
          <w:noProof/>
          <w:sz w:val="24"/>
          <w:szCs w:val="24"/>
        </w:rPr>
      </w:pPr>
      <w:r>
        <w:rPr>
          <w:rFonts w:ascii="Times New Roman" w:hAnsi="Times New Roman"/>
          <w:noProof/>
          <w:sz w:val="24"/>
        </w:rPr>
        <w:t xml:space="preserve">Космическият сегмент на „Галилео“ беше подсилен с 14 допълнителни спътника, изстреляни през периода на оценяване — един от факторите, позволили обявяването на началните услуги на „Галилео“ за действащи. През ноември 2016 г. за първи път с една ракета „Ариана 5“ бяха изстреляни заедно четири спътника на „Галилео“ . При все това изпълнението на програми, интензивно използващи комплексни технологии, е свързано с рискове. И „Галилео“ не е изключение в това отношение. Рисковете се материализираха през 2014 г. с инцидента при изстрелването на „Съюз“, в резултат на което два спътника бяха изведени в погрешна орбита, и с аномалията, засягаща някои атомни часовници на борда на спътници на „Галилео“. И в двата случая основната причина беше установена и бяха предприети необходимите мерки за решаване на проблемите. Забавянето в графика за разгръщане поради аномалията при изстрелването се компенсира чрез ускорено разрастване на космическия сегмент на „Галилео“ и вече се използват двата спътника за услугата SAR. Що се отнася до часовниците, беше започната ремонтна програма за следващите спътници, които ще се изстрелват, и бяха възстановени оперативните процедури за спътниците в орбита. Качеството на услугите, предоставяни от системата, не беше засегнато от трудностите и резултатите от системата надхвърлят очакванията. </w:t>
      </w:r>
      <w:r>
        <w:rPr>
          <w:noProof/>
        </w:rPr>
        <w:br w:type="page"/>
      </w:r>
    </w:p>
    <w:p>
      <w:pPr>
        <w:spacing w:after="240"/>
        <w:jc w:val="both"/>
        <w:rPr>
          <w:rFonts w:ascii="Times New Roman" w:eastAsia="Times New Roman" w:hAnsi="Times New Roman" w:cs="Times New Roman"/>
          <w:noProof/>
          <w:sz w:val="24"/>
          <w:szCs w:val="24"/>
        </w:rPr>
      </w:pPr>
      <w:r>
        <w:rPr>
          <w:rFonts w:ascii="Times New Roman" w:hAnsi="Times New Roman"/>
          <w:noProof/>
          <w:sz w:val="24"/>
        </w:rPr>
        <w:t>Услугите по EGNOS бяха предоставяни без прекъсване и усъвършенствани през периода 2014 — 2016 г. По този начин понастоящем EGNOS предоставя на въздухоплавателните и летищните оператори най-висококачествените услуги с насочен подход, които съществуват понастоящем, като се увеличат безопасността на полетите и приземяването и предимствата, свързани с оптимизиране на консумацията на гориво. Освен това EGNOS се използва от по-голям брой ползватели: към края на 2016 г. повече от 230 летища в 20 държави използват процедурите за подход и кацане на EGNOS</w:t>
      </w:r>
      <w:r>
        <w:rPr>
          <w:rStyle w:val="FootnoteReference"/>
          <w:rFonts w:ascii="Times New Roman" w:hAnsi="Times New Roman"/>
          <w:noProof/>
          <w:sz w:val="24"/>
        </w:rPr>
        <w:footnoteReference w:id="11"/>
      </w:r>
      <w:r>
        <w:rPr>
          <w:rFonts w:ascii="Times New Roman" w:hAnsi="Times New Roman"/>
          <w:noProof/>
          <w:sz w:val="24"/>
        </w:rPr>
        <w:t>.</w:t>
      </w:r>
    </w:p>
    <w:p>
      <w:pPr>
        <w:spacing w:after="240"/>
        <w:jc w:val="both"/>
        <w:rPr>
          <w:rFonts w:ascii="Times New Roman" w:hAnsi="Times New Roman"/>
          <w:noProof/>
          <w:sz w:val="24"/>
        </w:rPr>
      </w:pPr>
      <w:r>
        <w:rPr>
          <w:rFonts w:ascii="Times New Roman" w:hAnsi="Times New Roman"/>
          <w:noProof/>
          <w:sz w:val="24"/>
        </w:rPr>
        <w:t>При все това приоритетът на EGNOS продължава да бъде предоставянето на услугата на EGNOS на цялата територия на ЕС-28 и разширяването на обхвата на услугата на EGNOS с останалите 1,02 % от територията на ЕС-28 (източната част на Кипър, Азорските острови и северните части на Норвегия и Финландия).</w:t>
      </w:r>
    </w:p>
    <w:p>
      <w:pPr>
        <w:pStyle w:val="Heading2"/>
        <w:rPr>
          <w:noProof/>
        </w:rPr>
      </w:pPr>
      <w:r>
        <w:rPr>
          <w:noProof/>
        </w:rPr>
        <w:t>2.2.3.</w:t>
      </w:r>
      <w:r>
        <w:rPr>
          <w:noProof/>
        </w:rPr>
        <w:tab/>
        <w:t>Международно сътрудничество</w:t>
      </w:r>
    </w:p>
    <w:p>
      <w:pPr>
        <w:autoSpaceDE w:val="0"/>
        <w:autoSpaceDN w:val="0"/>
        <w:adjustRightInd w:val="0"/>
        <w:spacing w:before="120" w:after="0"/>
        <w:jc w:val="both"/>
        <w:rPr>
          <w:noProof/>
        </w:rPr>
      </w:pPr>
      <w:r>
        <w:rPr>
          <w:rFonts w:ascii="Times New Roman" w:hAnsi="Times New Roman"/>
          <w:noProof/>
          <w:sz w:val="24"/>
        </w:rPr>
        <w:t>В областта на международното сътрудничество бяха предприети няколко дейности за засилване на ролята на Европа като международен фактор в сферата на ГНСС. По-специално през 2016 г. бяха приключени преговорите с Агенцията за авиационна безопасност в Африка и Мадагаскар (ASECNA) за определяне на реда и условията за предоставяне на космически базирани системи за повишаване на точността в Африка въз основа на EGNOS. В допълнение към това през юни 2016 г. беше сключено споразумението за ГНСС с Корея за засилено сътрудничество.</w:t>
      </w:r>
    </w:p>
    <w:p>
      <w:pPr>
        <w:pStyle w:val="Heading1"/>
        <w:rPr>
          <w:noProof/>
        </w:rPr>
      </w:pPr>
      <w:r>
        <w:rPr>
          <w:noProof/>
        </w:rPr>
        <w:t>2.3.</w:t>
      </w:r>
      <w:r>
        <w:rPr>
          <w:noProof/>
        </w:rPr>
        <w:tab/>
        <w:t>Ефикасно реализиране — Управление</w:t>
      </w:r>
    </w:p>
    <w:p>
      <w:pPr>
        <w:pStyle w:val="Heading2"/>
        <w:rPr>
          <w:noProof/>
        </w:rPr>
      </w:pPr>
      <w:r>
        <w:rPr>
          <w:noProof/>
        </w:rPr>
        <w:t>2.3.1.</w:t>
      </w:r>
      <w:r>
        <w:rPr>
          <w:noProof/>
        </w:rPr>
        <w:tab/>
        <w:t>Бюджет</w:t>
      </w:r>
    </w:p>
    <w:p>
      <w:pPr>
        <w:spacing w:after="240"/>
        <w:jc w:val="both"/>
        <w:rPr>
          <w:rFonts w:ascii="Times New Roman" w:eastAsia="Times New Roman" w:hAnsi="Times New Roman" w:cs="Times New Roman"/>
          <w:bCs/>
          <w:noProof/>
          <w:sz w:val="24"/>
          <w:szCs w:val="20"/>
        </w:rPr>
      </w:pPr>
      <w:r>
        <w:rPr>
          <w:rFonts w:ascii="Times New Roman" w:hAnsi="Times New Roman"/>
          <w:noProof/>
          <w:sz w:val="24"/>
        </w:rPr>
        <w:t>За периода 2014 — 2020 г. Европейският съюз разпредели общ бюджет от 7071,73 милиона евро за програмите „Галилео“ и EGNOS. Този пакет обхваща дейности по управление на програмите, дейности по разгръщане и експлоатация на „Галилео“, дейности по експлоатация на EGNOS и рискове, свързани с тези дейности. Данните към края на 2016 г. сочат, че програмите „Галилео“ и EGNOS ще се вместят в бюджетните граници, определени от Регламента за ГНСС за периода 2014 — 2020 г.</w:t>
      </w:r>
      <w:r>
        <w:rPr>
          <w:noProof/>
        </w:rPr>
        <w:t xml:space="preserve"> </w:t>
      </w:r>
      <w:r>
        <w:rPr>
          <w:rFonts w:ascii="Times New Roman" w:hAnsi="Times New Roman"/>
          <w:noProof/>
          <w:sz w:val="24"/>
        </w:rPr>
        <w:t>Комисията осъществява строг мониторинг върху бюджета, за да предотврати неговото надвишаване.</w:t>
      </w:r>
    </w:p>
    <w:p>
      <w:pPr>
        <w:pStyle w:val="Heading2"/>
        <w:rPr>
          <w:noProof/>
        </w:rPr>
      </w:pPr>
      <w:r>
        <w:rPr>
          <w:noProof/>
        </w:rPr>
        <w:t>2.3.2.</w:t>
      </w:r>
      <w:r>
        <w:rPr>
          <w:noProof/>
        </w:rPr>
        <w:tab/>
        <w:t>Механизми за изпълнение</w:t>
      </w:r>
    </w:p>
    <w:p>
      <w:pPr>
        <w:jc w:val="both"/>
        <w:rPr>
          <w:rFonts w:ascii="Times New Roman" w:hAnsi="Times New Roman"/>
          <w:noProof/>
          <w:sz w:val="24"/>
          <w:szCs w:val="20"/>
        </w:rPr>
      </w:pPr>
      <w:r>
        <w:rPr>
          <w:rFonts w:ascii="Times New Roman" w:hAnsi="Times New Roman"/>
          <w:noProof/>
          <w:sz w:val="24"/>
        </w:rPr>
        <w:t>През периода 2014 — 2016 г. схемата за управление, приета през 2013 г., е изпълнявана поетапно: Споразумения за делегиране на правомощия бяха сключени между Комисията и Европейската космическа агенция (ЕКА) относно фазата на разгръщане на „Галилео“, както и между Комисията и Европейската агенция за ГНСС (GSA) относно фазите на експлоатация на „Галилео“ и EGNOS. По същия начин бяха сключени работни споразумения между GSA и ЕКА както за „Галилео“, така и за EGNOS. Ролята на GSA за оперативното управление на програмите постепенно нарасна.</w:t>
      </w:r>
    </w:p>
    <w:p>
      <w:pPr>
        <w:jc w:val="both"/>
        <w:rPr>
          <w:rFonts w:ascii="Times New Roman" w:hAnsi="Times New Roman"/>
          <w:bCs/>
          <w:noProof/>
          <w:sz w:val="24"/>
        </w:rPr>
      </w:pPr>
      <w:r>
        <w:rPr>
          <w:rFonts w:ascii="Times New Roman" w:hAnsi="Times New Roman"/>
          <w:noProof/>
          <w:sz w:val="24"/>
        </w:rPr>
        <w:t>Новата схема на управление доведе до по-солидни процеси на управление. Те допринесоха за това програмите да не надвишават предвидения бюджет и за намаляване на рисковете и влиянието на непредвидени събития върху програмите.</w:t>
      </w:r>
    </w:p>
    <w:p>
      <w:pPr>
        <w:jc w:val="both"/>
        <w:rPr>
          <w:rFonts w:ascii="Times New Roman" w:hAnsi="Times New Roman"/>
          <w:bCs/>
          <w:noProof/>
          <w:sz w:val="24"/>
        </w:rPr>
      </w:pPr>
      <w:r>
        <w:rPr>
          <w:rFonts w:ascii="Times New Roman" w:hAnsi="Times New Roman"/>
          <w:noProof/>
          <w:sz w:val="24"/>
        </w:rPr>
        <w:t xml:space="preserve">Новата структура на управлението изискваше от основните субекти (Европейската комисия, ЕКА и GSA) да се адаптират към новата си роля, която обаче не отговаря задължително  изцяло на тяхната организационна култура, компетенции и/или структура. Въпреки това този процес на адаптиране доведе до известна неефикасност. Например организирането на отговорностите и процесите по контрол често налагаше продължително обсъждане между субектите, свързани с управлението, което се отрази на бързината при вземането на решения. Освен това фактът, че фазата на разгръщане и фазата на експлоатация вървят успоредно с различна структура на управлението налагаше и двете агенции да извършват допълнителни дейности, за да се осигури единодушието с Комисията относно начина за изпълнението на задачите. </w:t>
      </w:r>
    </w:p>
    <w:p>
      <w:pPr>
        <w:jc w:val="both"/>
        <w:rPr>
          <w:rFonts w:ascii="Times New Roman" w:hAnsi="Times New Roman"/>
          <w:bCs/>
          <w:noProof/>
          <w:sz w:val="24"/>
        </w:rPr>
      </w:pPr>
      <w:r>
        <w:rPr>
          <w:rFonts w:ascii="Times New Roman" w:hAnsi="Times New Roman"/>
          <w:noProof/>
          <w:sz w:val="24"/>
        </w:rPr>
        <w:t>През следващите няколко години се очаква допълнително подобряване на ситуацията вследствие на натрупването на знания от страна на участващите субекти и усъвършенстването на самите програми. Ефикасният процес на вземане на решения е особено важен за оперативните програми, в чиято основа са услугите и нуждите на ползвателите, като „Галилео“ и EGNOS. В тази връзка трябва да се отдели особено внимание на взаимодействието между субекта, отговарящ за разгръщането (ЕКА), и субекта, отговарящ за операциите (GSA).</w:t>
      </w:r>
    </w:p>
    <w:p>
      <w:pPr>
        <w:jc w:val="both"/>
        <w:rPr>
          <w:rFonts w:ascii="Times New Roman" w:hAnsi="Times New Roman"/>
          <w:noProof/>
          <w:sz w:val="24"/>
          <w:szCs w:val="20"/>
        </w:rPr>
      </w:pPr>
      <w:r>
        <w:rPr>
          <w:rFonts w:ascii="Times New Roman" w:hAnsi="Times New Roman"/>
          <w:noProof/>
          <w:sz w:val="24"/>
        </w:rPr>
        <w:t>Що се отнася до сигурността, обявяването на началните услуги на „Галилео“ и припокриването между фазите на разгръщане и на експлоатация създадоха някои предизвикателства. По-специално следва да бъде поддържано независимото функциониране на различните субекти, отговарящи за изпълнението и проверката на изискванията по отношение на сигурността (Европейската комисия, GSA, ЕКА).</w:t>
      </w:r>
    </w:p>
    <w:p>
      <w:pPr>
        <w:jc w:val="both"/>
        <w:rPr>
          <w:rFonts w:ascii="Times New Roman" w:hAnsi="Times New Roman" w:cs="Times New Roman"/>
          <w:noProof/>
          <w:sz w:val="24"/>
          <w:szCs w:val="24"/>
        </w:rPr>
      </w:pPr>
      <w:r>
        <w:rPr>
          <w:rFonts w:ascii="Times New Roman" w:hAnsi="Times New Roman"/>
          <w:noProof/>
          <w:sz w:val="24"/>
        </w:rPr>
        <w:t>Въпреки това все още има полза от оптимизацията на сегашната схема на управление за програмите „Галилео“ и EGNOS, за да се отрази навлизането в оперативната фаза на тези програми, в основата на чието развитие стоят услугите. Това може да включва намаляване на административната тежест за основните субекти и на сложността и продължителността на процеса по вземането на решения. На последно място, развитието следва да се продължи, за да се вземат предвид новите предизвикателства, като киберсигурността, и за да се дефинират ясно ролите и отговорностите на субектите, отговорни за изпълнението и проверката на изискванията във връзка със сигурността.</w:t>
      </w:r>
    </w:p>
    <w:p>
      <w:pPr>
        <w:pStyle w:val="Heading1"/>
        <w:rPr>
          <w:noProof/>
        </w:rPr>
      </w:pPr>
      <w:r>
        <w:rPr>
          <w:noProof/>
        </w:rPr>
        <w:t>2.4.</w:t>
      </w:r>
      <w:r>
        <w:rPr>
          <w:noProof/>
        </w:rPr>
        <w:tab/>
        <w:t>Добавена стойност за ЕС</w:t>
      </w:r>
    </w:p>
    <w:p>
      <w:pPr>
        <w:jc w:val="both"/>
        <w:rPr>
          <w:rFonts w:ascii="Times New Roman" w:eastAsia="Times New Roman" w:hAnsi="Times New Roman" w:cs="Times New Roman"/>
          <w:noProof/>
          <w:sz w:val="24"/>
          <w:szCs w:val="20"/>
        </w:rPr>
      </w:pPr>
      <w:r>
        <w:rPr>
          <w:rFonts w:ascii="Times New Roman" w:hAnsi="Times New Roman"/>
          <w:noProof/>
          <w:sz w:val="24"/>
        </w:rPr>
        <w:t>С обявяването на началните услуги „Галилео“ официално премина от тестова фаза към предоставяне на реални услуги. Днес ползватели от цял свят биват насочвани чрез предоставяната от „Галилео“ информация за позициониране, навигация и определяне на времето</w:t>
      </w:r>
      <w:r>
        <w:rPr>
          <w:rStyle w:val="FootnoteReference"/>
          <w:rFonts w:ascii="Times New Roman" w:hAnsi="Times New Roman"/>
          <w:noProof/>
          <w:sz w:val="24"/>
        </w:rPr>
        <w:footnoteReference w:id="12"/>
      </w:r>
      <w:r>
        <w:rPr>
          <w:rFonts w:ascii="Times New Roman" w:hAnsi="Times New Roman"/>
          <w:noProof/>
          <w:sz w:val="24"/>
        </w:rPr>
        <w:t>.</w:t>
      </w:r>
    </w:p>
    <w:p>
      <w:pPr>
        <w:jc w:val="both"/>
        <w:rPr>
          <w:rFonts w:ascii="Times New Roman" w:eastAsia="Times New Roman" w:hAnsi="Times New Roman" w:cs="Times New Roman"/>
          <w:noProof/>
          <w:sz w:val="24"/>
          <w:szCs w:val="20"/>
        </w:rPr>
      </w:pPr>
      <w:r>
        <w:rPr>
          <w:rFonts w:ascii="Times New Roman" w:hAnsi="Times New Roman"/>
          <w:noProof/>
          <w:sz w:val="24"/>
        </w:rPr>
        <w:t>Няколко месеца след обявяването на началните услуги на масовия пазар бяха въведени редица устройства, които са съвместими с „Галилео“. Всички основни чипсетове (предлагани от 17 основни световни доставчици, които представляват 95 % от пазара), намиращи приложение в смартфони, таблети, автомобили, професионално оборудване за наблюдение и др., използват „Галилео“.</w:t>
      </w:r>
    </w:p>
    <w:p>
      <w:pPr>
        <w:jc w:val="both"/>
        <w:rPr>
          <w:rFonts w:ascii="Times New Roman" w:eastAsia="Times New Roman" w:hAnsi="Times New Roman" w:cs="Times New Roman"/>
          <w:noProof/>
          <w:sz w:val="24"/>
          <w:szCs w:val="20"/>
        </w:rPr>
      </w:pPr>
      <w:r>
        <w:rPr>
          <w:rFonts w:ascii="Times New Roman" w:hAnsi="Times New Roman"/>
          <w:noProof/>
          <w:sz w:val="24"/>
        </w:rPr>
        <w:t>Тези чипсетове са вградени в потребителски и професионални продукти, с които можем да се сдобием днес. Съдейки по основните предлагани продукти, GSA е установила, че европейските граждани притежават повече от 100 милиона потребителски устройства, които могат да използват услугите на EGNOS и/или „Галилео“. От 2018 г. всички нови модели автомобили, продавани в Европейския съюз, ще разчитат на EGNOS и „Галилео“ за изчисляването на местоположението на спешни повиквания в случай на инциденти.</w:t>
      </w:r>
    </w:p>
    <w:p>
      <w:pPr>
        <w:jc w:val="both"/>
        <w:rPr>
          <w:rFonts w:ascii="Times New Roman" w:eastAsia="Times New Roman" w:hAnsi="Times New Roman" w:cs="Times New Roman"/>
          <w:noProof/>
          <w:sz w:val="24"/>
          <w:szCs w:val="20"/>
        </w:rPr>
      </w:pPr>
      <w:r>
        <w:rPr>
          <w:rFonts w:ascii="Times New Roman" w:hAnsi="Times New Roman"/>
          <w:noProof/>
          <w:sz w:val="24"/>
        </w:rPr>
        <w:t>Освен това се очаква потенциалният брой ползватели да се увеличи: обемът на доставките на устройства на ГНСС в Европейския съюз се очаква да нарасне от 210 милиона броя през 2015 г. до почти 290 милиона през 2020 г.</w:t>
      </w:r>
      <w:r>
        <w:rPr>
          <w:rStyle w:val="FootnoteReference"/>
          <w:rFonts w:ascii="Times New Roman" w:hAnsi="Times New Roman"/>
          <w:noProof/>
          <w:sz w:val="24"/>
        </w:rPr>
        <w:footnoteReference w:id="13"/>
      </w:r>
      <w:r>
        <w:rPr>
          <w:rFonts w:ascii="Times New Roman" w:hAnsi="Times New Roman"/>
          <w:noProof/>
          <w:sz w:val="24"/>
        </w:rPr>
        <w:t>, като разшири значително кръга на ползвателите на EGNOS и „Галилео“.</w:t>
      </w:r>
    </w:p>
    <w:p>
      <w:pPr>
        <w:jc w:val="both"/>
        <w:rPr>
          <w:rFonts w:ascii="Times New Roman" w:hAnsi="Times New Roman" w:cs="Times New Roman"/>
          <w:noProof/>
          <w:sz w:val="24"/>
          <w:szCs w:val="24"/>
        </w:rPr>
      </w:pPr>
      <w:r>
        <w:rPr>
          <w:rFonts w:ascii="Times New Roman" w:hAnsi="Times New Roman"/>
          <w:noProof/>
          <w:sz w:val="24"/>
        </w:rPr>
        <w:t>В този смисъл изпълнението на програмите „Галилео“ и EGNOS на равнище ЕС създаде висока добавена стойност в сравнение с тази, която би била постигната от държавите членки на национално, регионално или местно равнище. Мащабът и сложността на програмите изискват прилагане на равнище ЕС, тъй като за осигуряване на необходимата възвръщаемост на инвестициите не съществува подходяща алтернатива. В резултат на това всички заинтересовани страни са единодушни, че продължаването на изпълнението на програмите на равнище ЕС е условие за постигането на целите на „Галилео“ и EGNOS.</w:t>
      </w:r>
    </w:p>
    <w:p>
      <w:pPr>
        <w:jc w:val="both"/>
        <w:rPr>
          <w:rFonts w:ascii="Times New Roman" w:hAnsi="Times New Roman" w:cs="Times New Roman"/>
          <w:noProof/>
          <w:sz w:val="24"/>
          <w:szCs w:val="24"/>
        </w:rPr>
      </w:pPr>
      <w:r>
        <w:rPr>
          <w:rFonts w:ascii="Times New Roman" w:hAnsi="Times New Roman"/>
          <w:noProof/>
          <w:sz w:val="24"/>
        </w:rPr>
        <w:t>Програмите „Галилео“ и EGNOS допринасят за безопасна и сигурна Европа, като осигуряват европейска автономност при достъпа до космическото пространство и използването му в безопасна и сигурна среда, и по-специално консолидират и защитават нейните инфраструктури, включително срещу кибернетични заплахи, както и чрез засилване на взаимодействието между гражданските дейности и дейностите, свързани със сигурността, в областта на навигацията, комуникациите и наблюдението, включително чрез наблюдение на границите и на обстановката по отношение на сигурността на сушата и в морето.</w:t>
      </w:r>
    </w:p>
    <w:p>
      <w:pPr>
        <w:jc w:val="both"/>
        <w:rPr>
          <w:rFonts w:ascii="Times New Roman" w:hAnsi="Times New Roman" w:cs="Times New Roman"/>
          <w:noProof/>
          <w:sz w:val="24"/>
          <w:szCs w:val="24"/>
        </w:rPr>
      </w:pPr>
      <w:r>
        <w:rPr>
          <w:rFonts w:ascii="Times New Roman" w:hAnsi="Times New Roman"/>
          <w:noProof/>
          <w:sz w:val="24"/>
        </w:rPr>
        <w:t>Освен това програмите „Галилео“ и EGNOS допринасят за една по-силна Европа на глобалната сцена. Като се има предвид нарастващата конкуренция с други системи на ГНСС и спътникови системи за повишаване на точността (SBAS), от съществено значение е Европа да разработва свои собствени системи, да участва в технологичната надпревара, да продължава да бъде фактор от световна величина по отношение на космическото пространство и предпочитан партньор на международната сцена.</w:t>
      </w:r>
    </w:p>
    <w:p>
      <w:pPr>
        <w:pStyle w:val="Heading1"/>
        <w:rPr>
          <w:noProof/>
        </w:rPr>
      </w:pPr>
      <w:r>
        <w:rPr>
          <w:noProof/>
        </w:rPr>
        <w:t>3.</w:t>
      </w:r>
      <w:r>
        <w:rPr>
          <w:noProof/>
        </w:rPr>
        <w:tab/>
        <w:t>ОСНОВНИ КОНСТАТАЦИИ ОТНОСНО GSA</w:t>
      </w:r>
    </w:p>
    <w:p>
      <w:pPr>
        <w:pStyle w:val="Heading1"/>
        <w:rPr>
          <w:rFonts w:eastAsia="Arial Unicode MS"/>
          <w:noProof/>
          <w:szCs w:val="24"/>
        </w:rPr>
      </w:pPr>
      <w:r>
        <w:rPr>
          <w:noProof/>
        </w:rPr>
        <w:t>3.1.</w:t>
      </w:r>
      <w:r>
        <w:rPr>
          <w:noProof/>
        </w:rPr>
        <w:tab/>
        <w:t>Въздействие и ефективност на GSA</w:t>
      </w:r>
    </w:p>
    <w:p>
      <w:pPr>
        <w:jc w:val="both"/>
        <w:rPr>
          <w:rFonts w:ascii="Times New Roman" w:hAnsi="Times New Roman" w:cs="Times New Roman"/>
          <w:bCs/>
          <w:noProof/>
          <w:sz w:val="24"/>
          <w:szCs w:val="24"/>
        </w:rPr>
      </w:pPr>
      <w:r>
        <w:rPr>
          <w:rFonts w:ascii="Times New Roman" w:hAnsi="Times New Roman"/>
          <w:noProof/>
          <w:sz w:val="24"/>
        </w:rPr>
        <w:t>През периода 2014 — 2016 г. GSA успешно постигна важни цели по отношение на напредъка на програмите „Галилео“ и EGNOS и на развитието на европейските пазари надолу по веригата. Това е постигнато благодарение на ефективното изпълнение както на ключовите задачи, възложени на GSA пряко въз основа на Регламента за GSA, така и на задачи, делегирани на GSA от Комисията по силата на споразумения за делегиране на правомощия.</w:t>
      </w:r>
    </w:p>
    <w:p>
      <w:pPr>
        <w:jc w:val="both"/>
        <w:rPr>
          <w:rFonts w:ascii="Times New Roman" w:hAnsi="Times New Roman" w:cs="Times New Roman"/>
          <w:noProof/>
          <w:sz w:val="24"/>
          <w:szCs w:val="24"/>
        </w:rPr>
      </w:pPr>
      <w:r>
        <w:rPr>
          <w:rFonts w:ascii="Times New Roman" w:hAnsi="Times New Roman"/>
          <w:noProof/>
          <w:sz w:val="24"/>
        </w:rPr>
        <w:t>Основните постижения на Агенцията включват извършването по-специално на изпитвания, представляващи предпоставка за обявяване на началните услуги на „Галилео“; преминаването към фазата на експлоатация на „Галилео“, по-специално възлагането на договора на оператора на услугите на „Галилео“(GSOp); гладкото прилагане на 7РП, „Хоризонт 2020“ и проекти за научноизследователска и развойна дейност по основните елементи; както и развитие на пазара надолу по веригата чрез наблюдение, комуникация и дейности за популяризиране. Тези резултати са били постигнати в рамките на заложения бюджет.</w:t>
      </w:r>
    </w:p>
    <w:p>
      <w:pPr>
        <w:pStyle w:val="Heading1"/>
        <w:rPr>
          <w:rFonts w:eastAsia="Arial Unicode MS"/>
          <w:noProof/>
        </w:rPr>
      </w:pPr>
      <w:r>
        <w:rPr>
          <w:noProof/>
        </w:rPr>
        <w:t>3.2.</w:t>
      </w:r>
      <w:r>
        <w:rPr>
          <w:noProof/>
        </w:rPr>
        <w:tab/>
        <w:t>Ефикасност от гледна точка на гладко функциониране, работни методи и използване на ресурси</w:t>
      </w:r>
    </w:p>
    <w:p>
      <w:pPr>
        <w:pStyle w:val="Alphabeticlist"/>
        <w:spacing w:line="276" w:lineRule="auto"/>
        <w:rPr>
          <w:rStyle w:val="Strong"/>
          <w:rFonts w:ascii="Times New Roman" w:hAnsi="Times New Roman"/>
          <w:b w:val="0"/>
          <w:noProof/>
          <w:sz w:val="24"/>
          <w:szCs w:val="24"/>
        </w:rPr>
      </w:pPr>
      <w:r>
        <w:rPr>
          <w:rStyle w:val="Strong"/>
          <w:rFonts w:ascii="Times New Roman" w:hAnsi="Times New Roman"/>
          <w:b w:val="0"/>
          <w:noProof/>
          <w:sz w:val="24"/>
        </w:rPr>
        <w:t>През периода 2014 — 2016 г. Агенцията като цяло постигна ефикасност по отношение на гладкото функциониране, работните методи и използването на ресурси.</w:t>
      </w:r>
    </w:p>
    <w:p>
      <w:pPr>
        <w:pStyle w:val="Body"/>
        <w:spacing w:line="276" w:lineRule="auto"/>
        <w:rPr>
          <w:rFonts w:ascii="Times New Roman" w:hAnsi="Times New Roman"/>
          <w:bCs/>
          <w:noProof/>
          <w:sz w:val="24"/>
        </w:rPr>
      </w:pPr>
      <w:r>
        <w:rPr>
          <w:rStyle w:val="Strong"/>
          <w:rFonts w:ascii="Times New Roman" w:hAnsi="Times New Roman"/>
          <w:b w:val="0"/>
          <w:noProof/>
          <w:sz w:val="24"/>
        </w:rPr>
        <w:t xml:space="preserve">Що се отнася до гладкото функциониране на Агенцията, </w:t>
      </w:r>
      <w:r>
        <w:rPr>
          <w:rFonts w:ascii="Times New Roman" w:hAnsi="Times New Roman"/>
          <w:noProof/>
          <w:sz w:val="24"/>
        </w:rPr>
        <w:t>въведените от GSA процеси са дефинирани основно в законовата рамка, регулираща дейността на Агенцията, която тя е съблюдавала. Това допринесе за ефективното изпълнение на програмите.</w:t>
      </w:r>
    </w:p>
    <w:p>
      <w:pPr>
        <w:pStyle w:val="Body"/>
        <w:spacing w:line="276" w:lineRule="auto"/>
        <w:rPr>
          <w:rFonts w:ascii="Times New Roman" w:hAnsi="Times New Roman"/>
          <w:bCs/>
          <w:noProof/>
          <w:sz w:val="24"/>
        </w:rPr>
      </w:pPr>
      <w:r>
        <w:rPr>
          <w:rFonts w:ascii="Times New Roman" w:hAnsi="Times New Roman"/>
          <w:noProof/>
          <w:sz w:val="24"/>
        </w:rPr>
        <w:t>Що се отнася до работните методи, GSA беше проактивна по отношение на подобряването на ефективността и ефикасността на своя процес на изпълнение, за да може да се справи успешно с все по-големите отговорности, които ѝ се възлагат. Ето защо през разглеждания период Агенцията получи сертификат по ISO-9001, удостоверяващ въведената система за управление на качеството.</w:t>
      </w:r>
    </w:p>
    <w:p>
      <w:pPr>
        <w:pStyle w:val="Body"/>
        <w:spacing w:line="276" w:lineRule="auto"/>
        <w:rPr>
          <w:rFonts w:ascii="Times New Roman" w:hAnsi="Times New Roman"/>
          <w:bCs/>
          <w:noProof/>
          <w:sz w:val="24"/>
        </w:rPr>
      </w:pPr>
      <w:r>
        <w:rPr>
          <w:rFonts w:ascii="Times New Roman" w:hAnsi="Times New Roman"/>
          <w:noProof/>
          <w:sz w:val="24"/>
        </w:rPr>
        <w:t>Що се отнася до използването на ресурси, GSA се изправи пред предизвикателство по отношение на привличането на съответните ресурси и квалифицирани кадри. Между 2014 и 2016 г., на фона на нарастващите отговорности, възлагани на GSA, общият бюджет, управляван от Агенцията, нарасна с 85,9 %, а броят на служителите на GSA се увеличи с 22,1 %.</w:t>
      </w:r>
    </w:p>
    <w:p>
      <w:pPr>
        <w:pStyle w:val="Heading1"/>
        <w:rPr>
          <w:rFonts w:eastAsia="Arial Unicode MS"/>
          <w:noProof/>
        </w:rPr>
      </w:pPr>
      <w:r>
        <w:rPr>
          <w:noProof/>
        </w:rPr>
        <w:t>3.3.</w:t>
      </w:r>
      <w:r>
        <w:rPr>
          <w:noProof/>
        </w:rPr>
        <w:tab/>
        <w:t xml:space="preserve">Роля на Съвета за акредитация на сигурността (САС) и управление на сигурността </w:t>
      </w:r>
    </w:p>
    <w:p>
      <w:pPr>
        <w:jc w:val="both"/>
        <w:rPr>
          <w:rFonts w:ascii="Times New Roman" w:eastAsia="Arial Unicode MS" w:hAnsi="Times New Roman" w:cs="Times New Roman"/>
          <w:noProof/>
          <w:sz w:val="24"/>
          <w:szCs w:val="24"/>
        </w:rPr>
      </w:pPr>
      <w:r>
        <w:rPr>
          <w:rFonts w:ascii="Times New Roman" w:hAnsi="Times New Roman"/>
          <w:noProof/>
          <w:sz w:val="24"/>
        </w:rPr>
        <w:t>По силата на Регламента за GSA е учреден САС, който отговаря за задачи, свързани с акредитацията на сигурността по отношение на европейските системи на ГНСС. Той работи независимо, без да докладва на изпълнителния директор на GSA. САС постигна добри резултати и е необходим постоянен мониторинг с оглед гарантиране на неговата пълна независимост.</w:t>
      </w:r>
    </w:p>
    <w:p>
      <w:pPr>
        <w:jc w:val="both"/>
        <w:rPr>
          <w:rFonts w:ascii="Times New Roman" w:eastAsia="Arial Unicode MS" w:hAnsi="Times New Roman" w:cs="Times New Roman"/>
          <w:noProof/>
          <w:sz w:val="24"/>
          <w:szCs w:val="24"/>
        </w:rPr>
      </w:pPr>
      <w:r>
        <w:rPr>
          <w:rFonts w:ascii="Times New Roman" w:hAnsi="Times New Roman"/>
          <w:noProof/>
          <w:sz w:val="24"/>
        </w:rPr>
        <w:t xml:space="preserve">Оценката сочи, че всички съответни органи (напр. организацията на сигурността в ЕК, ЕКА и GSA; САС) и процеси (напр. идентифициране на изискванията по отношение на сигурността, акредитация на сигурността, идентифициране и управление на рисковете за сигурността, сигурност на операциите, мониторинг на системата за сигурността) понастоящем са напълно функциониращи. Това позволи на съответните субекти да изпълняват своите задачи за акредитация на всички използвани елементи на европейските системи на ГНСС, акредитацията на „Ариана 5“ като ракета носител за спътниците на „Галилео“ и обявяването на началните услуги на „Галилео“ през декември 2016 г. </w:t>
      </w:r>
    </w:p>
    <w:p>
      <w:pPr>
        <w:jc w:val="both"/>
        <w:rPr>
          <w:rFonts w:ascii="Times New Roman" w:eastAsia="Arial Unicode MS" w:hAnsi="Times New Roman" w:cs="Times New Roman"/>
          <w:noProof/>
          <w:sz w:val="24"/>
          <w:szCs w:val="24"/>
        </w:rPr>
      </w:pPr>
      <w:r>
        <w:rPr>
          <w:rFonts w:ascii="Times New Roman" w:hAnsi="Times New Roman"/>
          <w:noProof/>
          <w:sz w:val="24"/>
        </w:rPr>
        <w:t>Усилията за подобряване на сигурността трябва да продължат, по-специално по отношение на правилното управление на кибернетичните заплахи и необходимостта от увеличение на независимостта на дейностите по акредитация от другите дейности по програмата. GSA ще трябва да следи своята способност да поддържа процесите по отношение на сигурността през цялата фаза на експлоатация.</w:t>
      </w:r>
    </w:p>
    <w:p>
      <w:pPr>
        <w:pStyle w:val="Heading1"/>
        <w:ind w:left="0" w:firstLine="0"/>
        <w:rPr>
          <w:noProof/>
        </w:rPr>
      </w:pPr>
      <w:r>
        <w:rPr>
          <w:noProof/>
        </w:rPr>
        <w:t>4.</w:t>
      </w:r>
      <w:r>
        <w:rPr>
          <w:noProof/>
        </w:rPr>
        <w:tab/>
        <w:t>ПРЕДСТОЯЩИ СТЪПКИ</w:t>
      </w:r>
    </w:p>
    <w:p>
      <w:pPr>
        <w:keepNext/>
        <w:tabs>
          <w:tab w:val="num" w:pos="480"/>
        </w:tabs>
        <w:spacing w:before="240" w:after="240" w:line="240" w:lineRule="auto"/>
        <w:ind w:left="480" w:hanging="480"/>
        <w:jc w:val="both"/>
        <w:outlineLvl w:val="0"/>
        <w:rPr>
          <w:rFonts w:ascii="Times New Roman" w:eastAsia="Times New Roman" w:hAnsi="Times New Roman" w:cs="Times New Roman"/>
          <w:b/>
          <w:smallCaps/>
          <w:noProof/>
          <w:sz w:val="24"/>
          <w:szCs w:val="20"/>
        </w:rPr>
      </w:pPr>
      <w:r>
        <w:rPr>
          <w:rFonts w:ascii="Times New Roman" w:hAnsi="Times New Roman"/>
          <w:b/>
          <w:smallCaps/>
          <w:noProof/>
          <w:sz w:val="24"/>
        </w:rPr>
        <w:t>4.1.</w:t>
      </w:r>
      <w:r>
        <w:rPr>
          <w:noProof/>
        </w:rPr>
        <w:tab/>
      </w:r>
      <w:r>
        <w:rPr>
          <w:rFonts w:ascii="Times New Roman" w:hAnsi="Times New Roman"/>
          <w:b/>
          <w:smallCaps/>
          <w:noProof/>
          <w:sz w:val="24"/>
        </w:rPr>
        <w:t>Навлизане на пазара на „Галилео“ и EGNOS</w:t>
      </w:r>
    </w:p>
    <w:p>
      <w:pPr>
        <w:jc w:val="both"/>
        <w:rPr>
          <w:rFonts w:ascii="Times New Roman" w:hAnsi="Times New Roman" w:cs="Times New Roman"/>
          <w:noProof/>
          <w:sz w:val="24"/>
          <w:szCs w:val="24"/>
        </w:rPr>
      </w:pPr>
      <w:r>
        <w:rPr>
          <w:rFonts w:ascii="Times New Roman" w:hAnsi="Times New Roman"/>
          <w:noProof/>
          <w:sz w:val="24"/>
        </w:rPr>
        <w:t>Все по-голямото навлизане на пазара на „Галилео“ и EGNOS е от съществено значение за гарантиране на възвръщаемостта на инвестициите на Съюза в програмите и за максимално увеличаване на социално-икономическите ползи, генерирани от тези услуги. Необходимо е работата по отношение на осигуряването на подходяща регулаторна рамка за използването на услугите на ГНСС да продължи.</w:t>
      </w:r>
      <w:r>
        <w:rPr>
          <w:noProof/>
        </w:rPr>
        <w:t xml:space="preserve"> </w:t>
      </w:r>
      <w:r>
        <w:rPr>
          <w:rFonts w:ascii="Times New Roman" w:hAnsi="Times New Roman"/>
          <w:noProof/>
          <w:sz w:val="24"/>
        </w:rPr>
        <w:t>Това ще изисква също така укрепване на съществуващите правни механизми.</w:t>
      </w:r>
    </w:p>
    <w:p>
      <w:pPr>
        <w:jc w:val="both"/>
        <w:rPr>
          <w:rFonts w:ascii="Times New Roman" w:hAnsi="Times New Roman" w:cs="Times New Roman"/>
          <w:noProof/>
          <w:sz w:val="24"/>
          <w:szCs w:val="24"/>
        </w:rPr>
      </w:pPr>
      <w:r>
        <w:rPr>
          <w:rFonts w:ascii="Times New Roman" w:hAnsi="Times New Roman"/>
          <w:noProof/>
          <w:sz w:val="24"/>
        </w:rPr>
        <w:t>На равнище ЕС в политиките на ЕС следва да бъдат взети под внимание ползите от услугите на „Галилео“ и EGNOS за позициониране, навигация и определяне на времето чрез конкретни мерки, включително регулаторни мерки, разработване на стандарти и бъдещи секторни стратегии. Акцентът трябва да се постави върху ключовите сектори, осигуряващи най-висока добавена стойност, като например мобилни телефони, „интернет на предметите“, автономни и свързани автомобили, авиация и безпилотни летателни апарати (дронове), както и критична инфраструктура, при която се използва синхронизация по време. Комисията ще публикува европейски план за радионавигация с цел улесняване на въвеждането в секторните политики на приложения, базирани на глобалната навигационна спътникова система. На национално равнище тези усилия следва също така да бъдат подкрепени чрез насърчаване на използването на услугите на „Галилео“ и EGNOS в национални политики и правителствени приложения.</w:t>
      </w:r>
    </w:p>
    <w:p>
      <w:pPr>
        <w:jc w:val="both"/>
        <w:rPr>
          <w:rFonts w:ascii="Times New Roman" w:hAnsi="Times New Roman" w:cs="Times New Roman"/>
          <w:noProof/>
          <w:sz w:val="24"/>
          <w:szCs w:val="24"/>
        </w:rPr>
      </w:pPr>
      <w:r>
        <w:rPr>
          <w:rFonts w:ascii="Times New Roman" w:hAnsi="Times New Roman"/>
          <w:noProof/>
          <w:sz w:val="24"/>
        </w:rPr>
        <w:t>Устройства и приложения, използващи „Галилео“ и EGNOS, се разработват от МСП и стартиращи предприятия. Европейските предприятия са изправени пред жестока конкуренция от страна на американски и китайски предприятия и са зависими от неевропейски основни компоненти и технологии. Необходимо е да се увеличи подкрепата за увеличаване на конкурентоспособността на европейската промишленост надолу по веригата с цел повишаване на нейния глобален пазарен дял и създаване на работни места. Трябва да се наблюдава подкрепата за научноизследователски и развойни дейности, МСП и стартиращи предприятия в областта на спътниковата навигация чрез програмите на ЕС за финансиране.</w:t>
      </w:r>
    </w:p>
    <w:p>
      <w:pPr>
        <w:jc w:val="both"/>
        <w:rPr>
          <w:rFonts w:ascii="Times New Roman" w:eastAsia="Times New Roman" w:hAnsi="Times New Roman" w:cs="Times New Roman"/>
          <w:b/>
          <w:smallCaps/>
          <w:noProof/>
          <w:sz w:val="24"/>
          <w:szCs w:val="20"/>
        </w:rPr>
      </w:pPr>
      <w:r>
        <w:rPr>
          <w:rFonts w:ascii="Times New Roman" w:hAnsi="Times New Roman"/>
          <w:noProof/>
          <w:sz w:val="24"/>
        </w:rPr>
        <w:t>Услугите на „Галилео“ и EGNOS трябва да продължат да се развиват въз основа на потребностите на ползвателите с цел предоставяне на първокласни услуги за спътникова навигация при по-голяма стабилност и нови иновационни функции. Това е още по-важно на фона на все по-конкурентната международна среда, в която други доставчици на спътникови услуги имат амбициозни планове за модернизация. Комисията вече работи върху новото поколение инфраструктура на „Галилео“ и EGNOS, която ще позволи модернизиране на услугите. С цел да се гарантира, че разработките са съобразени с потребностите на ползвателите, включително по отношение на сигурността, Комисията ще засили процеса на консултиране с ползвателите и ще разработи специални потребителски платформи.</w:t>
      </w:r>
    </w:p>
    <w:p>
      <w:pPr>
        <w:keepNext/>
        <w:tabs>
          <w:tab w:val="num" w:pos="480"/>
        </w:tabs>
        <w:spacing w:before="240" w:after="240" w:line="240" w:lineRule="auto"/>
        <w:ind w:left="480" w:hanging="480"/>
        <w:jc w:val="both"/>
        <w:outlineLvl w:val="0"/>
        <w:rPr>
          <w:rFonts w:ascii="Times New Roman" w:eastAsia="Times New Roman" w:hAnsi="Times New Roman" w:cs="Times New Roman"/>
          <w:b/>
          <w:smallCaps/>
          <w:noProof/>
          <w:sz w:val="24"/>
          <w:szCs w:val="20"/>
        </w:rPr>
      </w:pPr>
      <w:r>
        <w:rPr>
          <w:rFonts w:ascii="Times New Roman" w:hAnsi="Times New Roman"/>
          <w:b/>
          <w:smallCaps/>
          <w:noProof/>
          <w:sz w:val="24"/>
        </w:rPr>
        <w:t>4.2.</w:t>
      </w:r>
      <w:r>
        <w:rPr>
          <w:noProof/>
        </w:rPr>
        <w:tab/>
      </w:r>
      <w:r>
        <w:rPr>
          <w:rFonts w:ascii="Times New Roman" w:hAnsi="Times New Roman"/>
          <w:b/>
          <w:smallCaps/>
          <w:noProof/>
          <w:sz w:val="24"/>
        </w:rPr>
        <w:t>Услуги на „Галилео“ и EGNOS</w:t>
      </w:r>
    </w:p>
    <w:p>
      <w:pPr>
        <w:jc w:val="both"/>
        <w:rPr>
          <w:rFonts w:ascii="Times New Roman" w:hAnsi="Times New Roman" w:cs="Times New Roman"/>
          <w:noProof/>
          <w:sz w:val="24"/>
          <w:szCs w:val="24"/>
        </w:rPr>
      </w:pPr>
      <w:r>
        <w:rPr>
          <w:rFonts w:ascii="Times New Roman" w:hAnsi="Times New Roman"/>
          <w:noProof/>
          <w:sz w:val="24"/>
        </w:rPr>
        <w:t>След фазата на начални услуги Комисията ще гарантира постепенното подобряване на услугите на „Галилео“ с цел достигане на пълен оперативен капацитет до края на 2020 г. С оглед постигането на тази цел ще продължи разгръщането на космическата и наземната инфраструктура на „Галилео“. Комисията ще поръча необходимите услуги по изстрелване, за да осигури изстрелването на всички доставени спътници.</w:t>
      </w:r>
    </w:p>
    <w:p>
      <w:pPr>
        <w:jc w:val="both"/>
        <w:rPr>
          <w:rFonts w:ascii="Times New Roman" w:hAnsi="Times New Roman" w:cs="Times New Roman"/>
          <w:noProof/>
          <w:sz w:val="24"/>
          <w:szCs w:val="24"/>
        </w:rPr>
      </w:pPr>
      <w:r>
        <w:rPr>
          <w:rFonts w:ascii="Times New Roman" w:hAnsi="Times New Roman"/>
          <w:noProof/>
          <w:sz w:val="24"/>
        </w:rPr>
        <w:t>Преди 2020 г. ще бъде въведена и търговската услуга на „Галилео“, предлагаща иновативни функции за голяма точност и автентикация, като и двете се очаква да бъдат отличителни характеристики, обуславящи предпочитането на „Галилео“ от страна на ползвателите. Освен това Комисията започна работа върху развиването на системата след обстойни консултации с държавите членки и общностите на крайните ползватели, за да гарантира, че бъдещите услуги ще продължат да отговарят напълно на техните потребности.</w:t>
      </w:r>
    </w:p>
    <w:p>
      <w:pPr>
        <w:jc w:val="both"/>
        <w:rPr>
          <w:rFonts w:ascii="Times New Roman" w:hAnsi="Times New Roman" w:cs="Times New Roman"/>
          <w:noProof/>
          <w:sz w:val="24"/>
          <w:szCs w:val="24"/>
        </w:rPr>
      </w:pPr>
      <w:r>
        <w:rPr>
          <w:rFonts w:ascii="Times New Roman" w:hAnsi="Times New Roman"/>
          <w:noProof/>
          <w:sz w:val="24"/>
        </w:rPr>
        <w:t xml:space="preserve">За да се гарантира наличието на механизми за защита, съизмерими с нарастващите кибернетични заплахи, следва да се обърне специално внимание и на кибернетичната сигурност. </w:t>
      </w:r>
    </w:p>
    <w:p>
      <w:pPr>
        <w:jc w:val="both"/>
        <w:rPr>
          <w:rFonts w:ascii="Times New Roman" w:hAnsi="Times New Roman" w:cs="Times New Roman"/>
          <w:noProof/>
          <w:sz w:val="24"/>
          <w:szCs w:val="24"/>
        </w:rPr>
      </w:pPr>
      <w:r>
        <w:rPr>
          <w:rFonts w:ascii="Times New Roman" w:hAnsi="Times New Roman"/>
          <w:noProof/>
          <w:sz w:val="24"/>
        </w:rPr>
        <w:t>Услугите на EGNOS се предлагат на крайните ползватели в Европа при висока степен на стабилност и ефективност. Основна потребителска общност на EGNOS е авиационният сектор. С цел да се гарантира продължаването на услугите на EGNOS, ще продължат да се изпълняват периодични дейности и да се подготвят актуализации на системата. Комисията ще гарантира пълно обхващане на целевата област в съответствие с плана за развитие на услугите на EGNOS.</w:t>
      </w:r>
    </w:p>
    <w:p>
      <w:pPr>
        <w:jc w:val="both"/>
        <w:rPr>
          <w:rFonts w:ascii="Times New Roman" w:hAnsi="Times New Roman" w:cs="Times New Roman"/>
          <w:noProof/>
          <w:sz w:val="24"/>
          <w:szCs w:val="24"/>
        </w:rPr>
      </w:pPr>
      <w:r>
        <w:rPr>
          <w:rFonts w:ascii="Times New Roman" w:hAnsi="Times New Roman"/>
          <w:noProof/>
          <w:sz w:val="24"/>
        </w:rPr>
        <w:t>Успоредно с това напредва разработването на следващото поколение EGNOS. Тази нова версия ще допълни сигналите на GPS и на „Галилео“ на двойка честоти, което ще доведе до съществени подобрения на услугите на EGNOS и до увеличаване на използването им от ползвателите.</w:t>
      </w:r>
    </w:p>
    <w:p>
      <w:pPr>
        <w:jc w:val="both"/>
        <w:rPr>
          <w:rFonts w:ascii="Times New Roman" w:hAnsi="Times New Roman" w:cs="Times New Roman"/>
          <w:noProof/>
          <w:sz w:val="24"/>
          <w:szCs w:val="24"/>
        </w:rPr>
      </w:pPr>
      <w:r>
        <w:rPr>
          <w:rFonts w:ascii="Times New Roman" w:hAnsi="Times New Roman"/>
          <w:noProof/>
          <w:sz w:val="24"/>
        </w:rPr>
        <w:t xml:space="preserve">На последно място, за да се гарантира стабилността на услугите, Комисията ще оцени мерките за обезпечаване на доставката на основните компоненти за двете системи за спътникова навигация, особено чрез диверсификация на веригата на доставка. </w:t>
      </w:r>
    </w:p>
    <w:p>
      <w:pPr>
        <w:keepNext/>
        <w:tabs>
          <w:tab w:val="num" w:pos="480"/>
        </w:tabs>
        <w:spacing w:before="240" w:after="240" w:line="240" w:lineRule="auto"/>
        <w:jc w:val="both"/>
        <w:outlineLvl w:val="0"/>
        <w:rPr>
          <w:rFonts w:ascii="Times New Roman" w:eastAsia="Times New Roman" w:hAnsi="Times New Roman" w:cs="Times New Roman"/>
          <w:b/>
          <w:smallCaps/>
          <w:noProof/>
          <w:sz w:val="24"/>
          <w:szCs w:val="20"/>
        </w:rPr>
      </w:pPr>
      <w:r>
        <w:rPr>
          <w:rFonts w:ascii="Times New Roman" w:hAnsi="Times New Roman"/>
          <w:b/>
          <w:smallCaps/>
          <w:noProof/>
          <w:sz w:val="24"/>
        </w:rPr>
        <w:t>4.3.</w:t>
      </w:r>
      <w:r>
        <w:rPr>
          <w:noProof/>
        </w:rPr>
        <w:tab/>
      </w:r>
      <w:r>
        <w:rPr>
          <w:rFonts w:ascii="Times New Roman" w:hAnsi="Times New Roman"/>
          <w:b/>
          <w:smallCaps/>
          <w:noProof/>
          <w:sz w:val="24"/>
        </w:rPr>
        <w:t>Международно сътрудничество</w:t>
      </w:r>
    </w:p>
    <w:p>
      <w:pPr>
        <w:jc w:val="both"/>
        <w:rPr>
          <w:rFonts w:ascii="Times New Roman" w:hAnsi="Times New Roman" w:cs="Times New Roman"/>
          <w:noProof/>
          <w:sz w:val="24"/>
          <w:szCs w:val="24"/>
        </w:rPr>
      </w:pPr>
      <w:r>
        <w:rPr>
          <w:rFonts w:ascii="Times New Roman" w:hAnsi="Times New Roman"/>
          <w:noProof/>
          <w:sz w:val="24"/>
        </w:rPr>
        <w:t>Популяризирането и използването на услугите на „Галилео“ и EGNOS в световен план са важни за увеличаване на използването на европейски технологии в цял свят и за създаването на нови пазарни възможности за европейските предприятия. Очаква се въвеждането на технологията и услугите на EGNOS в Западните Балкани, държавите по Европейската политика за съседство (ЕПС) и Африка. Що се отнася до „Галилео“, вниманието ще бъде насочено към обещаващи пазари, които ще извлекат значителни ползи от нейните услуги и приложения, като например Азия и Южна Америка.</w:t>
      </w:r>
    </w:p>
    <w:p>
      <w:pPr>
        <w:jc w:val="both"/>
        <w:rPr>
          <w:rFonts w:ascii="Times New Roman" w:hAnsi="Times New Roman" w:cs="Times New Roman"/>
          <w:noProof/>
          <w:sz w:val="24"/>
          <w:szCs w:val="24"/>
        </w:rPr>
      </w:pPr>
      <w:r>
        <w:rPr>
          <w:rFonts w:ascii="Times New Roman" w:hAnsi="Times New Roman"/>
          <w:noProof/>
          <w:sz w:val="24"/>
        </w:rPr>
        <w:t>Програмите „Галилео“ и EGNOS са също така средство за укрепване на ролята на ЕС като световен фактор. Представянето на интересите на програмите пред международни организации и форуми трябва да бъде засилено, по-специално по отношение на теми, свързани със съгласуваността и оперативната съвместимост с други глобални спътникови навигационни системи и подходящото използване на радиочестотни ленти.</w:t>
      </w:r>
    </w:p>
    <w:p>
      <w:pPr>
        <w:keepNext/>
        <w:tabs>
          <w:tab w:val="num" w:pos="480"/>
        </w:tabs>
        <w:spacing w:before="240" w:after="240" w:line="240" w:lineRule="auto"/>
        <w:ind w:left="480" w:hanging="480"/>
        <w:jc w:val="both"/>
        <w:outlineLvl w:val="0"/>
        <w:rPr>
          <w:rFonts w:ascii="Times New Roman" w:eastAsia="Times New Roman" w:hAnsi="Times New Roman" w:cs="Times New Roman"/>
          <w:b/>
          <w:smallCaps/>
          <w:noProof/>
          <w:sz w:val="24"/>
          <w:szCs w:val="20"/>
        </w:rPr>
      </w:pPr>
      <w:r>
        <w:rPr>
          <w:rFonts w:ascii="Times New Roman" w:hAnsi="Times New Roman"/>
          <w:b/>
          <w:smallCaps/>
          <w:noProof/>
          <w:sz w:val="24"/>
        </w:rPr>
        <w:t>4.4.</w:t>
      </w:r>
      <w:r>
        <w:rPr>
          <w:noProof/>
        </w:rPr>
        <w:tab/>
      </w:r>
      <w:r>
        <w:rPr>
          <w:rFonts w:ascii="Times New Roman" w:hAnsi="Times New Roman"/>
          <w:b/>
          <w:smallCaps/>
          <w:noProof/>
          <w:sz w:val="24"/>
        </w:rPr>
        <w:t>Управление на програмите</w:t>
      </w:r>
    </w:p>
    <w:p>
      <w:pPr>
        <w:jc w:val="both"/>
        <w:rPr>
          <w:rFonts w:ascii="Times New Roman" w:hAnsi="Times New Roman" w:cs="Times New Roman"/>
          <w:noProof/>
          <w:sz w:val="24"/>
          <w:szCs w:val="24"/>
        </w:rPr>
      </w:pPr>
      <w:r>
        <w:rPr>
          <w:rFonts w:ascii="Times New Roman" w:hAnsi="Times New Roman"/>
          <w:noProof/>
          <w:sz w:val="24"/>
        </w:rPr>
        <w:t>Публичното управление на програмите, въведено за периода 2014 — 2020 г., осигури гладък преход от фазата на разгръщане към фазата на експлоатация на програмата „Галилео“. GSA постепенно се утвърждава в своята нова роля в оперативното управление на „Галилео“.</w:t>
      </w:r>
    </w:p>
    <w:p>
      <w:pPr>
        <w:jc w:val="both"/>
        <w:rPr>
          <w:rFonts w:ascii="Times New Roman" w:hAnsi="Times New Roman" w:cs="Times New Roman"/>
          <w:noProof/>
          <w:sz w:val="24"/>
          <w:szCs w:val="24"/>
        </w:rPr>
      </w:pPr>
      <w:r>
        <w:rPr>
          <w:rFonts w:ascii="Times New Roman" w:hAnsi="Times New Roman"/>
          <w:noProof/>
          <w:sz w:val="24"/>
        </w:rPr>
        <w:t>Опитът с оперативното управление на EGNOS показва, че най-ефективен е подходът, при който проектирането, изграждането, експлоатацията и предоставянето на услугите се извършват чрез напълно интегрирано управление.</w:t>
      </w:r>
    </w:p>
    <w:p>
      <w:pPr>
        <w:jc w:val="both"/>
        <w:rPr>
          <w:rFonts w:ascii="Times New Roman" w:hAnsi="Times New Roman" w:cs="Times New Roman"/>
          <w:noProof/>
          <w:sz w:val="24"/>
          <w:szCs w:val="24"/>
        </w:rPr>
      </w:pPr>
      <w:r>
        <w:rPr>
          <w:rFonts w:ascii="Times New Roman" w:hAnsi="Times New Roman"/>
          <w:noProof/>
          <w:sz w:val="24"/>
        </w:rPr>
        <w:t>Що се отнася до управлението на аспектите, свързани с рисковете по отношение на сигурността, въведени са подходящи механизми, гарантиращи гладкото управление на изискванията в хода на припокриващите се фази на разгръщане и експлоатация за периода до 2020 г. Автономното функциониране на организациите (Комисията, GSA и ЕКА), отговарящи за изпълнението и проверката на изискванията по отношение на сигурността, следва да се запази, а независимостта на дейностите по акредитация във връзка със сигурността от другите дейности по програмата следва да се подобри.</w:t>
      </w:r>
    </w:p>
    <w:p>
      <w:pPr>
        <w:jc w:val="both"/>
        <w:rPr>
          <w:rFonts w:ascii="Times New Roman" w:hAnsi="Times New Roman" w:cs="Times New Roman"/>
          <w:noProof/>
          <w:sz w:val="24"/>
          <w:szCs w:val="24"/>
        </w:rPr>
      </w:pPr>
      <w:r>
        <w:rPr>
          <w:rFonts w:ascii="Times New Roman" w:hAnsi="Times New Roman"/>
          <w:noProof/>
          <w:sz w:val="24"/>
        </w:rPr>
        <w:t>Комисията ще наблюдава и ако е необходимо, ще коригира взаимодействието с GSA, ЕКА и другите заинтересовани страни по програмата „Галилео“, по-специално за да се гарантира удовлетворяването на изискванията на фазата на експлоатация на „Галилео“.</w:t>
      </w:r>
    </w:p>
    <w:p>
      <w:pPr>
        <w:jc w:val="both"/>
        <w:rPr>
          <w:rFonts w:ascii="Times New Roman" w:hAnsi="Times New Roman" w:cs="Times New Roman"/>
          <w:noProof/>
          <w:sz w:val="24"/>
          <w:szCs w:val="24"/>
        </w:rPr>
      </w:pPr>
      <w:r>
        <w:rPr>
          <w:rFonts w:ascii="Times New Roman" w:hAnsi="Times New Roman"/>
          <w:noProof/>
          <w:sz w:val="24"/>
        </w:rPr>
        <w:t xml:space="preserve">Докато бъдат изготвени предложенията за следващата многогодишна рамка, Комисията ще инициира преглед на цялостното управление, за да се отстранят установените слабости в хода на процеса на оценката. </w:t>
      </w:r>
    </w:p>
    <w:p>
      <w:pPr>
        <w:pStyle w:val="Heading1"/>
        <w:rPr>
          <w:noProof/>
        </w:rPr>
      </w:pPr>
      <w:r>
        <w:rPr>
          <w:noProof/>
        </w:rPr>
        <w:t>5.</w:t>
      </w:r>
      <w:r>
        <w:rPr>
          <w:noProof/>
        </w:rPr>
        <w:tab/>
        <w:t>ЗАКЛЮЧЕНИЯ</w:t>
      </w:r>
    </w:p>
    <w:p>
      <w:pPr>
        <w:spacing w:after="240"/>
        <w:jc w:val="both"/>
        <w:rPr>
          <w:rFonts w:ascii="Times New Roman" w:eastAsia="Times New Roman" w:hAnsi="Times New Roman" w:cs="Times New Roman"/>
          <w:noProof/>
          <w:sz w:val="24"/>
          <w:szCs w:val="24"/>
        </w:rPr>
      </w:pPr>
      <w:r>
        <w:rPr>
          <w:rFonts w:ascii="Times New Roman" w:hAnsi="Times New Roman"/>
          <w:noProof/>
          <w:sz w:val="24"/>
        </w:rPr>
        <w:t>Представените в рамките на междинната оценка данни показват, че като цяло при изпълнението на Регламента за ГНСС и Регламента за GSA са постигнати добри резултати от гледна точка на общите критерии за оценка и специфичните изисквания по отношение на европейските програми за ГНСС. Всички ключови елементи, определени по отношение на програмите „Галилео“ и EGNOS за разглеждания период, са постигнати и се отбелязва напредък относно изпълнението на всички поставени за 2020 г. цели, отнасящи се до реализацията на програмите.</w:t>
      </w:r>
    </w:p>
    <w:p>
      <w:pPr>
        <w:jc w:val="both"/>
        <w:rPr>
          <w:rFonts w:ascii="Times New Roman" w:hAnsi="Times New Roman" w:cs="Times New Roman"/>
          <w:noProof/>
          <w:sz w:val="24"/>
          <w:szCs w:val="24"/>
        </w:rPr>
      </w:pPr>
      <w:r>
        <w:rPr>
          <w:rFonts w:ascii="Times New Roman" w:hAnsi="Times New Roman"/>
          <w:noProof/>
          <w:sz w:val="24"/>
        </w:rPr>
        <w:t>С поглед към бъдещето Комисията има за цел да разработи дългосрочна визия за програмите, която да дава възможност на предприятията и ползвателите да извлекат ползи от европейските навигационни спътникови системи. В тази връзка Комисията ще се стреми към по-голямо взаимодействие между космическите и отбранителните програми в съответствие с неотдавна приетите Космическа стратегия за Европа и План за действие в областта на отбраната.</w:t>
      </w:r>
    </w:p>
    <w:p>
      <w:pPr>
        <w:jc w:val="both"/>
        <w:rPr>
          <w:rFonts w:ascii="Times New Roman" w:hAnsi="Times New Roman" w:cs="Times New Roman"/>
          <w:noProof/>
          <w:sz w:val="24"/>
          <w:szCs w:val="24"/>
        </w:rPr>
      </w:pPr>
      <w:r>
        <w:rPr>
          <w:rFonts w:ascii="Times New Roman" w:hAnsi="Times New Roman"/>
          <w:noProof/>
          <w:sz w:val="24"/>
        </w:rPr>
        <w:t>Нарастващата необходимост от прецизна информация за местоположението, в съчетание с постоянното развитие на технологията за спътникова навигация, обуславя бъдещото нарастване на броя на ползвателите на „Галилео“ и EGNOS на европейския пазар. Освен това традиционният пазар на ГНСС ще бъде разширен с „интернет на предметите“, интелигентните градове и големите информационни масиви.</w:t>
      </w:r>
    </w:p>
    <w:p>
      <w:pPr>
        <w:jc w:val="both"/>
        <w:rPr>
          <w:rFonts w:ascii="Times New Roman" w:hAnsi="Times New Roman" w:cs="Times New Roman"/>
          <w:noProof/>
          <w:sz w:val="24"/>
          <w:szCs w:val="24"/>
        </w:rPr>
      </w:pPr>
      <w:r>
        <w:rPr>
          <w:rFonts w:ascii="Times New Roman" w:hAnsi="Times New Roman"/>
          <w:noProof/>
          <w:sz w:val="24"/>
        </w:rPr>
        <w:t xml:space="preserve">Ето защо следващите години ще бъдат от решаващо значение за консолидиране на постиженията и за подготовка на развитието на програмите. </w:t>
      </w: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8712608"/>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spacing w:after="120"/>
      </w:pPr>
      <w:r>
        <w:rPr>
          <w:rStyle w:val="FootnoteReference"/>
        </w:rPr>
        <w:footnoteRef/>
      </w:r>
      <w:r>
        <w:tab/>
        <w:t>COM(2016) 705 final, 26.10.2016 г.</w:t>
      </w:r>
    </w:p>
  </w:footnote>
  <w:footnote w:id="3">
    <w:p>
      <w:pPr>
        <w:pStyle w:val="FootnoteText"/>
        <w:spacing w:after="120"/>
      </w:pPr>
      <w:r>
        <w:rPr>
          <w:rStyle w:val="FootnoteReference"/>
        </w:rPr>
        <w:footnoteRef/>
      </w:r>
      <w:r>
        <w:tab/>
        <w:t>Регламент (ЕС) № 1285/2013 на Европейския парламент и на Съвета от 11 декември 2013 г. за изграждане и експлоатация на европейските навигационни спътникови системи и за отмяна на Регламент (ЕО) № 876/2002 на Съвета и на Регламент (ЕО) № 683/2008 на Европейския парламент и на Съвета (ОВ L 347, 20.12.2013 г., стр. 1).</w:t>
      </w:r>
    </w:p>
  </w:footnote>
  <w:footnote w:id="4">
    <w:p>
      <w:pPr>
        <w:pStyle w:val="FootnoteText"/>
      </w:pPr>
      <w:r>
        <w:rPr>
          <w:rStyle w:val="FootnoteReference"/>
        </w:rPr>
        <w:footnoteRef/>
      </w:r>
      <w:r>
        <w:tab/>
        <w:t>ГНСС: Глобална навигационна спътникова система.</w:t>
      </w:r>
    </w:p>
  </w:footnote>
  <w:footnote w:id="5">
    <w:p>
      <w:pPr>
        <w:spacing w:after="120"/>
        <w:ind w:left="357" w:hanging="357"/>
        <w:jc w:val="both"/>
        <w:rPr>
          <w:rFonts w:ascii="Times New Roman" w:eastAsia="Times New Roman" w:hAnsi="Times New Roman" w:cs="Times New Roman"/>
          <w:sz w:val="20"/>
          <w:szCs w:val="20"/>
        </w:rPr>
      </w:pPr>
      <w:r>
        <w:rPr>
          <w:rStyle w:val="FootnoteReference"/>
          <w:rFonts w:ascii="Verdana" w:hAnsi="Verdana"/>
          <w:sz w:val="16"/>
        </w:rPr>
        <w:footnoteRef/>
      </w:r>
      <w:r>
        <w:tab/>
      </w:r>
      <w:r>
        <w:rPr>
          <w:rFonts w:ascii="Times New Roman" w:hAnsi="Times New Roman"/>
          <w:sz w:val="20"/>
        </w:rPr>
        <w:t>Регламент (ЕС) № 1285/2013 на Европейския парламент и на Съвета от 11 декември 2013 г. за изграждане и експлоатация на европейските навигационни спътникови системи и за отмяна на Регламент (ЕО) № 876/2002 на Съвета и на Регламент (ЕО) № 683/2008 на Европейския парламент и на Съвета (ОВ L 347, 20.12.2013 г., стр. 1).</w:t>
      </w:r>
    </w:p>
  </w:footnote>
  <w:footnote w:id="6">
    <w:p>
      <w:pPr>
        <w:spacing w:after="120"/>
        <w:ind w:left="357" w:hanging="357"/>
        <w:jc w:val="both"/>
        <w:rPr>
          <w:rFonts w:ascii="Times New Roman" w:hAnsi="Times New Roman" w:cs="Times New Roman"/>
          <w:bCs/>
          <w:sz w:val="20"/>
          <w:szCs w:val="20"/>
        </w:rPr>
      </w:pPr>
      <w:r>
        <w:rPr>
          <w:rStyle w:val="FootnoteReference"/>
          <w:rFonts w:ascii="Times New Roman" w:hAnsi="Times New Roman"/>
          <w:sz w:val="20"/>
        </w:rPr>
        <w:footnoteRef/>
      </w:r>
      <w:r>
        <w:tab/>
      </w:r>
      <w:r>
        <w:rPr>
          <w:rFonts w:ascii="Times New Roman" w:hAnsi="Times New Roman"/>
          <w:sz w:val="20"/>
        </w:rPr>
        <w:t>Регламент (ЕС) № 912/2010 на Европейския парламент и на Съвета от 22 септември 2010 г. за създаване на Европейската агенция за ГНСС, за отмяна на Регламент (ЕО) № 1321/2004 на Съвета за създаване на структури за управление на европейските сателитни радионавигационни програми и за изменение на Регламент (ЕО) № 683/2008 на Европейския парламент и на Съвета (ОВ L 276, 20.10.2010 г, стр. 11).</w:t>
      </w:r>
    </w:p>
  </w:footnote>
  <w:footnote w:id="7">
    <w:p>
      <w:pPr>
        <w:spacing w:after="120"/>
        <w:ind w:left="357" w:hanging="357"/>
        <w:rPr>
          <w:rFonts w:ascii="Times New Roman" w:hAnsi="Times New Roman" w:cs="Times New Roman"/>
          <w:sz w:val="20"/>
          <w:szCs w:val="20"/>
        </w:rPr>
      </w:pPr>
      <w:r>
        <w:rPr>
          <w:rStyle w:val="FootnoteReference"/>
          <w:rFonts w:ascii="Times New Roman" w:hAnsi="Times New Roman"/>
          <w:sz w:val="20"/>
        </w:rPr>
        <w:footnoteRef/>
      </w:r>
      <w:r>
        <w:tab/>
      </w:r>
      <w:r>
        <w:rPr>
          <w:rFonts w:ascii="Times New Roman" w:hAnsi="Times New Roman"/>
          <w:sz w:val="20"/>
        </w:rPr>
        <w:t>По-добро регулиране. Насоки за оценка и проверки за пригодност.</w:t>
      </w:r>
      <w:r>
        <w:rPr>
          <w:rFonts w:ascii="Times New Roman" w:hAnsi="Times New Roman" w:cs="Times New Roman"/>
          <w:sz w:val="20"/>
          <w:szCs w:val="20"/>
        </w:rPr>
        <w:br/>
      </w:r>
      <w:hyperlink r:id="rId1">
        <w:r>
          <w:rPr>
            <w:rStyle w:val="Hyperlink"/>
            <w:rFonts w:ascii="Times New Roman" w:hAnsi="Times New Roman"/>
            <w:sz w:val="20"/>
          </w:rPr>
          <w:t>http://ec.europa.eu/smart-regulation/guidelines/ug_chap6_en.htm</w:t>
        </w:r>
      </w:hyperlink>
      <w:r>
        <w:rPr>
          <w:rFonts w:ascii="Times New Roman" w:hAnsi="Times New Roman"/>
          <w:sz w:val="20"/>
        </w:rPr>
        <w:t xml:space="preserve"> (направена справка със сайта на 12.4.2017 г.).</w:t>
      </w:r>
    </w:p>
  </w:footnote>
  <w:footnote w:id="8">
    <w:p>
      <w:pPr>
        <w:pStyle w:val="FootnoteText"/>
        <w:jc w:val="left"/>
      </w:pPr>
      <w:r>
        <w:rPr>
          <w:rStyle w:val="FootnoteReference"/>
        </w:rPr>
        <w:footnoteRef/>
      </w:r>
      <w:r>
        <w:tab/>
        <w:t>Анализ на въздействието на ГНСС върху икономиката на ЕС, ноември 2016 г. Изследване, проведено от VVA, GMV, Kontor Qwentes и LS.</w:t>
      </w:r>
    </w:p>
  </w:footnote>
  <w:footnote w:id="9">
    <w:p>
      <w:pPr>
        <w:pStyle w:val="FootnoteText"/>
        <w:spacing w:after="120"/>
      </w:pPr>
      <w:r>
        <w:rPr>
          <w:rStyle w:val="FootnoteReference"/>
        </w:rPr>
        <w:footnoteRef/>
      </w:r>
      <w:r>
        <w:tab/>
        <w:t>Европейска агенция за ГНСС: доклад за пазара на ГНСС, бр. 5 (май 2017 г.), стр. 13.</w:t>
      </w:r>
    </w:p>
  </w:footnote>
  <w:footnote w:id="10">
    <w:p>
      <w:pPr>
        <w:pStyle w:val="FootnoteText"/>
      </w:pPr>
      <w:r>
        <w:rPr>
          <w:rStyle w:val="FootnoteReference"/>
        </w:rPr>
        <w:footnoteRef/>
      </w:r>
      <w:r>
        <w:tab/>
        <w:t>Европейска агенция за ГНСС: доклад за пазара на ГНСС, бр. 5 (май 2017 г.), стр. 13.</w:t>
      </w:r>
    </w:p>
  </w:footnote>
  <w:footnote w:id="11">
    <w:p>
      <w:pPr>
        <w:pStyle w:val="FootnoteText"/>
        <w:jc w:val="left"/>
      </w:pPr>
      <w:r>
        <w:rPr>
          <w:rStyle w:val="FootnoteReference"/>
        </w:rPr>
        <w:footnoteRef/>
      </w:r>
      <w:r>
        <w:tab/>
        <w:t>Европейска агенция за ГНСС: обобщение на постиженията през 2016 г., стр. 6.</w:t>
      </w:r>
      <w:r>
        <w:br/>
      </w:r>
      <w:hyperlink r:id="rId2">
        <w:r>
          <w:rPr>
            <w:rStyle w:val="Hyperlink"/>
          </w:rPr>
          <w:t>https://www.gsa.europa.eu/sites/default/files/2016_gsa_summary_report.pdf</w:t>
        </w:r>
      </w:hyperlink>
    </w:p>
  </w:footnote>
  <w:footnote w:id="12">
    <w:p>
      <w:pPr>
        <w:pStyle w:val="FootnoteText"/>
      </w:pPr>
      <w:r>
        <w:rPr>
          <w:rStyle w:val="FootnoteReference"/>
        </w:rPr>
        <w:footnoteRef/>
      </w:r>
      <w:r>
        <w:tab/>
        <w:t>Европейска агенция за ГНСС: доклад за пазара на ГНСС, бр. 5 (май 2017 г.), стр. 15.</w:t>
      </w:r>
    </w:p>
  </w:footnote>
  <w:footnote w:id="13">
    <w:p>
      <w:pPr>
        <w:pStyle w:val="FootnoteText"/>
      </w:pPr>
      <w:r>
        <w:rPr>
          <w:rStyle w:val="FootnoteReference"/>
        </w:rPr>
        <w:footnoteRef/>
      </w:r>
      <w:r>
        <w:tab/>
        <w:t>Европейска агенция за ГНСС: доклад за пазара на ГНСС, бр. 5 (май 2017 г.), стр.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643A2"/>
    <w:multiLevelType w:val="hybridMultilevel"/>
    <w:tmpl w:val="BD7CD498"/>
    <w:lvl w:ilvl="0" w:tplc="34ECA4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255A69"/>
    <w:multiLevelType w:val="hybridMultilevel"/>
    <w:tmpl w:val="84B0BF5A"/>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
    <w:nsid w:val="13D03500"/>
    <w:multiLevelType w:val="hybridMultilevel"/>
    <w:tmpl w:val="FA30C13E"/>
    <w:lvl w:ilvl="0" w:tplc="0BD2B222">
      <w:numFmt w:val="bullet"/>
      <w:lvlText w:val="•"/>
      <w:lvlJc w:val="left"/>
      <w:pPr>
        <w:ind w:left="720" w:hanging="360"/>
      </w:pPr>
      <w:rPr>
        <w:rFonts w:ascii="Arial" w:hAnsi="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3F11D6C"/>
    <w:multiLevelType w:val="hybridMultilevel"/>
    <w:tmpl w:val="D85CE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9">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372E0B7C"/>
    <w:multiLevelType w:val="hybridMultilevel"/>
    <w:tmpl w:val="A6E87FD4"/>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11">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2">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3">
    <w:nsid w:val="3F7832EE"/>
    <w:multiLevelType w:val="hybridMultilevel"/>
    <w:tmpl w:val="43DE116E"/>
    <w:lvl w:ilvl="0" w:tplc="D20216C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4650D81"/>
    <w:multiLevelType w:val="hybridMultilevel"/>
    <w:tmpl w:val="84B0BF5A"/>
    <w:lvl w:ilvl="0" w:tplc="0809001B">
      <w:start w:val="1"/>
      <w:numFmt w:val="lowerRoman"/>
      <w:lvlText w:val="%1."/>
      <w:lvlJc w:val="right"/>
      <w:pPr>
        <w:ind w:left="3960" w:hanging="360"/>
      </w:p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5">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7">
    <w:nsid w:val="57EF3C6F"/>
    <w:multiLevelType w:val="hybridMultilevel"/>
    <w:tmpl w:val="9FC84CDC"/>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18">
    <w:nsid w:val="58B269B6"/>
    <w:multiLevelType w:val="hybridMultilevel"/>
    <w:tmpl w:val="69823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B395AAA"/>
    <w:multiLevelType w:val="singleLevel"/>
    <w:tmpl w:val="96D02E8A"/>
    <w:name w:val="Bullet 1"/>
    <w:lvl w:ilvl="0">
      <w:start w:val="1"/>
      <w:numFmt w:val="bullet"/>
      <w:lvlRestart w:val="0"/>
      <w:lvlText w:val=""/>
      <w:lvlJc w:val="left"/>
      <w:pPr>
        <w:tabs>
          <w:tab w:val="num" w:pos="1417"/>
        </w:tabs>
        <w:ind w:left="1417" w:hanging="567"/>
      </w:pPr>
      <w:rPr>
        <w:rFonts w:ascii="Symbol" w:hAnsi="Symbol" w:hint="default"/>
      </w:rPr>
    </w:lvl>
  </w:abstractNum>
  <w:abstractNum w:abstractNumId="20">
    <w:nsid w:val="5C1C5C89"/>
    <w:multiLevelType w:val="hybridMultilevel"/>
    <w:tmpl w:val="9FC84CDC"/>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2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2">
    <w:nsid w:val="5E716FE3"/>
    <w:multiLevelType w:val="hybridMultilevel"/>
    <w:tmpl w:val="008099B2"/>
    <w:lvl w:ilvl="0" w:tplc="4828B13E">
      <w:start w:val="1"/>
      <w:numFmt w:val="bullet"/>
      <w:lvlText w:val=""/>
      <w:lvlJc w:val="left"/>
      <w:pPr>
        <w:ind w:left="360" w:hanging="360"/>
      </w:pPr>
      <w:rPr>
        <w:rFonts w:ascii="Symbol" w:hAnsi="Symbol" w:hint="default"/>
        <w:lang w:val="en-US"/>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4">
    <w:nsid w:val="60C664E4"/>
    <w:multiLevelType w:val="hybridMultilevel"/>
    <w:tmpl w:val="A6E87FD4"/>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25">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6">
    <w:nsid w:val="62970F71"/>
    <w:multiLevelType w:val="singleLevel"/>
    <w:tmpl w:val="5AFA8C72"/>
    <w:name w:val="Tiret 2"/>
    <w:lvl w:ilvl="0">
      <w:start w:val="1"/>
      <w:numFmt w:val="bullet"/>
      <w:lvlRestart w:val="0"/>
      <w:pStyle w:val="Tiret2"/>
      <w:lvlText w:val="–"/>
      <w:lvlJc w:val="left"/>
      <w:pPr>
        <w:tabs>
          <w:tab w:val="num" w:pos="1984"/>
        </w:tabs>
        <w:ind w:left="1984" w:hanging="567"/>
      </w:pPr>
    </w:lvl>
  </w:abstractNum>
  <w:abstractNum w:abstractNumId="27">
    <w:nsid w:val="68BB1FEE"/>
    <w:multiLevelType w:val="hybridMultilevel"/>
    <w:tmpl w:val="03BA57E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9">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6"/>
  </w:num>
  <w:num w:numId="2">
    <w:abstractNumId w:val="12"/>
  </w:num>
  <w:num w:numId="3">
    <w:abstractNumId w:val="6"/>
  </w:num>
  <w:num w:numId="4">
    <w:abstractNumId w:val="11"/>
  </w:num>
  <w:num w:numId="5">
    <w:abstractNumId w:val="25"/>
  </w:num>
  <w:num w:numId="6">
    <w:abstractNumId w:val="28"/>
  </w:num>
  <w:num w:numId="7">
    <w:abstractNumId w:val="8"/>
  </w:num>
  <w:num w:numId="8">
    <w:abstractNumId w:val="23"/>
  </w:num>
  <w:num w:numId="9">
    <w:abstractNumId w:val="21"/>
  </w:num>
  <w:num w:numId="10">
    <w:abstractNumId w:val="15"/>
  </w:num>
  <w:num w:numId="11">
    <w:abstractNumId w:val="16"/>
  </w:num>
  <w:num w:numId="12">
    <w:abstractNumId w:val="4"/>
  </w:num>
  <w:num w:numId="13">
    <w:abstractNumId w:val="9"/>
  </w:num>
  <w:num w:numId="14">
    <w:abstractNumId w:val="3"/>
  </w:num>
  <w:num w:numId="15">
    <w:abstractNumId w:val="7"/>
  </w:num>
  <w:num w:numId="16">
    <w:abstractNumId w:val="29"/>
  </w:num>
  <w:num w:numId="17">
    <w:abstractNumId w:val="18"/>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3"/>
  </w:num>
  <w:num w:numId="21">
    <w:abstractNumId w:val="22"/>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24"/>
  </w:num>
  <w:num w:numId="25">
    <w:abstractNumId w:val="10"/>
  </w:num>
  <w:num w:numId="26">
    <w:abstractNumId w:val="20"/>
  </w:num>
  <w:num w:numId="27">
    <w:abstractNumId w:val="17"/>
  </w:num>
  <w:num w:numId="28">
    <w:abstractNumId w:val="14"/>
  </w:num>
  <w:num w:numId="29">
    <w:abstractNumId w:val="1"/>
  </w:num>
  <w:num w:numId="30">
    <w:abstractNumId w:val="0"/>
  </w:num>
  <w:num w:numId="31">
    <w:abstractNumId w:val="19"/>
    <w:lvlOverride w:ilvl="0">
      <w:startOverride w:val="1"/>
    </w:lvlOverride>
  </w:num>
  <w:num w:numId="32">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removePersonalInformation/>
  <w:removeDateAndTime/>
  <w:doNotDisplayPageBoundaries/>
  <w:hideSpellingErrors/>
  <w:hideGrammaticalErrors/>
  <w:revisionView w:markup="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3BD4B605152543A7956281440E9415B0"/>
    <w:docVar w:name="LW_CROSSREFERENCE" w:val="{SWD(2017) 346 final}"/>
    <w:docVar w:name="LW_DocType" w:val="NORMAL"/>
    <w:docVar w:name="LW_EMISSION" w:val="23.10.2017"/>
    <w:docVar w:name="LW_EMISSION_ISODATE" w:val="2017-10-23"/>
    <w:docVar w:name="LW_EMISSION_LOCATION" w:val="BRX"/>
    <w:docVar w:name="LW_EMISSION_PREFIX" w:val="Брюксел, "/>
    <w:docVar w:name="LW_EMISSION_SUFFIX" w:val=" \u1075?."/>
    <w:docVar w:name="LW_ID_DOCTYPE_NONLW" w:val="CP-006"/>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616"/>
    <w:docVar w:name="LW_REF.INTERNE" w:val="&lt;UNUSED&gt;"/>
    <w:docVar w:name="LW_SOUS.TITRE.OBJ.CP" w:val="&lt;UNUSED&gt;"/>
    <w:docVar w:name="LW_SUPERTITRE" w:val="&lt;UNUSED&gt;"/>
    <w:docVar w:name="LW_TITRE.OBJ.CP" w:val="\u1086?\u1090?\u1085?\u1086?\u1089?\u1085?\u1086? \u1080?\u1079?\u1087?\u1098?\u1083?\u1085?\u1077?\u1085?\u1080?\u1077?\u1090?\u1086? \u1085?\u1072? \u1087?\u1088?\u1086?\u1075?\u1088?\u1072?\u1084?\u1080?\u1090?\u1077? \u8222?\u1043?\u1072?\u1083?\u1080?\u1083?\u1077?\u1086?\u8220? \u1080? EGNOS \u1080? \u1086?\u1090?\u1085?\u1086?\u1089?\u1085?\u1086? \u1076?\u1077?\u1081?\u1085?\u1086?\u1089?\u1090?\u1090?\u1072? \u1085?\u1072? \u1045?\u1074?\u1088?\u1086?\u1087?\u1077?\u1081?\u1089?\u1082?\u1072?\u1090?\u1072? \u1072?\u1075?\u1077?\u1085?\u1094?\u1080?\u1103? \u1079?\u1072? \u1043?\u1053?\u1057?\u1057?"/>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qFormat="1"/>
    <w:lsdException w:name="List Bullet 2" w:uiPriority="0"/>
    <w:lsdException w:name="List Bullet 3" w:uiPriority="0"/>
    <w:lsdException w:name="List Bullet 4" w:uiPriority="0"/>
    <w:lsdException w:name="List Number 2" w:uiPriority="0" w:qFormat="1"/>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pPr>
      <w:keepNext/>
      <w:tabs>
        <w:tab w:val="num" w:pos="480"/>
      </w:tabs>
      <w:spacing w:before="240" w:after="240" w:line="240" w:lineRule="auto"/>
      <w:ind w:left="480" w:hanging="480"/>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pPr>
      <w:keepNext/>
      <w:tabs>
        <w:tab w:val="num" w:pos="1200"/>
      </w:tabs>
      <w:spacing w:after="240" w:line="240" w:lineRule="auto"/>
      <w:ind w:left="1200" w:hanging="720"/>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pPr>
      <w:keepNext/>
      <w:tabs>
        <w:tab w:val="num" w:pos="1997"/>
      </w:tabs>
      <w:spacing w:after="240" w:line="240" w:lineRule="auto"/>
      <w:ind w:left="1997" w:hanging="720"/>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tabs>
        <w:tab w:val="num" w:pos="1854"/>
      </w:tabs>
      <w:spacing w:after="240" w:line="240" w:lineRule="auto"/>
      <w:ind w:left="1854" w:hanging="720"/>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character" w:customStyle="1" w:styleId="Heading1Char">
    <w:name w:val="Heading 1 Char"/>
    <w:basedOn w:val="DefaultParagraphFont"/>
    <w:link w:val="Heading1"/>
    <w:uiPriority w:val="99"/>
    <w:rPr>
      <w:rFonts w:ascii="Times New Roman" w:eastAsia="Times New Roman" w:hAnsi="Times New Roman" w:cs="Times New Roman"/>
      <w:b/>
      <w:smallCaps/>
      <w:sz w:val="24"/>
      <w:szCs w:val="20"/>
    </w:rPr>
  </w:style>
  <w:style w:type="paragraph" w:styleId="FootnoteText">
    <w:name w:val="footnote text"/>
    <w:aliases w:val="Schriftart: 9 pt,Schriftart: 10 pt,Schriftart: 8 pt,WB-Fußnotentext,WB-Fußnotentext Char Char,WB-Fußnotentext Char,stile 1,Footnote,Footnote1,Footnote2,Footnote3,Footnote4,Footnote5,Footnote6,Footnote7,Footnote8,Footnote9,Footnote10,fn,st"/>
    <w:basedOn w:val="Normal"/>
    <w:link w:val="FootnoteTextChar"/>
    <w:uiPriority w:val="99"/>
    <w:qFormat/>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Schriftart: 9 pt Char,Schriftart: 10 pt Char,Schriftart: 8 pt Char,WB-Fußnotentext Char1,WB-Fußnotentext Char Char Char,WB-Fußnotentext Char Char1,stile 1 Char,Footnote Char,Footnote1 Char,Footnote2 Char,Footnote3 Char,Footnote4 Char"/>
    <w:basedOn w:val="DefaultParagraphFont"/>
    <w:link w:val="FootnoteText"/>
    <w:uiPriority w:val="99"/>
    <w:rPr>
      <w:rFonts w:ascii="Times New Roman" w:eastAsia="Times New Roman" w:hAnsi="Times New Roman" w:cs="Times New Roman"/>
      <w:sz w:val="20"/>
      <w:szCs w:val="20"/>
    </w:rPr>
  </w:style>
  <w:style w:type="paragraph" w:customStyle="1" w:styleId="ListDash1">
    <w:name w:val="List Dash 1"/>
    <w:basedOn w:val="Normal"/>
    <w:pPr>
      <w:numPr>
        <w:numId w:val="8"/>
      </w:numPr>
      <w:spacing w:after="240" w:line="240" w:lineRule="auto"/>
      <w:jc w:val="both"/>
    </w:pPr>
    <w:rPr>
      <w:rFonts w:ascii="Times New Roman" w:eastAsia="Times New Roman" w:hAnsi="Times New Roman" w:cs="Times New Roman"/>
      <w:sz w:val="24"/>
      <w:szCs w:val="20"/>
    </w:rPr>
  </w:style>
  <w:style w:type="character" w:styleId="FootnoteReference">
    <w:name w:val="footnote reference"/>
    <w:aliases w:val="Footnote symbol,-E Fußnotenzeichen,Footnote Reference Superscript,BVI fnr,Times 10 Point,Exposant 3 Point,footnote ref,Footnote Reference Number,Voetnootverwijzing,Fußnotenzeichen2,Footnote reference number, BVI fnr, Exposant 3 Point"/>
    <w:basedOn w:val="DefaultParagraphFont"/>
    <w:link w:val="CharCharChar1"/>
    <w:uiPriority w:val="99"/>
    <w:qFormat/>
    <w:rPr>
      <w:rFonts w:cs="Times New Roman"/>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Paragraph">
    <w:name w:val="List Paragraph"/>
    <w:aliases w:val="GSA List,Dot pt,F5 List Paragraph,List Paragraph Char Char Char,Indicator Text,Numbered Para 1,Bullet 1,Bullet Points,List Paragraph2,MAIN CONTENT,Normal numbered,List Paragraph1,Issue Action POC,3,POCG Table Text,No Spacing1,Bullet list"/>
    <w:basedOn w:val="Normal"/>
    <w:link w:val="ListParagraphChar"/>
    <w:qFormat/>
    <w:pPr>
      <w:ind w:left="720"/>
      <w:contextualSpacing/>
    </w:pPr>
  </w:style>
  <w:style w:type="paragraph" w:customStyle="1" w:styleId="Contact">
    <w:name w:val="Contact"/>
    <w:basedOn w:val="Normal"/>
    <w:next w:val="Normal"/>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pPr>
      <w:numPr>
        <w:numId w:val="3"/>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pPr>
      <w:numPr>
        <w:numId w:val="4"/>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pPr>
      <w:numPr>
        <w:numId w:val="5"/>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pPr>
      <w:numPr>
        <w:numId w:val="11"/>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uiPriority w:val="99"/>
    <w:qFormat/>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pPr>
      <w:numPr>
        <w:numId w:val="1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qFormat/>
    <w:pPr>
      <w:numPr>
        <w:numId w:val="1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pPr>
      <w:numPr>
        <w:numId w:val="1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pPr>
      <w:numPr>
        <w:ilvl w:val="3"/>
        <w:numId w:val="1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rPr>
  </w:style>
  <w:style w:type="paragraph" w:styleId="TOC2">
    <w:name w:val="toc 2"/>
    <w:basedOn w:val="Normal"/>
    <w:next w:val="Normal"/>
    <w:semiHidden/>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OC3">
    <w:name w:val="toc 3"/>
    <w:basedOn w:val="Normal"/>
    <w:next w:val="Normal"/>
    <w:semiHidden/>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rPr>
  </w:style>
  <w:style w:type="paragraph" w:styleId="TOC4">
    <w:name w:val="toc 4"/>
    <w:basedOn w:val="Normal"/>
    <w:next w:val="Normal"/>
    <w:semiHidden/>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rPr>
  </w:style>
  <w:style w:type="paragraph" w:customStyle="1" w:styleId="TRLBodyText">
    <w:name w:val="TRL Body Text"/>
    <w:link w:val="TRLBodyTextChar"/>
    <w:qFormat/>
    <w:pPr>
      <w:spacing w:after="120" w:line="280" w:lineRule="atLeast"/>
      <w:jc w:val="both"/>
    </w:pPr>
    <w:rPr>
      <w:rFonts w:ascii="Verdana" w:eastAsia="Times New Roman" w:hAnsi="Verdana" w:cs="Times New Roman"/>
      <w:sz w:val="20"/>
      <w:szCs w:val="20"/>
    </w:rPr>
  </w:style>
  <w:style w:type="character" w:customStyle="1" w:styleId="TRLBodyTextChar">
    <w:name w:val="TRL Body Text Char"/>
    <w:basedOn w:val="DefaultParagraphFont"/>
    <w:link w:val="TRLBodyText"/>
    <w:rPr>
      <w:rFonts w:ascii="Verdana" w:eastAsia="Times New Roman" w:hAnsi="Verdana" w:cs="Times New Roman"/>
      <w:sz w:val="20"/>
      <w:szCs w:val="20"/>
      <w:lang w:eastAsia="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Tiret2">
    <w:name w:val="Tiret 2"/>
    <w:basedOn w:val="Normal"/>
    <w:uiPriority w:val="99"/>
    <w:pPr>
      <w:numPr>
        <w:numId w:val="1"/>
      </w:numPr>
      <w:spacing w:before="120" w:after="120" w:line="240" w:lineRule="auto"/>
      <w:jc w:val="both"/>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Sous-titreobjet">
    <w:name w:val="Sous-titre objet"/>
    <w:basedOn w:val="Normal"/>
    <w:pPr>
      <w:spacing w:after="0" w:line="240" w:lineRule="auto"/>
      <w:jc w:val="center"/>
    </w:pPr>
    <w:rPr>
      <w:rFonts w:ascii="Times New Roman" w:hAnsi="Times New Roman" w:cs="Times New Roman"/>
      <w:b/>
      <w:sz w:val="24"/>
    </w:rPr>
  </w:style>
  <w:style w:type="character" w:styleId="Strong">
    <w:name w:val="Strong"/>
    <w:basedOn w:val="DefaultParagraphFont"/>
    <w:uiPriority w:val="22"/>
    <w:qFormat/>
    <w:rPr>
      <w:b/>
      <w:bCs/>
    </w:rPr>
  </w:style>
  <w:style w:type="paragraph" w:customStyle="1" w:styleId="Alphabeticlist">
    <w:name w:val="Alphabetic list"/>
    <w:basedOn w:val="ListNumber4"/>
    <w:link w:val="AlphabeticlistChar"/>
    <w:qFormat/>
    <w:pPr>
      <w:numPr>
        <w:numId w:val="0"/>
      </w:numPr>
    </w:pPr>
    <w:rPr>
      <w:rFonts w:ascii="Verdana" w:hAnsi="Verdana"/>
      <w:sz w:val="18"/>
      <w:szCs w:val="18"/>
    </w:rPr>
  </w:style>
  <w:style w:type="character" w:customStyle="1" w:styleId="AlphabeticlistChar">
    <w:name w:val="Alphabetic list Char"/>
    <w:basedOn w:val="DefaultParagraphFont"/>
    <w:link w:val="Alphabeticlist"/>
    <w:rPr>
      <w:rFonts w:ascii="Verdana" w:eastAsia="Times New Roman" w:hAnsi="Verdana" w:cs="Times New Roman"/>
      <w:sz w:val="18"/>
      <w:szCs w:val="18"/>
      <w:lang w:val="bg-BG"/>
    </w:rPr>
  </w:style>
  <w:style w:type="paragraph" w:customStyle="1" w:styleId="Body">
    <w:name w:val="Body"/>
    <w:basedOn w:val="Normal"/>
    <w:link w:val="BodyChar"/>
    <w:qFormat/>
    <w:pPr>
      <w:spacing w:after="240" w:line="240" w:lineRule="auto"/>
      <w:jc w:val="both"/>
    </w:pPr>
    <w:rPr>
      <w:rFonts w:ascii="Verdana" w:eastAsia="Times New Roman" w:hAnsi="Verdana" w:cs="Times New Roman"/>
      <w:sz w:val="18"/>
      <w:szCs w:val="20"/>
    </w:rPr>
  </w:style>
  <w:style w:type="character" w:customStyle="1" w:styleId="BodyChar">
    <w:name w:val="Body Char"/>
    <w:link w:val="Body"/>
    <w:rPr>
      <w:rFonts w:ascii="Verdana" w:eastAsia="Times New Roman" w:hAnsi="Verdana" w:cs="Times New Roman"/>
      <w:sz w:val="18"/>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customStyle="1" w:styleId="CharCharChar1">
    <w:name w:val="Char Char Char1"/>
    <w:basedOn w:val="Normal"/>
    <w:link w:val="FootnoteReference"/>
    <w:uiPriority w:val="99"/>
    <w:pPr>
      <w:spacing w:after="160" w:line="240" w:lineRule="exact"/>
    </w:pPr>
    <w:rPr>
      <w:rFonts w:cs="Times New Roman"/>
      <w:vertAlign w:val="superscript"/>
    </w:rPr>
  </w:style>
  <w:style w:type="character" w:customStyle="1" w:styleId="ListParagraphChar">
    <w:name w:val="List Paragraph Char"/>
    <w:aliases w:val="GSA List Char,Dot pt Char,F5 List Paragraph Char,List Paragraph Char Char Char Char,Indicator Text Char,Numbered Para 1 Char,Bullet 1 Char,Bullet Points Char,List Paragraph2 Char,MAIN CONTENT Char,Normal numbered Char,3 Char"/>
    <w:basedOn w:val="DefaultParagraphFont"/>
    <w:link w:val="ListParagraph"/>
    <w:uiPriority w:val="34"/>
    <w:lock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qFormat="1"/>
    <w:lsdException w:name="List Bullet 2" w:uiPriority="0"/>
    <w:lsdException w:name="List Bullet 3" w:uiPriority="0"/>
    <w:lsdException w:name="List Bullet 4" w:uiPriority="0"/>
    <w:lsdException w:name="List Number 2" w:uiPriority="0" w:qFormat="1"/>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pPr>
      <w:keepNext/>
      <w:tabs>
        <w:tab w:val="num" w:pos="480"/>
      </w:tabs>
      <w:spacing w:before="240" w:after="240" w:line="240" w:lineRule="auto"/>
      <w:ind w:left="480" w:hanging="480"/>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pPr>
      <w:keepNext/>
      <w:tabs>
        <w:tab w:val="num" w:pos="1200"/>
      </w:tabs>
      <w:spacing w:after="240" w:line="240" w:lineRule="auto"/>
      <w:ind w:left="1200" w:hanging="720"/>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pPr>
      <w:keepNext/>
      <w:tabs>
        <w:tab w:val="num" w:pos="1997"/>
      </w:tabs>
      <w:spacing w:after="240" w:line="240" w:lineRule="auto"/>
      <w:ind w:left="1997" w:hanging="720"/>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tabs>
        <w:tab w:val="num" w:pos="1854"/>
      </w:tabs>
      <w:spacing w:after="240" w:line="240" w:lineRule="auto"/>
      <w:ind w:left="1854" w:hanging="720"/>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character" w:customStyle="1" w:styleId="Heading1Char">
    <w:name w:val="Heading 1 Char"/>
    <w:basedOn w:val="DefaultParagraphFont"/>
    <w:link w:val="Heading1"/>
    <w:uiPriority w:val="99"/>
    <w:rPr>
      <w:rFonts w:ascii="Times New Roman" w:eastAsia="Times New Roman" w:hAnsi="Times New Roman" w:cs="Times New Roman"/>
      <w:b/>
      <w:smallCaps/>
      <w:sz w:val="24"/>
      <w:szCs w:val="20"/>
    </w:rPr>
  </w:style>
  <w:style w:type="paragraph" w:styleId="FootnoteText">
    <w:name w:val="footnote text"/>
    <w:aliases w:val="Schriftart: 9 pt,Schriftart: 10 pt,Schriftart: 8 pt,WB-Fußnotentext,WB-Fußnotentext Char Char,WB-Fußnotentext Char,stile 1,Footnote,Footnote1,Footnote2,Footnote3,Footnote4,Footnote5,Footnote6,Footnote7,Footnote8,Footnote9,Footnote10,fn,st"/>
    <w:basedOn w:val="Normal"/>
    <w:link w:val="FootnoteTextChar"/>
    <w:uiPriority w:val="99"/>
    <w:qFormat/>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Schriftart: 9 pt Char,Schriftart: 10 pt Char,Schriftart: 8 pt Char,WB-Fußnotentext Char1,WB-Fußnotentext Char Char Char,WB-Fußnotentext Char Char1,stile 1 Char,Footnote Char,Footnote1 Char,Footnote2 Char,Footnote3 Char,Footnote4 Char"/>
    <w:basedOn w:val="DefaultParagraphFont"/>
    <w:link w:val="FootnoteText"/>
    <w:uiPriority w:val="99"/>
    <w:rPr>
      <w:rFonts w:ascii="Times New Roman" w:eastAsia="Times New Roman" w:hAnsi="Times New Roman" w:cs="Times New Roman"/>
      <w:sz w:val="20"/>
      <w:szCs w:val="20"/>
    </w:rPr>
  </w:style>
  <w:style w:type="paragraph" w:customStyle="1" w:styleId="ListDash1">
    <w:name w:val="List Dash 1"/>
    <w:basedOn w:val="Normal"/>
    <w:pPr>
      <w:numPr>
        <w:numId w:val="8"/>
      </w:numPr>
      <w:spacing w:after="240" w:line="240" w:lineRule="auto"/>
      <w:jc w:val="both"/>
    </w:pPr>
    <w:rPr>
      <w:rFonts w:ascii="Times New Roman" w:eastAsia="Times New Roman" w:hAnsi="Times New Roman" w:cs="Times New Roman"/>
      <w:sz w:val="24"/>
      <w:szCs w:val="20"/>
    </w:rPr>
  </w:style>
  <w:style w:type="character" w:styleId="FootnoteReference">
    <w:name w:val="footnote reference"/>
    <w:aliases w:val="Footnote symbol,-E Fußnotenzeichen,Footnote Reference Superscript,BVI fnr,Times 10 Point,Exposant 3 Point,footnote ref,Footnote Reference Number,Voetnootverwijzing,Fußnotenzeichen2,Footnote reference number, BVI fnr, Exposant 3 Point"/>
    <w:basedOn w:val="DefaultParagraphFont"/>
    <w:link w:val="CharCharChar1"/>
    <w:uiPriority w:val="99"/>
    <w:qFormat/>
    <w:rPr>
      <w:rFonts w:cs="Times New Roman"/>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Paragraph">
    <w:name w:val="List Paragraph"/>
    <w:aliases w:val="GSA List,Dot pt,F5 List Paragraph,List Paragraph Char Char Char,Indicator Text,Numbered Para 1,Bullet 1,Bullet Points,List Paragraph2,MAIN CONTENT,Normal numbered,List Paragraph1,Issue Action POC,3,POCG Table Text,No Spacing1,Bullet list"/>
    <w:basedOn w:val="Normal"/>
    <w:link w:val="ListParagraphChar"/>
    <w:qFormat/>
    <w:pPr>
      <w:ind w:left="720"/>
      <w:contextualSpacing/>
    </w:pPr>
  </w:style>
  <w:style w:type="paragraph" w:customStyle="1" w:styleId="Contact">
    <w:name w:val="Contact"/>
    <w:basedOn w:val="Normal"/>
    <w:next w:val="Normal"/>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pPr>
      <w:numPr>
        <w:numId w:val="3"/>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pPr>
      <w:numPr>
        <w:numId w:val="4"/>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pPr>
      <w:numPr>
        <w:numId w:val="5"/>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pPr>
      <w:numPr>
        <w:numId w:val="11"/>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uiPriority w:val="99"/>
    <w:qFormat/>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pPr>
      <w:numPr>
        <w:numId w:val="1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qFormat/>
    <w:pPr>
      <w:numPr>
        <w:numId w:val="1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pPr>
      <w:numPr>
        <w:numId w:val="1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pPr>
      <w:numPr>
        <w:ilvl w:val="3"/>
        <w:numId w:val="1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rPr>
  </w:style>
  <w:style w:type="paragraph" w:styleId="TOC2">
    <w:name w:val="toc 2"/>
    <w:basedOn w:val="Normal"/>
    <w:next w:val="Normal"/>
    <w:semiHidden/>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OC3">
    <w:name w:val="toc 3"/>
    <w:basedOn w:val="Normal"/>
    <w:next w:val="Normal"/>
    <w:semiHidden/>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rPr>
  </w:style>
  <w:style w:type="paragraph" w:styleId="TOC4">
    <w:name w:val="toc 4"/>
    <w:basedOn w:val="Normal"/>
    <w:next w:val="Normal"/>
    <w:semiHidden/>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rPr>
  </w:style>
  <w:style w:type="paragraph" w:customStyle="1" w:styleId="TRLBodyText">
    <w:name w:val="TRL Body Text"/>
    <w:link w:val="TRLBodyTextChar"/>
    <w:qFormat/>
    <w:pPr>
      <w:spacing w:after="120" w:line="280" w:lineRule="atLeast"/>
      <w:jc w:val="both"/>
    </w:pPr>
    <w:rPr>
      <w:rFonts w:ascii="Verdana" w:eastAsia="Times New Roman" w:hAnsi="Verdana" w:cs="Times New Roman"/>
      <w:sz w:val="20"/>
      <w:szCs w:val="20"/>
    </w:rPr>
  </w:style>
  <w:style w:type="character" w:customStyle="1" w:styleId="TRLBodyTextChar">
    <w:name w:val="TRL Body Text Char"/>
    <w:basedOn w:val="DefaultParagraphFont"/>
    <w:link w:val="TRLBodyText"/>
    <w:rPr>
      <w:rFonts w:ascii="Verdana" w:eastAsia="Times New Roman" w:hAnsi="Verdana" w:cs="Times New Roman"/>
      <w:sz w:val="20"/>
      <w:szCs w:val="20"/>
      <w:lang w:eastAsia="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Tiret2">
    <w:name w:val="Tiret 2"/>
    <w:basedOn w:val="Normal"/>
    <w:uiPriority w:val="99"/>
    <w:pPr>
      <w:numPr>
        <w:numId w:val="1"/>
      </w:numPr>
      <w:spacing w:before="120" w:after="120" w:line="240" w:lineRule="auto"/>
      <w:jc w:val="both"/>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Sous-titreobjet">
    <w:name w:val="Sous-titre objet"/>
    <w:basedOn w:val="Normal"/>
    <w:pPr>
      <w:spacing w:after="0" w:line="240" w:lineRule="auto"/>
      <w:jc w:val="center"/>
    </w:pPr>
    <w:rPr>
      <w:rFonts w:ascii="Times New Roman" w:hAnsi="Times New Roman" w:cs="Times New Roman"/>
      <w:b/>
      <w:sz w:val="24"/>
    </w:rPr>
  </w:style>
  <w:style w:type="character" w:styleId="Strong">
    <w:name w:val="Strong"/>
    <w:basedOn w:val="DefaultParagraphFont"/>
    <w:uiPriority w:val="22"/>
    <w:qFormat/>
    <w:rPr>
      <w:b/>
      <w:bCs/>
    </w:rPr>
  </w:style>
  <w:style w:type="paragraph" w:customStyle="1" w:styleId="Alphabeticlist">
    <w:name w:val="Alphabetic list"/>
    <w:basedOn w:val="ListNumber4"/>
    <w:link w:val="AlphabeticlistChar"/>
    <w:qFormat/>
    <w:pPr>
      <w:numPr>
        <w:numId w:val="0"/>
      </w:numPr>
    </w:pPr>
    <w:rPr>
      <w:rFonts w:ascii="Verdana" w:hAnsi="Verdana"/>
      <w:sz w:val="18"/>
      <w:szCs w:val="18"/>
    </w:rPr>
  </w:style>
  <w:style w:type="character" w:customStyle="1" w:styleId="AlphabeticlistChar">
    <w:name w:val="Alphabetic list Char"/>
    <w:basedOn w:val="DefaultParagraphFont"/>
    <w:link w:val="Alphabeticlist"/>
    <w:rPr>
      <w:rFonts w:ascii="Verdana" w:eastAsia="Times New Roman" w:hAnsi="Verdana" w:cs="Times New Roman"/>
      <w:sz w:val="18"/>
      <w:szCs w:val="18"/>
      <w:lang w:val="bg-BG"/>
    </w:rPr>
  </w:style>
  <w:style w:type="paragraph" w:customStyle="1" w:styleId="Body">
    <w:name w:val="Body"/>
    <w:basedOn w:val="Normal"/>
    <w:link w:val="BodyChar"/>
    <w:qFormat/>
    <w:pPr>
      <w:spacing w:after="240" w:line="240" w:lineRule="auto"/>
      <w:jc w:val="both"/>
    </w:pPr>
    <w:rPr>
      <w:rFonts w:ascii="Verdana" w:eastAsia="Times New Roman" w:hAnsi="Verdana" w:cs="Times New Roman"/>
      <w:sz w:val="18"/>
      <w:szCs w:val="20"/>
    </w:rPr>
  </w:style>
  <w:style w:type="character" w:customStyle="1" w:styleId="BodyChar">
    <w:name w:val="Body Char"/>
    <w:link w:val="Body"/>
    <w:rPr>
      <w:rFonts w:ascii="Verdana" w:eastAsia="Times New Roman" w:hAnsi="Verdana" w:cs="Times New Roman"/>
      <w:sz w:val="18"/>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customStyle="1" w:styleId="CharCharChar1">
    <w:name w:val="Char Char Char1"/>
    <w:basedOn w:val="Normal"/>
    <w:link w:val="FootnoteReference"/>
    <w:uiPriority w:val="99"/>
    <w:pPr>
      <w:spacing w:after="160" w:line="240" w:lineRule="exact"/>
    </w:pPr>
    <w:rPr>
      <w:rFonts w:cs="Times New Roman"/>
      <w:vertAlign w:val="superscript"/>
    </w:rPr>
  </w:style>
  <w:style w:type="character" w:customStyle="1" w:styleId="ListParagraphChar">
    <w:name w:val="List Paragraph Char"/>
    <w:aliases w:val="GSA List Char,Dot pt Char,F5 List Paragraph Char,List Paragraph Char Char Char Char,Indicator Text Char,Numbered Para 1 Char,Bullet 1 Char,Bullet Points Char,List Paragraph2 Char,MAIN CONTENT Char,Normal numbered Char,3 Char"/>
    <w:basedOn w:val="DefaultParagraphFont"/>
    <w:link w:val="ListParagraph"/>
    <w:uiPriority w:val="34"/>
    <w:lock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01392">
      <w:bodyDiv w:val="1"/>
      <w:marLeft w:val="0"/>
      <w:marRight w:val="0"/>
      <w:marTop w:val="0"/>
      <w:marBottom w:val="0"/>
      <w:divBdr>
        <w:top w:val="none" w:sz="0" w:space="0" w:color="auto"/>
        <w:left w:val="none" w:sz="0" w:space="0" w:color="auto"/>
        <w:bottom w:val="none" w:sz="0" w:space="0" w:color="auto"/>
        <w:right w:val="none" w:sz="0" w:space="0" w:color="auto"/>
      </w:divBdr>
    </w:div>
    <w:div w:id="271210872">
      <w:bodyDiv w:val="1"/>
      <w:marLeft w:val="0"/>
      <w:marRight w:val="0"/>
      <w:marTop w:val="0"/>
      <w:marBottom w:val="0"/>
      <w:divBdr>
        <w:top w:val="none" w:sz="0" w:space="0" w:color="auto"/>
        <w:left w:val="none" w:sz="0" w:space="0" w:color="auto"/>
        <w:bottom w:val="none" w:sz="0" w:space="0" w:color="auto"/>
        <w:right w:val="none" w:sz="0" w:space="0" w:color="auto"/>
      </w:divBdr>
    </w:div>
    <w:div w:id="941687760">
      <w:bodyDiv w:val="1"/>
      <w:marLeft w:val="0"/>
      <w:marRight w:val="0"/>
      <w:marTop w:val="0"/>
      <w:marBottom w:val="0"/>
      <w:divBdr>
        <w:top w:val="none" w:sz="0" w:space="0" w:color="auto"/>
        <w:left w:val="none" w:sz="0" w:space="0" w:color="auto"/>
        <w:bottom w:val="none" w:sz="0" w:space="0" w:color="auto"/>
        <w:right w:val="none" w:sz="0" w:space="0" w:color="auto"/>
      </w:divBdr>
    </w:div>
    <w:div w:id="1404838491">
      <w:bodyDiv w:val="1"/>
      <w:marLeft w:val="0"/>
      <w:marRight w:val="0"/>
      <w:marTop w:val="0"/>
      <w:marBottom w:val="0"/>
      <w:divBdr>
        <w:top w:val="none" w:sz="0" w:space="0" w:color="auto"/>
        <w:left w:val="none" w:sz="0" w:space="0" w:color="auto"/>
        <w:bottom w:val="none" w:sz="0" w:space="0" w:color="auto"/>
        <w:right w:val="none" w:sz="0" w:space="0" w:color="auto"/>
      </w:divBdr>
    </w:div>
    <w:div w:id="1775633799">
      <w:bodyDiv w:val="1"/>
      <w:marLeft w:val="0"/>
      <w:marRight w:val="0"/>
      <w:marTop w:val="0"/>
      <w:marBottom w:val="0"/>
      <w:divBdr>
        <w:top w:val="none" w:sz="0" w:space="0" w:color="auto"/>
        <w:left w:val="none" w:sz="0" w:space="0" w:color="auto"/>
        <w:bottom w:val="none" w:sz="0" w:space="0" w:color="auto"/>
        <w:right w:val="none" w:sz="0" w:space="0" w:color="auto"/>
      </w:divBdr>
      <w:divsChild>
        <w:div w:id="1133712541">
          <w:marLeft w:val="0"/>
          <w:marRight w:val="0"/>
          <w:marTop w:val="0"/>
          <w:marBottom w:val="0"/>
          <w:divBdr>
            <w:top w:val="none" w:sz="0" w:space="0" w:color="auto"/>
            <w:left w:val="none" w:sz="0" w:space="0" w:color="auto"/>
            <w:bottom w:val="none" w:sz="0" w:space="0" w:color="auto"/>
            <w:right w:val="none" w:sz="0" w:space="0" w:color="auto"/>
          </w:divBdr>
          <w:divsChild>
            <w:div w:id="1152790246">
              <w:marLeft w:val="0"/>
              <w:marRight w:val="0"/>
              <w:marTop w:val="0"/>
              <w:marBottom w:val="0"/>
              <w:divBdr>
                <w:top w:val="none" w:sz="0" w:space="0" w:color="auto"/>
                <w:left w:val="none" w:sz="0" w:space="0" w:color="auto"/>
                <w:bottom w:val="none" w:sz="0" w:space="0" w:color="auto"/>
                <w:right w:val="none" w:sz="0" w:space="0" w:color="auto"/>
              </w:divBdr>
              <w:divsChild>
                <w:div w:id="1752123786">
                  <w:marLeft w:val="0"/>
                  <w:marRight w:val="0"/>
                  <w:marTop w:val="0"/>
                  <w:marBottom w:val="0"/>
                  <w:divBdr>
                    <w:top w:val="none" w:sz="0" w:space="0" w:color="auto"/>
                    <w:left w:val="none" w:sz="0" w:space="0" w:color="auto"/>
                    <w:bottom w:val="none" w:sz="0" w:space="0" w:color="auto"/>
                    <w:right w:val="none" w:sz="0" w:space="0" w:color="auto"/>
                  </w:divBdr>
                  <w:divsChild>
                    <w:div w:id="849029579">
                      <w:marLeft w:val="0"/>
                      <w:marRight w:val="0"/>
                      <w:marTop w:val="0"/>
                      <w:marBottom w:val="0"/>
                      <w:divBdr>
                        <w:top w:val="none" w:sz="0" w:space="0" w:color="auto"/>
                        <w:left w:val="none" w:sz="0" w:space="0" w:color="auto"/>
                        <w:bottom w:val="none" w:sz="0" w:space="0" w:color="auto"/>
                        <w:right w:val="none" w:sz="0" w:space="0" w:color="auto"/>
                      </w:divBdr>
                      <w:divsChild>
                        <w:div w:id="953632861">
                          <w:marLeft w:val="0"/>
                          <w:marRight w:val="0"/>
                          <w:marTop w:val="0"/>
                          <w:marBottom w:val="0"/>
                          <w:divBdr>
                            <w:top w:val="none" w:sz="0" w:space="0" w:color="auto"/>
                            <w:left w:val="none" w:sz="0" w:space="0" w:color="auto"/>
                            <w:bottom w:val="none" w:sz="0" w:space="0" w:color="auto"/>
                            <w:right w:val="none" w:sz="0" w:space="0" w:color="auto"/>
                          </w:divBdr>
                          <w:divsChild>
                            <w:div w:id="644548650">
                              <w:marLeft w:val="0"/>
                              <w:marRight w:val="0"/>
                              <w:marTop w:val="0"/>
                              <w:marBottom w:val="0"/>
                              <w:divBdr>
                                <w:top w:val="none" w:sz="0" w:space="0" w:color="auto"/>
                                <w:left w:val="none" w:sz="0" w:space="0" w:color="auto"/>
                                <w:bottom w:val="none" w:sz="0" w:space="0" w:color="auto"/>
                                <w:right w:val="none" w:sz="0" w:space="0" w:color="auto"/>
                              </w:divBdr>
                              <w:divsChild>
                                <w:div w:id="133773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458855">
      <w:bodyDiv w:val="1"/>
      <w:marLeft w:val="0"/>
      <w:marRight w:val="0"/>
      <w:marTop w:val="0"/>
      <w:marBottom w:val="0"/>
      <w:divBdr>
        <w:top w:val="none" w:sz="0" w:space="0" w:color="auto"/>
        <w:left w:val="none" w:sz="0" w:space="0" w:color="auto"/>
        <w:bottom w:val="none" w:sz="0" w:space="0" w:color="auto"/>
        <w:right w:val="none" w:sz="0" w:space="0" w:color="auto"/>
      </w:divBdr>
      <w:divsChild>
        <w:div w:id="984626773">
          <w:marLeft w:val="0"/>
          <w:marRight w:val="0"/>
          <w:marTop w:val="0"/>
          <w:marBottom w:val="0"/>
          <w:divBdr>
            <w:top w:val="none" w:sz="0" w:space="0" w:color="auto"/>
            <w:left w:val="none" w:sz="0" w:space="0" w:color="auto"/>
            <w:bottom w:val="none" w:sz="0" w:space="0" w:color="auto"/>
            <w:right w:val="none" w:sz="0" w:space="0" w:color="auto"/>
          </w:divBdr>
          <w:divsChild>
            <w:div w:id="95059378">
              <w:marLeft w:val="0"/>
              <w:marRight w:val="0"/>
              <w:marTop w:val="0"/>
              <w:marBottom w:val="0"/>
              <w:divBdr>
                <w:top w:val="none" w:sz="0" w:space="0" w:color="auto"/>
                <w:left w:val="none" w:sz="0" w:space="0" w:color="auto"/>
                <w:bottom w:val="none" w:sz="0" w:space="0" w:color="auto"/>
                <w:right w:val="none" w:sz="0" w:space="0" w:color="auto"/>
              </w:divBdr>
              <w:divsChild>
                <w:div w:id="20638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512421">
      <w:bodyDiv w:val="1"/>
      <w:marLeft w:val="0"/>
      <w:marRight w:val="0"/>
      <w:marTop w:val="0"/>
      <w:marBottom w:val="0"/>
      <w:divBdr>
        <w:top w:val="none" w:sz="0" w:space="0" w:color="auto"/>
        <w:left w:val="none" w:sz="0" w:space="0" w:color="auto"/>
        <w:bottom w:val="none" w:sz="0" w:space="0" w:color="auto"/>
        <w:right w:val="none" w:sz="0" w:space="0" w:color="auto"/>
      </w:divBdr>
    </w:div>
    <w:div w:id="2043019732">
      <w:bodyDiv w:val="1"/>
      <w:marLeft w:val="0"/>
      <w:marRight w:val="0"/>
      <w:marTop w:val="0"/>
      <w:marBottom w:val="0"/>
      <w:divBdr>
        <w:top w:val="none" w:sz="0" w:space="0" w:color="auto"/>
        <w:left w:val="none" w:sz="0" w:space="0" w:color="auto"/>
        <w:bottom w:val="none" w:sz="0" w:space="0" w:color="auto"/>
        <w:right w:val="none" w:sz="0" w:space="0" w:color="auto"/>
      </w:divBdr>
    </w:div>
    <w:div w:id="2118014591">
      <w:bodyDiv w:val="1"/>
      <w:marLeft w:val="0"/>
      <w:marRight w:val="0"/>
      <w:marTop w:val="0"/>
      <w:marBottom w:val="0"/>
      <w:divBdr>
        <w:top w:val="none" w:sz="0" w:space="0" w:color="auto"/>
        <w:left w:val="none" w:sz="0" w:space="0" w:color="auto"/>
        <w:bottom w:val="none" w:sz="0" w:space="0" w:color="auto"/>
        <w:right w:val="none" w:sz="0" w:space="0" w:color="auto"/>
      </w:divBdr>
      <w:divsChild>
        <w:div w:id="1372339448">
          <w:marLeft w:val="0"/>
          <w:marRight w:val="0"/>
          <w:marTop w:val="0"/>
          <w:marBottom w:val="0"/>
          <w:divBdr>
            <w:top w:val="none" w:sz="0" w:space="0" w:color="auto"/>
            <w:left w:val="none" w:sz="0" w:space="0" w:color="auto"/>
            <w:bottom w:val="none" w:sz="0" w:space="0" w:color="auto"/>
            <w:right w:val="none" w:sz="0" w:space="0" w:color="auto"/>
          </w:divBdr>
          <w:divsChild>
            <w:div w:id="181895029">
              <w:marLeft w:val="0"/>
              <w:marRight w:val="0"/>
              <w:marTop w:val="0"/>
              <w:marBottom w:val="0"/>
              <w:divBdr>
                <w:top w:val="none" w:sz="0" w:space="0" w:color="auto"/>
                <w:left w:val="none" w:sz="0" w:space="0" w:color="auto"/>
                <w:bottom w:val="none" w:sz="0" w:space="0" w:color="auto"/>
                <w:right w:val="none" w:sz="0" w:space="0" w:color="auto"/>
              </w:divBdr>
              <w:divsChild>
                <w:div w:id="1148980475">
                  <w:marLeft w:val="0"/>
                  <w:marRight w:val="0"/>
                  <w:marTop w:val="0"/>
                  <w:marBottom w:val="0"/>
                  <w:divBdr>
                    <w:top w:val="none" w:sz="0" w:space="0" w:color="auto"/>
                    <w:left w:val="none" w:sz="0" w:space="0" w:color="auto"/>
                    <w:bottom w:val="none" w:sz="0" w:space="0" w:color="auto"/>
                    <w:right w:val="none" w:sz="0" w:space="0" w:color="auto"/>
                  </w:divBdr>
                  <w:divsChild>
                    <w:div w:id="1505049766">
                      <w:marLeft w:val="0"/>
                      <w:marRight w:val="0"/>
                      <w:marTop w:val="0"/>
                      <w:marBottom w:val="0"/>
                      <w:divBdr>
                        <w:top w:val="none" w:sz="0" w:space="0" w:color="auto"/>
                        <w:left w:val="none" w:sz="0" w:space="0" w:color="auto"/>
                        <w:bottom w:val="none" w:sz="0" w:space="0" w:color="auto"/>
                        <w:right w:val="none" w:sz="0" w:space="0" w:color="auto"/>
                      </w:divBdr>
                      <w:divsChild>
                        <w:div w:id="115680631">
                          <w:marLeft w:val="0"/>
                          <w:marRight w:val="0"/>
                          <w:marTop w:val="0"/>
                          <w:marBottom w:val="0"/>
                          <w:divBdr>
                            <w:top w:val="none" w:sz="0" w:space="0" w:color="auto"/>
                            <w:left w:val="none" w:sz="0" w:space="0" w:color="auto"/>
                            <w:bottom w:val="none" w:sz="0" w:space="0" w:color="auto"/>
                            <w:right w:val="none" w:sz="0" w:space="0" w:color="auto"/>
                          </w:divBdr>
                          <w:divsChild>
                            <w:div w:id="1243182328">
                              <w:marLeft w:val="0"/>
                              <w:marRight w:val="0"/>
                              <w:marTop w:val="0"/>
                              <w:marBottom w:val="0"/>
                              <w:divBdr>
                                <w:top w:val="none" w:sz="0" w:space="0" w:color="auto"/>
                                <w:left w:val="none" w:sz="0" w:space="0" w:color="auto"/>
                                <w:bottom w:val="none" w:sz="0" w:space="0" w:color="auto"/>
                                <w:right w:val="none" w:sz="0" w:space="0" w:color="auto"/>
                              </w:divBdr>
                              <w:divsChild>
                                <w:div w:id="180797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917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2" Type="http://schemas.openxmlformats.org/officeDocument/2006/relationships/hyperlink" Target="https://www.gsa.europa.eu/sites/default/files/2016_gsa_summary_report.pdf" TargetMode="External"/><Relationship Id="rId1" Type="http://schemas.openxmlformats.org/officeDocument/2006/relationships/hyperlink" Target="http://ec.europa.eu/smart-regulation/guidelines/ug_chap6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ED20921BA0B24389FE1EA58B23AF25" ma:contentTypeVersion="0" ma:contentTypeDescription="Create a new document." ma:contentTypeScope="" ma:versionID="cdf20698837154779981d076bc68354d">
  <xsd:schema xmlns:xsd="http://www.w3.org/2001/XMLSchema" xmlns:xs="http://www.w3.org/2001/XMLSchema" xmlns:p="http://schemas.microsoft.com/office/2006/metadata/properties" targetNamespace="http://schemas.microsoft.com/office/2006/metadata/properties" ma:root="true" ma:fieldsID="72e2e2d51ab28eefc48ec4e55a57cfe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A72F0-F48E-4245-A871-6CA456A0DC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33F2DCB-DE1B-42D2-BC92-E544F4757971}">
  <ds:schemaRefs>
    <ds:schemaRef ds:uri="http://schemas.microsoft.com/sharepoint/v3/contenttype/forms"/>
  </ds:schemaRefs>
</ds:datastoreItem>
</file>

<file path=customXml/itemProps3.xml><?xml version="1.0" encoding="utf-8"?>
<ds:datastoreItem xmlns:ds="http://schemas.openxmlformats.org/officeDocument/2006/customXml" ds:itemID="{070685B1-6336-4984-B9F8-BA1C96F537A9}">
  <ds:schemaRefs>
    <ds:schemaRef ds:uri="http://schemas.microsoft.com/office/2006/documentManagement/types"/>
    <ds:schemaRef ds:uri="http://purl.org/dc/terms/"/>
    <ds:schemaRef ds:uri="http://schemas.microsoft.com/office/2006/metadata/properties"/>
    <ds:schemaRef ds:uri="http://purl.org/dc/dcmitype/"/>
    <ds:schemaRef ds:uri="http://www.w3.org/XML/1998/namespace"/>
    <ds:schemaRef ds:uri="http://purl.org/dc/elements/1.1/"/>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82C29886-1503-4B05-9343-ABB3CD469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4054</Words>
  <Characters>24452</Characters>
  <Application>Microsoft Office Word</Application>
  <DocSecurity>0</DocSecurity>
  <Lines>407</Lines>
  <Paragraphs>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2017-10-13T09:17:00Z</dcterms:created>
  <dcterms:modified xsi:type="dcterms:W3CDTF">2017-10-23T07:02:00Z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y fmtid="{D5CDD505-2E9C-101B-9397-08002B2CF9AE}" pid="6" name="ContentTypeId">
    <vt:lpwstr>0x01010093ED20921BA0B24389FE1EA58B23AF25</vt:lpwstr>
  </property>
</Properties>
</file>