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1267632B4A854033900D5546AE315285" style="width:450.8pt;height:334.35pt">
            <v:imagedata r:id="rId12" o:title=""/>
          </v:shape>
        </w:pict>
      </w:r>
    </w:p>
    <w:bookmarkEnd w:id="0"/>
    <w:p>
      <w:pPr>
        <w:pStyle w:val="Pagedecouverture"/>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60"/>
        </w:sectPr>
      </w:pPr>
    </w:p>
    <w:p>
      <w:pPr>
        <w:pStyle w:val="Heading1"/>
        <w:rPr>
          <w:noProof/>
        </w:rPr>
      </w:pPr>
      <w:bookmarkStart w:id="1" w:name="_GoBack"/>
      <w:bookmarkEnd w:id="1"/>
      <w:r>
        <w:rPr>
          <w:noProof/>
        </w:rPr>
        <w:lastRenderedPageBreak/>
        <w:t>1.</w:t>
      </w:r>
      <w:r>
        <w:rPr>
          <w:noProof/>
        </w:rPr>
        <w:tab/>
        <w:t>INTRODUCTION</w:t>
      </w:r>
    </w:p>
    <w:p>
      <w:pPr>
        <w:jc w:val="both"/>
        <w:rPr>
          <w:rFonts w:ascii="Times New Roman" w:hAnsi="Times New Roman" w:cs="Times New Roman"/>
          <w:noProof/>
          <w:sz w:val="24"/>
          <w:szCs w:val="24"/>
        </w:rPr>
      </w:pPr>
      <w:r>
        <w:rPr>
          <w:rFonts w:ascii="Times New Roman" w:hAnsi="Times New Roman" w:cs="Times New Roman"/>
          <w:noProof/>
          <w:sz w:val="24"/>
          <w:szCs w:val="24"/>
        </w:rPr>
        <w:t>On the occasion of the 60</w:t>
      </w:r>
      <w:r>
        <w:rPr>
          <w:rFonts w:ascii="Times New Roman" w:hAnsi="Times New Roman" w:cs="Times New Roman"/>
          <w:noProof/>
          <w:sz w:val="24"/>
          <w:szCs w:val="24"/>
          <w:vertAlign w:val="superscript"/>
        </w:rPr>
        <w:t>th</w:t>
      </w:r>
      <w:r>
        <w:rPr>
          <w:rFonts w:ascii="Times New Roman" w:hAnsi="Times New Roman" w:cs="Times New Roman"/>
          <w:noProof/>
          <w:sz w:val="24"/>
          <w:szCs w:val="24"/>
        </w:rPr>
        <w:t xml:space="preserve"> Anniversary of the Treaty of Rome, EU leaders, the European Parliament and the European Commission committed to the Rome Agenda, and pledged to work towards a safe and secure Europe, a prosperous and sustainable Europe, a social Europe and a stronger Europe on the global scene. The European satellite navigation programmes EGNOS and Galileo contribute to this Agenda.</w:t>
      </w:r>
    </w:p>
    <w:p>
      <w:pPr>
        <w:jc w:val="both"/>
        <w:rPr>
          <w:rFonts w:ascii="Times New Roman" w:hAnsi="Times New Roman" w:cs="Times New Roman"/>
          <w:noProof/>
          <w:sz w:val="24"/>
          <w:szCs w:val="24"/>
        </w:rPr>
      </w:pPr>
      <w:r>
        <w:rPr>
          <w:rFonts w:ascii="Times New Roman" w:hAnsi="Times New Roman" w:cs="Times New Roman"/>
          <w:noProof/>
          <w:sz w:val="24"/>
          <w:szCs w:val="24"/>
        </w:rPr>
        <w:t>In line with the Union's Space Strategy</w:t>
      </w:r>
      <w:r>
        <w:rPr>
          <w:rStyle w:val="FootnoteReference"/>
          <w:rFonts w:ascii="Times New Roman" w:hAnsi="Times New Roman"/>
          <w:noProof/>
          <w:sz w:val="24"/>
          <w:szCs w:val="24"/>
        </w:rPr>
        <w:footnoteReference w:id="2"/>
      </w:r>
      <w:r>
        <w:rPr>
          <w:rFonts w:ascii="Times New Roman" w:hAnsi="Times New Roman" w:cs="Times New Roman"/>
          <w:noProof/>
          <w:sz w:val="24"/>
          <w:szCs w:val="24"/>
        </w:rPr>
        <w:t xml:space="preserve"> and the objectives of the GNSS</w:t>
      </w:r>
      <w:r>
        <w:rPr>
          <w:rStyle w:val="FootnoteReference"/>
          <w:rFonts w:ascii="Times New Roman" w:hAnsi="Times New Roman"/>
          <w:noProof/>
          <w:sz w:val="24"/>
          <w:szCs w:val="24"/>
        </w:rPr>
        <w:footnoteReference w:id="3"/>
      </w:r>
      <w:r>
        <w:rPr>
          <w:rFonts w:ascii="Times New Roman" w:hAnsi="Times New Roman" w:cs="Times New Roman"/>
          <w:noProof/>
          <w:sz w:val="24"/>
          <w:szCs w:val="24"/>
        </w:rPr>
        <w:t xml:space="preserve"> Regulation</w:t>
      </w:r>
      <w:r>
        <w:rPr>
          <w:rStyle w:val="FootnoteReference"/>
          <w:rFonts w:ascii="Times New Roman" w:hAnsi="Times New Roman"/>
          <w:noProof/>
          <w:sz w:val="24"/>
          <w:szCs w:val="24"/>
        </w:rPr>
        <w:footnoteReference w:id="4"/>
      </w:r>
      <w:r>
        <w:rPr>
          <w:rFonts w:ascii="Times New Roman" w:hAnsi="Times New Roman" w:cs="Times New Roman"/>
          <w:noProof/>
          <w:sz w:val="24"/>
          <w:szCs w:val="24"/>
        </w:rPr>
        <w:t>, Galileo and EGNOS focus on:</w:t>
      </w:r>
    </w:p>
    <w:p>
      <w:pPr>
        <w:pStyle w:val="ListParagraph"/>
        <w:numPr>
          <w:ilvl w:val="0"/>
          <w:numId w:val="20"/>
        </w:numPr>
        <w:jc w:val="both"/>
        <w:rPr>
          <w:rFonts w:ascii="Times New Roman" w:hAnsi="Times New Roman" w:cs="Times New Roman"/>
          <w:noProof/>
          <w:sz w:val="24"/>
          <w:szCs w:val="24"/>
        </w:rPr>
      </w:pPr>
      <w:r>
        <w:rPr>
          <w:rFonts w:ascii="Times New Roman" w:hAnsi="Times New Roman" w:cs="Times New Roman"/>
          <w:noProof/>
          <w:sz w:val="24"/>
          <w:szCs w:val="24"/>
        </w:rPr>
        <w:t>maximizing the integration of space into the European society and economy, by increasing the use of satellite navigation technologies and applications to support public policies;</w:t>
      </w:r>
    </w:p>
    <w:p>
      <w:pPr>
        <w:pStyle w:val="ListParagraph"/>
        <w:numPr>
          <w:ilvl w:val="0"/>
          <w:numId w:val="20"/>
        </w:numPr>
        <w:jc w:val="both"/>
        <w:rPr>
          <w:rFonts w:ascii="Times New Roman" w:hAnsi="Times New Roman" w:cs="Times New Roman"/>
          <w:noProof/>
          <w:sz w:val="24"/>
          <w:szCs w:val="24"/>
        </w:rPr>
      </w:pPr>
      <w:r>
        <w:rPr>
          <w:rFonts w:ascii="Times New Roman" w:hAnsi="Times New Roman" w:cs="Times New Roman"/>
          <w:noProof/>
          <w:sz w:val="24"/>
          <w:szCs w:val="24"/>
        </w:rPr>
        <w:t>fostering a globally competitive European space sector, by supporting research, innovation, entrepreneurship for growth and jobs across all Member States;</w:t>
      </w:r>
    </w:p>
    <w:p>
      <w:pPr>
        <w:pStyle w:val="ListParagraph"/>
        <w:numPr>
          <w:ilvl w:val="0"/>
          <w:numId w:val="20"/>
        </w:numPr>
        <w:jc w:val="both"/>
        <w:rPr>
          <w:rFonts w:ascii="Times New Roman" w:hAnsi="Times New Roman" w:cs="Times New Roman"/>
          <w:noProof/>
          <w:sz w:val="24"/>
          <w:szCs w:val="24"/>
        </w:rPr>
      </w:pPr>
      <w:r>
        <w:rPr>
          <w:rFonts w:ascii="Times New Roman" w:hAnsi="Times New Roman" w:cs="Times New Roman"/>
          <w:noProof/>
          <w:sz w:val="24"/>
          <w:szCs w:val="24"/>
        </w:rPr>
        <w:t>strengthening synergies between civilian and security activities in the field of navigation, and ensuring European autonomy;</w:t>
      </w:r>
    </w:p>
    <w:p>
      <w:pPr>
        <w:pStyle w:val="ListParagraph"/>
        <w:numPr>
          <w:ilvl w:val="0"/>
          <w:numId w:val="20"/>
        </w:numPr>
        <w:jc w:val="both"/>
        <w:rPr>
          <w:rFonts w:ascii="Times New Roman" w:hAnsi="Times New Roman" w:cs="Times New Roman"/>
          <w:noProof/>
          <w:sz w:val="24"/>
          <w:szCs w:val="24"/>
        </w:rPr>
      </w:pPr>
      <w:r>
        <w:rPr>
          <w:rFonts w:ascii="Times New Roman" w:hAnsi="Times New Roman" w:cs="Times New Roman"/>
          <w:noProof/>
          <w:sz w:val="24"/>
          <w:szCs w:val="24"/>
        </w:rPr>
        <w:t>promoting the role of the Union in the world and opening up new business opportunities for the European satellite navigation industry.</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This report presents the </w:t>
      </w:r>
      <w:r>
        <w:rPr>
          <w:rFonts w:ascii="Times New Roman" w:eastAsia="Times New Roman" w:hAnsi="Times New Roman" w:cs="Times New Roman"/>
          <w:noProof/>
          <w:sz w:val="24"/>
          <w:szCs w:val="24"/>
        </w:rPr>
        <w:t xml:space="preserve">interim evaluation of the European satellite navigation programmes, Galileo and EGNOS, and the evaluation of the European GNSS Agency (GSA) </w:t>
      </w:r>
      <w:r>
        <w:rPr>
          <w:rFonts w:ascii="Times New Roman" w:hAnsi="Times New Roman" w:cs="Times New Roman"/>
          <w:noProof/>
          <w:sz w:val="24"/>
          <w:szCs w:val="24"/>
        </w:rPr>
        <w:t>as required by Article 34 of Regulation (EU) No 1285/2013 on the implementation and exploitation of the European satellite navigation systems ("the GNSS Regulation")</w:t>
      </w:r>
      <w:r>
        <w:rPr>
          <w:rFonts w:ascii="Times New Roman" w:hAnsi="Times New Roman" w:cs="Times New Roman"/>
          <w:noProof/>
          <w:sz w:val="24"/>
          <w:szCs w:val="24"/>
          <w:vertAlign w:val="superscript"/>
        </w:rPr>
        <w:footnoteReference w:id="5"/>
      </w:r>
      <w:r>
        <w:rPr>
          <w:rFonts w:ascii="Times New Roman" w:hAnsi="Times New Roman" w:cs="Times New Roman"/>
          <w:noProof/>
          <w:sz w:val="24"/>
          <w:szCs w:val="24"/>
        </w:rPr>
        <w:t xml:space="preserve"> and Article 26 of Regulation (EU) No 912/2010 setting up the European GNSS Agency ("the GSA Regulation")</w:t>
      </w:r>
      <w:r>
        <w:rPr>
          <w:rFonts w:ascii="Times New Roman" w:hAnsi="Times New Roman" w:cs="Times New Roman"/>
          <w:noProof/>
          <w:sz w:val="24"/>
          <w:szCs w:val="24"/>
          <w:vertAlign w:val="superscript"/>
        </w:rPr>
        <w:footnoteReference w:id="6"/>
      </w:r>
      <w:r>
        <w:rPr>
          <w:rFonts w:ascii="Times New Roman" w:hAnsi="Times New Roman" w:cs="Times New Roman"/>
          <w:noProof/>
          <w:sz w:val="24"/>
          <w:szCs w:val="24"/>
        </w:rPr>
        <w:t>. The report is accompanied by a Staff Working Document detailing the evidence based assessment.</w:t>
      </w:r>
    </w:p>
    <w:p>
      <w:pPr>
        <w:jc w:val="both"/>
        <w:rPr>
          <w:rFonts w:ascii="Times New Roman" w:eastAsia="Times New Roman" w:hAnsi="Times New Roman" w:cs="Times New Roman"/>
          <w:noProof/>
          <w:sz w:val="24"/>
          <w:szCs w:val="24"/>
        </w:rPr>
      </w:pPr>
      <w:r>
        <w:rPr>
          <w:rFonts w:ascii="Times New Roman" w:hAnsi="Times New Roman" w:cs="Times New Roman"/>
          <w:noProof/>
          <w:sz w:val="24"/>
          <w:szCs w:val="24"/>
        </w:rPr>
        <w:br w:type="page"/>
        <w:t>The interim evaluation focuses on the period from 1 January 2014 to 31 December 2016. It covers the progress made in the European GNSS programmes Galileo and EGNOS against the evaluation criteria set up in the Better Regulation Guidelines</w:t>
      </w:r>
      <w:r>
        <w:rPr>
          <w:rFonts w:ascii="Times New Roman" w:hAnsi="Times New Roman" w:cs="Times New Roman"/>
          <w:noProof/>
          <w:sz w:val="24"/>
          <w:szCs w:val="24"/>
          <w:vertAlign w:val="superscript"/>
        </w:rPr>
        <w:footnoteReference w:id="7"/>
      </w:r>
      <w:r>
        <w:rPr>
          <w:rFonts w:ascii="Times New Roman" w:hAnsi="Times New Roman" w:cs="Times New Roman"/>
          <w:noProof/>
          <w:sz w:val="24"/>
          <w:szCs w:val="24"/>
        </w:rPr>
        <w:t xml:space="preserve">: effectiveness, efficiency, relevance, coherence and EU added value, specific requirements enshrined in the GNSS Regulation, and the overall political objectives of the Union. </w:t>
      </w:r>
      <w:r>
        <w:rPr>
          <w:rFonts w:ascii="Times New Roman" w:eastAsia="Times New Roman" w:hAnsi="Times New Roman" w:cs="Times New Roman"/>
          <w:noProof/>
          <w:sz w:val="24"/>
          <w:szCs w:val="24"/>
        </w:rPr>
        <w:t>As the GNSS Regulation entrusts the GSA with a key role in the implementation of the European satellite navigation programmes, the Commission considered it is appropriate to evaluate the GSA jointly with the evaluation of the programmes.</w:t>
      </w:r>
    </w:p>
    <w:p>
      <w:pPr>
        <w:pStyle w:val="Heading1"/>
        <w:rPr>
          <w:noProof/>
        </w:rPr>
      </w:pPr>
      <w:r>
        <w:rPr>
          <w:noProof/>
        </w:rPr>
        <w:t>2.</w:t>
      </w:r>
      <w:r>
        <w:rPr>
          <w:noProof/>
        </w:rPr>
        <w:tab/>
        <w:t>MAIN FINDINGS CONCERNING THE IMPLEMENTATION OF THE EUROPEAN GNSS PROGRAMMES</w:t>
      </w:r>
    </w:p>
    <w:p>
      <w:pPr>
        <w:pStyle w:val="Heading1"/>
        <w:rPr>
          <w:noProof/>
        </w:rPr>
      </w:pPr>
      <w:r>
        <w:rPr>
          <w:noProof/>
        </w:rPr>
        <w:t>2.1.</w:t>
      </w:r>
      <w:r>
        <w:rPr>
          <w:noProof/>
        </w:rPr>
        <w:tab/>
        <w:t>Relevance of the Galileo and EGNOS programmes</w:t>
      </w:r>
    </w:p>
    <w:p>
      <w:pPr>
        <w:spacing w:after="24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European satellite navigation systems, Galileo and EGNOS, owned by the European Union, are fundamental for both the European economy and security. Positioning and timing signals provided by satellite navigation systems are used in many critical areas of the European economy, such as mobile phone networks, in-car navigation, traffic management, power grid synchronisation or electronic trading. It is estimated that almost 11% of the EU economy is impacted by satellite navigation services</w:t>
      </w:r>
      <w:r>
        <w:rPr>
          <w:rStyle w:val="FootnoteReference"/>
          <w:rFonts w:ascii="Times New Roman" w:hAnsi="Times New Roman"/>
          <w:noProof/>
          <w:sz w:val="24"/>
          <w:szCs w:val="24"/>
        </w:rPr>
        <w:footnoteReference w:id="8"/>
      </w:r>
      <w:r>
        <w:rPr>
          <w:rFonts w:ascii="Times New Roman" w:eastAsia="Times New Roman" w:hAnsi="Times New Roman" w:cs="Times New Roman"/>
          <w:noProof/>
          <w:sz w:val="24"/>
          <w:szCs w:val="24"/>
        </w:rPr>
        <w:t>. Therefore, the EU clearly needs to maintain and operate independent satellite navigation programmes to secure the availability of those applications and services ensuring global coverage, including the circumpolar area. In addition, space capacities are strategically important to civil, commercial, security and defence-related policy objectives. For this reason, Europe needs to ensure an autonomous, safe and cost-effective access to space.</w:t>
      </w:r>
    </w:p>
    <w:p>
      <w:pPr>
        <w:pStyle w:val="Heading1"/>
        <w:rPr>
          <w:noProof/>
        </w:rPr>
      </w:pPr>
      <w:r>
        <w:rPr>
          <w:noProof/>
        </w:rPr>
        <w:t>2.2.</w:t>
      </w:r>
      <w:r>
        <w:rPr>
          <w:noProof/>
        </w:rPr>
        <w:tab/>
        <w:t>Achieving key objectives</w:t>
      </w:r>
    </w:p>
    <w:p>
      <w:pPr>
        <w:pStyle w:val="Heading2"/>
        <w:rPr>
          <w:noProof/>
        </w:rPr>
      </w:pPr>
      <w:r>
        <w:rPr>
          <w:noProof/>
        </w:rPr>
        <w:t>2.2.1.</w:t>
      </w:r>
      <w:r>
        <w:rPr>
          <w:noProof/>
        </w:rPr>
        <w:tab/>
        <w:t>Market uptake</w:t>
      </w:r>
    </w:p>
    <w:p>
      <w:pPr>
        <w:jc w:val="both"/>
        <w:rPr>
          <w:rFonts w:ascii="Times New Roman" w:hAnsi="Times New Roman"/>
          <w:bCs/>
          <w:noProof/>
          <w:sz w:val="24"/>
        </w:rPr>
      </w:pPr>
      <w:r>
        <w:rPr>
          <w:rFonts w:ascii="Times New Roman" w:hAnsi="Times New Roman" w:cs="Times New Roman"/>
          <w:noProof/>
          <w:sz w:val="24"/>
        </w:rPr>
        <w:t>Over the evaluation period, the market uptake of Galileo and EGNOS has progressed well. The European GNSS industry has grown and accounted for 25% of the global GNSS market in 2015</w:t>
      </w:r>
      <w:r>
        <w:rPr>
          <w:rFonts w:ascii="Times New Roman" w:hAnsi="Times New Roman" w:cs="Times New Roman"/>
          <w:noProof/>
          <w:sz w:val="24"/>
          <w:vertAlign w:val="superscript"/>
        </w:rPr>
        <w:footnoteReference w:id="9"/>
      </w:r>
      <w:r>
        <w:rPr>
          <w:rFonts w:ascii="Times New Roman" w:hAnsi="Times New Roman" w:cs="Times New Roman"/>
          <w:noProof/>
          <w:sz w:val="24"/>
        </w:rPr>
        <w:t>.</w:t>
      </w:r>
      <w:r>
        <w:rPr>
          <w:rFonts w:ascii="Times New Roman" w:hAnsi="Times New Roman"/>
          <w:bCs/>
          <w:noProof/>
          <w:sz w:val="24"/>
        </w:rPr>
        <w:t xml:space="preserve"> European manufacturers represented the majority of manufacturers for the road and maritime market segments. European system integrators represented the majority of integrators for the maritime, agriculture and surveying market segments.</w:t>
      </w:r>
    </w:p>
    <w:p>
      <w:pPr>
        <w:jc w:val="both"/>
        <w:rPr>
          <w:rFonts w:ascii="Times New Roman" w:hAnsi="Times New Roman"/>
          <w:bCs/>
          <w:noProof/>
          <w:sz w:val="24"/>
        </w:rPr>
      </w:pPr>
      <w:r>
        <w:rPr>
          <w:rFonts w:ascii="Times New Roman" w:hAnsi="Times New Roman"/>
          <w:bCs/>
          <w:noProof/>
          <w:sz w:val="24"/>
        </w:rPr>
        <w:t>Driven by a few large companies and a plethora of innovative SMEs and start-ups, Europe performs strongly in the development of added-value applications</w:t>
      </w:r>
      <w:r>
        <w:rPr>
          <w:rStyle w:val="FootnoteReference"/>
          <w:rFonts w:ascii="Times New Roman" w:eastAsia="Times New Roman" w:hAnsi="Times New Roman"/>
          <w:noProof/>
          <w:sz w:val="24"/>
          <w:szCs w:val="20"/>
        </w:rPr>
        <w:footnoteReference w:id="10"/>
      </w:r>
      <w:r>
        <w:rPr>
          <w:rFonts w:ascii="Times New Roman" w:hAnsi="Times New Roman"/>
          <w:bCs/>
          <w:noProof/>
          <w:sz w:val="24"/>
        </w:rPr>
        <w:t>.</w:t>
      </w:r>
    </w:p>
    <w:p>
      <w:pPr>
        <w:jc w:val="both"/>
        <w:rPr>
          <w:rFonts w:ascii="Times New Roman" w:hAnsi="Times New Roman"/>
          <w:bCs/>
          <w:noProof/>
          <w:sz w:val="24"/>
        </w:rPr>
      </w:pPr>
      <w:r>
        <w:rPr>
          <w:rFonts w:ascii="Times New Roman" w:hAnsi="Times New Roman" w:cs="Times New Roman"/>
          <w:noProof/>
          <w:sz w:val="24"/>
        </w:rPr>
        <w:t>The development of Galileo has already generated major benefits in Europe, like the development of services. Thus, following the declaration of Galileo Initial Services, chipset and receiver manufacturers have had the possibility to start leveraging on more performant GNSS signals, especially for smartphones and in-vehicle navigation systems. The vast majority of new navigation chipsets include the processing of Galileo signals and are gradually integrated in user receivers in various market segments. All new products of the two largest smartphone manufacturers do include Galileo-compatible chipsets, which is a true measure of its success. The regulatory measures taken by the EU</w:t>
      </w:r>
      <w:r>
        <w:rPr>
          <w:rFonts w:ascii="Times New Roman" w:hAnsi="Times New Roman"/>
          <w:bCs/>
          <w:noProof/>
          <w:sz w:val="24"/>
        </w:rPr>
        <w:t xml:space="preserve"> in the automotive sector (eCall and Digital Tachograph) are pushing for the adoption of solutions integrating GNSS based technologies, whilst at the same time ensuring compatibility with Galileo and EGNOS. It is worth pointing out that Galileo competes with other GNSS that are supported by regulatory measures to impose or stimulate the use of these systems.</w:t>
      </w:r>
    </w:p>
    <w:p>
      <w:pPr>
        <w:jc w:val="both"/>
        <w:rPr>
          <w:rFonts w:ascii="Times New Roman" w:hAnsi="Times New Roman" w:cs="Times New Roman"/>
          <w:noProof/>
          <w:sz w:val="24"/>
        </w:rPr>
      </w:pPr>
      <w:r>
        <w:rPr>
          <w:rFonts w:ascii="Times New Roman" w:hAnsi="Times New Roman" w:cs="Times New Roman"/>
          <w:noProof/>
          <w:sz w:val="24"/>
        </w:rPr>
        <w:t>As for EGNOS, major socio-economic benefits have already been produced especially in three industrial domains with the largest market penetration: aviation, agriculture and surveying. In other sectors, such as maritime and rail, the GSA has been implementing market penetration roadmaps. However, due to the slower adoption of new technologies and existence of alternative ground based technologies the market uptake in these sectors is slower.</w:t>
      </w:r>
    </w:p>
    <w:p>
      <w:pPr>
        <w:pStyle w:val="Heading2"/>
        <w:rPr>
          <w:noProof/>
        </w:rPr>
      </w:pPr>
      <w:r>
        <w:rPr>
          <w:noProof/>
        </w:rPr>
        <w:t>2.2.2.</w:t>
      </w:r>
      <w:r>
        <w:rPr>
          <w:noProof/>
        </w:rPr>
        <w:tab/>
        <w:t>System deployment and services</w:t>
      </w:r>
    </w:p>
    <w:p>
      <w:pPr>
        <w:spacing w:after="24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Galileo programme has achieved its key objective set out for the evaluation period - the system was declared operational and is providing Initial Services since December 2016, namely an initial open service (OS), search and rescue support service (SAR) and public regulated service (PRS).</w:t>
      </w:r>
    </w:p>
    <w:p>
      <w:pPr>
        <w:spacing w:after="24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space segment of Galileo was enhanced with 14 additional satellites launched in the evaluation period, one of the enablers for declaring the Galileo Initial Services operational. In November 2016, for the first time ever, four Galileo satellites were launched together on an Ariane-5 rocket. The implementation of complex technology intensive programmes however entails risks. Galileo is no exception. Such risks materialised in 2014 with a Soyuz launch incident, which resulted in two satellites being injected into an incorrect orbit. It materialised also with an anomaly affecting some atomic clocks on board of Galileo satellites. In both cases, the root cause has been identified and the necessary mitigation actions have been implemented. The delay in the deployment schedule induced by the launch anomaly was recovered with an accelerated ramp-up of the Galileo space segment and the two satellites are already being used for the SAR service. As regards the clocks, a refurbishment programme for the next satellites to be launched has been implemented and operational procedures for the satellites in orbit established. The quality of the services provided by the system has not been affected by the difficulties encountered and the performance of the system is above expectations. </w:t>
      </w:r>
      <w:r>
        <w:rPr>
          <w:rFonts w:ascii="Times New Roman" w:eastAsia="Times New Roman" w:hAnsi="Times New Roman" w:cs="Times New Roman"/>
          <w:noProof/>
          <w:sz w:val="24"/>
          <w:szCs w:val="24"/>
        </w:rPr>
        <w:br w:type="page"/>
      </w:r>
    </w:p>
    <w:p>
      <w:pPr>
        <w:spacing w:after="24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EGNOS services were continuously provided and improved during the period 2014-2016. Thus, EGNOS now provides the highest quality guided approach services available today to airline and aerodrome operators, with an increase in flight and landing safety, and benefits related to the optimisation of fuel consumption. In addition, EGNOS is used by a larger number of users: more than 230 airports in 20 countries are using EGNOS landing approach procedures at the end of 2016</w:t>
      </w:r>
      <w:r>
        <w:rPr>
          <w:rStyle w:val="FootnoteReference"/>
          <w:rFonts w:ascii="Times New Roman" w:eastAsia="Times New Roman" w:hAnsi="Times New Roman"/>
          <w:noProof/>
          <w:sz w:val="24"/>
          <w:szCs w:val="24"/>
        </w:rPr>
        <w:footnoteReference w:id="11"/>
      </w:r>
      <w:r>
        <w:rPr>
          <w:rFonts w:ascii="Times New Roman" w:eastAsia="Times New Roman" w:hAnsi="Times New Roman" w:cs="Times New Roman"/>
          <w:noProof/>
          <w:sz w:val="24"/>
          <w:szCs w:val="24"/>
        </w:rPr>
        <w:t>.</w:t>
      </w:r>
    </w:p>
    <w:p>
      <w:pPr>
        <w:spacing w:after="240"/>
        <w:jc w:val="both"/>
        <w:rPr>
          <w:rFonts w:ascii="Times New Roman" w:hAnsi="Times New Roman"/>
          <w:noProof/>
          <w:sz w:val="24"/>
        </w:rPr>
      </w:pPr>
      <w:r>
        <w:rPr>
          <w:rFonts w:ascii="Times New Roman" w:eastAsia="Times New Roman" w:hAnsi="Times New Roman" w:cs="Times New Roman"/>
          <w:noProof/>
          <w:sz w:val="24"/>
          <w:szCs w:val="24"/>
        </w:rPr>
        <w:t>However, the priority for EGNOS remains to cover the entire EU-28 territory with the EGNOS service and to extend the EGNOS service coverage to the remaining 1.02% of the EU-28 territory (eastern part of Cyprus, the Azores, and the northern parts of Norway and Finland).</w:t>
      </w:r>
    </w:p>
    <w:p>
      <w:pPr>
        <w:pStyle w:val="Heading2"/>
        <w:rPr>
          <w:noProof/>
        </w:rPr>
      </w:pPr>
      <w:r>
        <w:rPr>
          <w:noProof/>
        </w:rPr>
        <w:t>2.2.3.</w:t>
      </w:r>
      <w:r>
        <w:rPr>
          <w:noProof/>
        </w:rPr>
        <w:tab/>
        <w:t>International cooperation</w:t>
      </w:r>
    </w:p>
    <w:p>
      <w:pPr>
        <w:autoSpaceDE w:val="0"/>
        <w:autoSpaceDN w:val="0"/>
        <w:adjustRightInd w:val="0"/>
        <w:spacing w:before="120" w:after="0"/>
        <w:jc w:val="both"/>
        <w:rPr>
          <w:noProof/>
        </w:rPr>
      </w:pPr>
      <w:r>
        <w:rPr>
          <w:rFonts w:ascii="Times New Roman" w:hAnsi="Times New Roman" w:cs="Times New Roman"/>
          <w:noProof/>
          <w:sz w:val="24"/>
          <w:szCs w:val="24"/>
        </w:rPr>
        <w:t>In the field of international cooperation, several actions were undertaken to strenghten Europe's role as an international player in the field of GNSS. In particular, n</w:t>
      </w:r>
      <w:r>
        <w:rPr>
          <w:rFonts w:ascii="Times New Roman" w:hAnsi="Times New Roman" w:cs="Times New Roman"/>
          <w:noProof/>
          <w:sz w:val="24"/>
        </w:rPr>
        <w:t>egotiations were concluded in 2016 with the Agency for Aerial Navigation Safety in Africa and Madagascar (ASECNA), laying down the terms and conditions for the provision of space based augmentation systems in Africa based on EGNOS. In addition, the GNSS agreement with Korea was concluded in June 2016 for increased cooperation.</w:t>
      </w:r>
    </w:p>
    <w:p>
      <w:pPr>
        <w:pStyle w:val="Heading1"/>
        <w:rPr>
          <w:noProof/>
        </w:rPr>
      </w:pPr>
      <w:r>
        <w:rPr>
          <w:noProof/>
        </w:rPr>
        <w:t>2.3.</w:t>
      </w:r>
      <w:r>
        <w:rPr>
          <w:noProof/>
        </w:rPr>
        <w:tab/>
        <w:t>Efficient delivery - Management</w:t>
      </w:r>
    </w:p>
    <w:p>
      <w:pPr>
        <w:pStyle w:val="Heading2"/>
        <w:rPr>
          <w:noProof/>
        </w:rPr>
      </w:pPr>
      <w:r>
        <w:rPr>
          <w:noProof/>
        </w:rPr>
        <w:t>2.3.1.</w:t>
      </w:r>
      <w:r>
        <w:rPr>
          <w:noProof/>
        </w:rPr>
        <w:tab/>
        <w:t>Budget</w:t>
      </w:r>
    </w:p>
    <w:p>
      <w:pPr>
        <w:spacing w:after="240"/>
        <w:jc w:val="both"/>
        <w:rPr>
          <w:rFonts w:ascii="Times New Roman" w:eastAsia="Times New Roman" w:hAnsi="Times New Roman" w:cs="Times New Roman"/>
          <w:bCs/>
          <w:noProof/>
          <w:sz w:val="24"/>
          <w:szCs w:val="20"/>
        </w:rPr>
      </w:pPr>
      <w:r>
        <w:rPr>
          <w:rFonts w:ascii="Times New Roman" w:eastAsia="Times New Roman" w:hAnsi="Times New Roman" w:cs="Times New Roman"/>
          <w:noProof/>
          <w:sz w:val="24"/>
          <w:szCs w:val="20"/>
        </w:rPr>
        <w:t>For the period 2014-2020, the European Union allocated a total budget of EUR 7 071,73 million for the Galileo and EGNOS programmes. This envelope covers programme management activities, Galileo deployment and exploitation activities, EGNOS exploitation activities and risks associated with these activities</w:t>
      </w:r>
      <w:r>
        <w:rPr>
          <w:rFonts w:ascii="Times New Roman" w:eastAsia="Times New Roman" w:hAnsi="Times New Roman" w:cs="Times New Roman"/>
          <w:noProof/>
          <w:sz w:val="24"/>
          <w:szCs w:val="24"/>
        </w:rPr>
        <w:t xml:space="preserve">. </w:t>
      </w:r>
      <w:r>
        <w:rPr>
          <w:rFonts w:ascii="Times New Roman" w:hAnsi="Times New Roman" w:cs="Times New Roman"/>
          <w:noProof/>
          <w:sz w:val="24"/>
          <w:szCs w:val="24"/>
        </w:rPr>
        <w:t>As of end 2016, the Galileo and EGNOS programmes are on track to respect the budget boundaries set by the GNSS Regulation for the period 2014-2020.</w:t>
      </w:r>
      <w:r>
        <w:rPr>
          <w:noProof/>
        </w:rPr>
        <w:t xml:space="preserve"> </w:t>
      </w:r>
      <w:r>
        <w:rPr>
          <w:rFonts w:ascii="Times New Roman" w:eastAsia="Times New Roman" w:hAnsi="Times New Roman" w:cs="Times New Roman"/>
          <w:bCs/>
          <w:noProof/>
          <w:sz w:val="24"/>
          <w:szCs w:val="20"/>
        </w:rPr>
        <w:t>The Commission monitors the budget closely to ensure its stays within the limit.</w:t>
      </w:r>
    </w:p>
    <w:p>
      <w:pPr>
        <w:pStyle w:val="Heading2"/>
        <w:rPr>
          <w:noProof/>
        </w:rPr>
      </w:pPr>
      <w:r>
        <w:rPr>
          <w:noProof/>
        </w:rPr>
        <w:t>2.3.2.</w:t>
      </w:r>
      <w:r>
        <w:rPr>
          <w:noProof/>
        </w:rPr>
        <w:tab/>
        <w:t>Delivery mechanisms</w:t>
      </w:r>
    </w:p>
    <w:p>
      <w:pPr>
        <w:jc w:val="both"/>
        <w:rPr>
          <w:rFonts w:ascii="Times New Roman" w:hAnsi="Times New Roman"/>
          <w:noProof/>
          <w:sz w:val="24"/>
          <w:szCs w:val="20"/>
        </w:rPr>
      </w:pPr>
      <w:r>
        <w:rPr>
          <w:rFonts w:ascii="Times New Roman" w:hAnsi="Times New Roman" w:cs="Times New Roman"/>
          <w:noProof/>
          <w:sz w:val="24"/>
        </w:rPr>
        <w:t xml:space="preserve">Over the period 2014-2016, the governance scheme that was decided in 2013 has been progressively implemented: </w:t>
      </w:r>
      <w:r>
        <w:rPr>
          <w:rFonts w:ascii="Times New Roman" w:hAnsi="Times New Roman"/>
          <w:noProof/>
          <w:sz w:val="24"/>
          <w:szCs w:val="20"/>
        </w:rPr>
        <w:t>Delegation Agreements were concluded between the Commission and the European Space Agency (ESA) on the Galileo deployment phase, as well as between the Commission and the European GNSS Agency (GSA) on the Galileo and EGNOS exploitation phases. Working Arrangements between the GSA and ESA for both Galileo and EGNOS programmes were equally concluded. The role of the GSA in the operational management of the programmes has gradually increased.</w:t>
      </w:r>
    </w:p>
    <w:p>
      <w:pPr>
        <w:jc w:val="both"/>
        <w:rPr>
          <w:rFonts w:ascii="Times New Roman" w:hAnsi="Times New Roman"/>
          <w:bCs/>
          <w:noProof/>
          <w:sz w:val="24"/>
        </w:rPr>
      </w:pPr>
      <w:r>
        <w:rPr>
          <w:rFonts w:ascii="Times New Roman" w:hAnsi="Times New Roman"/>
          <w:noProof/>
          <w:sz w:val="24"/>
          <w:szCs w:val="20"/>
        </w:rPr>
        <w:t xml:space="preserve">The new governance scheme has brought more robust management processes. </w:t>
      </w:r>
      <w:r>
        <w:rPr>
          <w:rFonts w:ascii="Times New Roman" w:hAnsi="Times New Roman"/>
          <w:bCs/>
          <w:noProof/>
          <w:sz w:val="24"/>
        </w:rPr>
        <w:t>These have contributed to maintain the programmes within budget boundaries and to mitigate risks and the impact of unforeseen events on the programmes.</w:t>
      </w:r>
    </w:p>
    <w:p>
      <w:pPr>
        <w:jc w:val="both"/>
        <w:rPr>
          <w:rFonts w:ascii="Times New Roman" w:hAnsi="Times New Roman"/>
          <w:bCs/>
          <w:noProof/>
          <w:sz w:val="24"/>
        </w:rPr>
      </w:pPr>
      <w:r>
        <w:rPr>
          <w:rFonts w:ascii="Times New Roman" w:hAnsi="Times New Roman"/>
          <w:bCs/>
          <w:noProof/>
          <w:sz w:val="24"/>
        </w:rPr>
        <w:t xml:space="preserve">The new governance set-up required the key actors (European Commission, ESA and GSA) to adapt to their new role, a role which is not necessarily fully in line with their corporate culture, competencies and/or structure. That adaptation however led to some inefficiency. For example, the organisation of responsibilities and control processes has often required lengthy discussions among the governance actors, thus affecting the reactivity of the decision-making process. Furthermore, the fact that the deployment phase and the exploitation phase run in parallel with different governance set-up required both agencies to perform additional activities to ensure consensus with the Commission on the way tasks have to be executed. </w:t>
      </w:r>
    </w:p>
    <w:p>
      <w:pPr>
        <w:jc w:val="both"/>
        <w:rPr>
          <w:rFonts w:ascii="Times New Roman" w:hAnsi="Times New Roman"/>
          <w:bCs/>
          <w:noProof/>
          <w:sz w:val="24"/>
        </w:rPr>
      </w:pPr>
      <w:r>
        <w:rPr>
          <w:rFonts w:ascii="Times New Roman" w:hAnsi="Times New Roman"/>
          <w:bCs/>
          <w:noProof/>
          <w:sz w:val="24"/>
        </w:rPr>
        <w:t>A learning curve of the involved entities and of the programmes themselves is expected to further improve the situation in the next few years. An efficient decision-making process is particularly important for operational programmes driven by services and users' needs as Galileo and EGNOS.   In that context, the interaction between the entity in charge of deployment (ESA) and the entity in charge of operations (GSA) will have to be looked at closely.</w:t>
      </w:r>
    </w:p>
    <w:p>
      <w:pPr>
        <w:jc w:val="both"/>
        <w:rPr>
          <w:rFonts w:ascii="Times New Roman" w:hAnsi="Times New Roman"/>
          <w:noProof/>
          <w:sz w:val="24"/>
          <w:szCs w:val="20"/>
        </w:rPr>
      </w:pPr>
      <w:r>
        <w:rPr>
          <w:rFonts w:ascii="Times New Roman" w:hAnsi="Times New Roman"/>
          <w:noProof/>
          <w:sz w:val="24"/>
          <w:szCs w:val="20"/>
        </w:rPr>
        <w:t>In terms of security, the declaration of Galileo Initial Services and the overlap of the deployment and exploitation phases have led to some challenges. In particular, the independence in operation of different entities responsible for the implementation and verification of security requirements (European Commission, GSA, ESA) should be maintained.</w:t>
      </w:r>
    </w:p>
    <w:p>
      <w:pPr>
        <w:jc w:val="both"/>
        <w:rPr>
          <w:rFonts w:ascii="Times New Roman" w:hAnsi="Times New Roman" w:cs="Times New Roman"/>
          <w:noProof/>
          <w:sz w:val="24"/>
          <w:szCs w:val="24"/>
        </w:rPr>
      </w:pPr>
      <w:r>
        <w:rPr>
          <w:rFonts w:ascii="Times New Roman" w:hAnsi="Times New Roman" w:cs="Times New Roman"/>
          <w:noProof/>
          <w:sz w:val="24"/>
          <w:szCs w:val="24"/>
        </w:rPr>
        <w:t>However, it is still worthwhile to further optimise the current governance scheme for the Galileo and EGNOS programmes, in order to reflect the entry into operational phase of such service-driven programmes. This may involve reducing the administrative burden for the key actors, as well as the complexity and length of the decision making process. Finally, it should evolve to take into account new security challenges such as cybersecurity and to clearly define the roles and responsibilities of the actors in charge of the implementation and verification of security requirements.</w:t>
      </w:r>
    </w:p>
    <w:p>
      <w:pPr>
        <w:pStyle w:val="Heading1"/>
        <w:rPr>
          <w:noProof/>
        </w:rPr>
      </w:pPr>
      <w:r>
        <w:rPr>
          <w:noProof/>
        </w:rPr>
        <w:t>2.4.</w:t>
      </w:r>
      <w:r>
        <w:rPr>
          <w:noProof/>
        </w:rPr>
        <w:tab/>
        <w:t>EU added value</w:t>
      </w:r>
    </w:p>
    <w:p>
      <w:pPr>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With the Declaration of Initial Services, Galileo officially moved from a testing phase to the provision of live services. Users around the world are now guided using the positioning, navigation and timing information provided by Galileo</w:t>
      </w:r>
      <w:r>
        <w:rPr>
          <w:rStyle w:val="FootnoteReference"/>
          <w:rFonts w:ascii="Times New Roman" w:eastAsia="Times New Roman" w:hAnsi="Times New Roman"/>
          <w:noProof/>
          <w:sz w:val="24"/>
          <w:szCs w:val="20"/>
        </w:rPr>
        <w:footnoteReference w:id="12"/>
      </w:r>
      <w:r>
        <w:rPr>
          <w:rFonts w:ascii="Times New Roman" w:eastAsia="Times New Roman" w:hAnsi="Times New Roman" w:cs="Times New Roman"/>
          <w:noProof/>
          <w:sz w:val="24"/>
          <w:szCs w:val="20"/>
        </w:rPr>
        <w:t>.</w:t>
      </w:r>
    </w:p>
    <w:p>
      <w:pPr>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A few months after the Declaration of Initial Services, a number of Galileo-ready devices already hit the mass market. All main chipsets (sold by 17 major suppliers worldwide, representing 95% of the market) that are used in smartphones, tablets, cars, professional survey equipment, etc. use Galileo.</w:t>
      </w:r>
    </w:p>
    <w:p>
      <w:pPr>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These chipsets are embedded in consumer and professional products that we can buy today. Based on the main products on sale, the GSA estimates that more than 100 million user devices enabled for EGNOS and/or Galileo services are today in the hands of European citizens. From 2018, all new car models sold in the European Union will rely on EGNOS and Galileo to calculate the position of emergency calls in case of accidents.</w:t>
      </w:r>
    </w:p>
    <w:p>
      <w:pPr>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In addition, the potential number of users is expected to become bigger: shipments of GNSS devices in the European Union are expected to grow from 210 million units in 2015 to almost 290 million in 2020</w:t>
      </w:r>
      <w:r>
        <w:rPr>
          <w:rStyle w:val="FootnoteReference"/>
          <w:rFonts w:ascii="Times New Roman" w:eastAsia="Times New Roman" w:hAnsi="Times New Roman"/>
          <w:noProof/>
          <w:sz w:val="24"/>
          <w:szCs w:val="20"/>
        </w:rPr>
        <w:footnoteReference w:id="13"/>
      </w:r>
      <w:r>
        <w:rPr>
          <w:rFonts w:ascii="Times New Roman" w:eastAsia="Times New Roman" w:hAnsi="Times New Roman" w:cs="Times New Roman"/>
          <w:noProof/>
          <w:sz w:val="24"/>
          <w:szCs w:val="20"/>
        </w:rPr>
        <w:t>, representing a much larger base of users for EGNOS and Galileo.</w:t>
      </w:r>
    </w:p>
    <w:p>
      <w:pPr>
        <w:jc w:val="both"/>
        <w:rPr>
          <w:rFonts w:ascii="Times New Roman" w:hAnsi="Times New Roman" w:cs="Times New Roman"/>
          <w:noProof/>
          <w:sz w:val="24"/>
          <w:szCs w:val="24"/>
        </w:rPr>
      </w:pPr>
      <w:r>
        <w:rPr>
          <w:rFonts w:ascii="Times New Roman" w:hAnsi="Times New Roman" w:cs="Times New Roman"/>
          <w:noProof/>
          <w:sz w:val="24"/>
          <w:szCs w:val="24"/>
        </w:rPr>
        <w:t>Thus, the implementation at EU level of the Galileo and EGNOS programmes has brought a high added value compared to what could have been achieved by the Member States at national, regional or local level. The size and complexity of the programmes require implementation at EU level, as no viable alternative exists to ensure an appropriate return on investment. As a result of this, all stakeholders agree that the continuation of the programmes' implementation at EU level is a condition for the achievement of the Galileo and EGNOS objectives.</w:t>
      </w:r>
    </w:p>
    <w:p>
      <w:pPr>
        <w:jc w:val="both"/>
        <w:rPr>
          <w:rFonts w:ascii="Times New Roman" w:hAnsi="Times New Roman" w:cs="Times New Roman"/>
          <w:noProof/>
          <w:sz w:val="24"/>
          <w:szCs w:val="24"/>
        </w:rPr>
      </w:pPr>
      <w:r>
        <w:rPr>
          <w:rFonts w:ascii="Times New Roman" w:eastAsia="Times New Roman" w:hAnsi="Times New Roman" w:cs="Times New Roman"/>
          <w:noProof/>
          <w:sz w:val="24"/>
          <w:szCs w:val="20"/>
        </w:rPr>
        <w:t>T</w:t>
      </w:r>
      <w:r>
        <w:rPr>
          <w:rFonts w:ascii="Times New Roman" w:hAnsi="Times New Roman" w:cs="Times New Roman"/>
          <w:noProof/>
          <w:sz w:val="24"/>
          <w:szCs w:val="24"/>
        </w:rPr>
        <w:t>he Galileo and EGNOS programmes contribute to a safe and secure Europe by ensuring European autonomy in accessing and using space in a safe and secure environment, and in particular consolidate and protect its infrastructures, including against cyber threats, as well as by strengthening synergies between civilian and security activities in the fields of navigation, communication and observation, including through monitoring borders, land and maritime security conditions.</w:t>
      </w:r>
    </w:p>
    <w:p>
      <w:pPr>
        <w:jc w:val="both"/>
        <w:rPr>
          <w:rFonts w:ascii="Times New Roman" w:hAnsi="Times New Roman" w:cs="Times New Roman"/>
          <w:noProof/>
          <w:sz w:val="24"/>
          <w:szCs w:val="24"/>
        </w:rPr>
      </w:pPr>
      <w:r>
        <w:rPr>
          <w:rFonts w:ascii="Times New Roman" w:hAnsi="Times New Roman" w:cs="Times New Roman"/>
          <w:noProof/>
          <w:sz w:val="24"/>
          <w:szCs w:val="24"/>
        </w:rPr>
        <w:t>The Galileo and EGNOS programmes also promote a stronger Europe on the global scene. Given the increasing competition with other GNSS and SBAS systems, it is crucial that Europe develops its own systems, to take part in the race to the technology, to remain a world-class actor in space and a partner of choice on the international scene.</w:t>
      </w:r>
    </w:p>
    <w:p>
      <w:pPr>
        <w:pStyle w:val="Heading1"/>
        <w:rPr>
          <w:noProof/>
        </w:rPr>
      </w:pPr>
      <w:r>
        <w:rPr>
          <w:noProof/>
        </w:rPr>
        <w:t>3.</w:t>
      </w:r>
      <w:r>
        <w:rPr>
          <w:noProof/>
        </w:rPr>
        <w:tab/>
        <w:t>MAIN FINDINGS CONCERNING THE GSA</w:t>
      </w:r>
    </w:p>
    <w:p>
      <w:pPr>
        <w:pStyle w:val="Heading1"/>
        <w:rPr>
          <w:rFonts w:eastAsia="Arial Unicode MS"/>
          <w:noProof/>
          <w:szCs w:val="24"/>
        </w:rPr>
      </w:pPr>
      <w:r>
        <w:rPr>
          <w:rFonts w:eastAsia="Arial Unicode MS"/>
          <w:noProof/>
          <w:szCs w:val="24"/>
        </w:rPr>
        <w:t>3.1.</w:t>
      </w:r>
      <w:r>
        <w:rPr>
          <w:rFonts w:eastAsia="Arial Unicode MS"/>
          <w:noProof/>
          <w:szCs w:val="24"/>
        </w:rPr>
        <w:tab/>
        <w:t>Impact and effectiveness of the GSA</w:t>
      </w:r>
    </w:p>
    <w:p>
      <w:pPr>
        <w:jc w:val="both"/>
        <w:rPr>
          <w:rFonts w:ascii="Times New Roman" w:hAnsi="Times New Roman" w:cs="Times New Roman"/>
          <w:bCs/>
          <w:noProof/>
          <w:sz w:val="24"/>
          <w:szCs w:val="24"/>
        </w:rPr>
      </w:pPr>
      <w:r>
        <w:rPr>
          <w:rFonts w:ascii="Times New Roman" w:hAnsi="Times New Roman" w:cs="Times New Roman"/>
          <w:noProof/>
          <w:sz w:val="24"/>
          <w:szCs w:val="24"/>
        </w:rPr>
        <w:t>Over the period 2014-2016, t</w:t>
      </w:r>
      <w:r>
        <w:rPr>
          <w:rFonts w:ascii="Times New Roman" w:hAnsi="Times New Roman" w:cs="Times New Roman"/>
          <w:bCs/>
          <w:noProof/>
          <w:sz w:val="24"/>
          <w:szCs w:val="24"/>
        </w:rPr>
        <w:t>he GSA has successfully achieved important objectives for the progress of Galileo and EGNOS programmes and for the development of European downstream markets. This has been accomplished through an effective implementation of both core tasks entrusted to the GSA directly on the basis of the GSA Regulation, and tasks delegated to it by the Commission through Delegation Agreements.</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Key achievements of the Agency include </w:t>
      </w:r>
      <w:r>
        <w:rPr>
          <w:rFonts w:ascii="Times New Roman" w:hAnsi="Times New Roman"/>
          <w:bCs/>
          <w:noProof/>
          <w:sz w:val="24"/>
        </w:rPr>
        <w:t>the implementation in particular of testing activities that were a prerequisite for the declaration of Galileo Initial Services;</w:t>
      </w:r>
      <w:r>
        <w:rPr>
          <w:rFonts w:ascii="Times New Roman" w:hAnsi="Times New Roman" w:cs="Times New Roman"/>
          <w:noProof/>
          <w:sz w:val="24"/>
          <w:szCs w:val="24"/>
        </w:rPr>
        <w:t xml:space="preserve"> the transition towards the Galileo exploitation phase, in particular the award of the contract to the Galileo Service operator (GSOp); the smooth implementation of FP7, Horizon 2020 and Fundamental Elements R&amp;D projects; as well as downstream market development through monitoring, communication and promotion activities. These results have been delivered within budget.</w:t>
      </w:r>
    </w:p>
    <w:p>
      <w:pPr>
        <w:pStyle w:val="Heading1"/>
        <w:rPr>
          <w:rFonts w:eastAsia="Arial Unicode MS"/>
          <w:noProof/>
        </w:rPr>
      </w:pPr>
      <w:r>
        <w:rPr>
          <w:rFonts w:eastAsia="Arial Unicode MS"/>
          <w:noProof/>
        </w:rPr>
        <w:t>3.2.</w:t>
      </w:r>
      <w:r>
        <w:rPr>
          <w:rFonts w:eastAsia="Arial Unicode MS"/>
          <w:noProof/>
        </w:rPr>
        <w:tab/>
        <w:t>Efficiency in terms of smooth running, working methods and use of resources</w:t>
      </w:r>
    </w:p>
    <w:p>
      <w:pPr>
        <w:pStyle w:val="Alphabeticlist"/>
        <w:spacing w:line="276" w:lineRule="auto"/>
        <w:rPr>
          <w:rStyle w:val="Strong"/>
          <w:rFonts w:ascii="Times New Roman" w:hAnsi="Times New Roman"/>
          <w:b w:val="0"/>
          <w:noProof/>
          <w:sz w:val="24"/>
          <w:szCs w:val="24"/>
          <w:lang w:val="en-GB"/>
        </w:rPr>
      </w:pPr>
      <w:r>
        <w:rPr>
          <w:rStyle w:val="Strong"/>
          <w:rFonts w:ascii="Times New Roman" w:hAnsi="Times New Roman"/>
          <w:b w:val="0"/>
          <w:noProof/>
          <w:sz w:val="24"/>
          <w:szCs w:val="24"/>
          <w:lang w:val="en-GB"/>
        </w:rPr>
        <w:t>Over the period 2014-2016, the Agency has been efficient overall in terms of smooth running, working methods and use of resources.</w:t>
      </w:r>
    </w:p>
    <w:p>
      <w:pPr>
        <w:pStyle w:val="Body"/>
        <w:spacing w:line="276" w:lineRule="auto"/>
        <w:rPr>
          <w:rFonts w:ascii="Times New Roman" w:hAnsi="Times New Roman"/>
          <w:bCs/>
          <w:noProof/>
          <w:sz w:val="24"/>
        </w:rPr>
      </w:pPr>
      <w:r>
        <w:rPr>
          <w:rStyle w:val="Strong"/>
          <w:rFonts w:ascii="Times New Roman" w:hAnsi="Times New Roman"/>
          <w:b w:val="0"/>
          <w:noProof/>
          <w:sz w:val="24"/>
          <w:szCs w:val="24"/>
        </w:rPr>
        <w:t xml:space="preserve">As regards the smooth running of the Agency, the </w:t>
      </w:r>
      <w:r>
        <w:rPr>
          <w:rFonts w:ascii="Times New Roman" w:hAnsi="Times New Roman"/>
          <w:bCs/>
          <w:noProof/>
          <w:sz w:val="24"/>
        </w:rPr>
        <w:t>processes implemented by the GSA are primarily defined in the legal framework governing the Agency, which the Agency has complied with. This has contributed to the effective implementation of the programmes.</w:t>
      </w:r>
    </w:p>
    <w:p>
      <w:pPr>
        <w:pStyle w:val="Body"/>
        <w:spacing w:line="276" w:lineRule="auto"/>
        <w:rPr>
          <w:rFonts w:ascii="Times New Roman" w:hAnsi="Times New Roman"/>
          <w:bCs/>
          <w:noProof/>
          <w:sz w:val="24"/>
        </w:rPr>
      </w:pPr>
      <w:r>
        <w:rPr>
          <w:rFonts w:ascii="Times New Roman" w:hAnsi="Times New Roman"/>
          <w:bCs/>
          <w:noProof/>
          <w:sz w:val="24"/>
        </w:rPr>
        <w:t>Regarding working methods, the GSA has been proactive in improving the effectiveness and efficiency of its delivery process, to be able to handle properly the increasing responsibilities with which it is entrusted. Thus, the Agency has been awarded in the period the ISO-9001 certification, showing a quality management system.</w:t>
      </w:r>
    </w:p>
    <w:p>
      <w:pPr>
        <w:pStyle w:val="Body"/>
        <w:spacing w:line="276" w:lineRule="auto"/>
        <w:rPr>
          <w:rFonts w:ascii="Times New Roman" w:hAnsi="Times New Roman"/>
          <w:bCs/>
          <w:noProof/>
          <w:sz w:val="24"/>
        </w:rPr>
      </w:pPr>
      <w:r>
        <w:rPr>
          <w:rFonts w:ascii="Times New Roman" w:hAnsi="Times New Roman"/>
          <w:bCs/>
          <w:noProof/>
          <w:sz w:val="24"/>
        </w:rPr>
        <w:t>Concerning the use of resources, the GSA has faced a challenge in terms of attracting the relevant resources and skills. Between 2014 and 2016 with the increasing responsibilities entrusted to the GSA, the total budget managed by the Agency has grown by 85,9%, and the GSA staff has increased by 22,1%.</w:t>
      </w:r>
    </w:p>
    <w:p>
      <w:pPr>
        <w:pStyle w:val="Heading1"/>
        <w:rPr>
          <w:rFonts w:eastAsia="Arial Unicode MS"/>
          <w:noProof/>
        </w:rPr>
      </w:pPr>
      <w:r>
        <w:rPr>
          <w:rFonts w:eastAsia="Arial Unicode MS"/>
          <w:noProof/>
        </w:rPr>
        <w:t>3.3.</w:t>
      </w:r>
      <w:r>
        <w:rPr>
          <w:rFonts w:eastAsia="Arial Unicode MS"/>
          <w:noProof/>
        </w:rPr>
        <w:tab/>
        <w:t xml:space="preserve">Role of the Security Accreditation Board (SAB) and security governance </w:t>
      </w:r>
    </w:p>
    <w:p>
      <w:pPr>
        <w:jc w:val="both"/>
        <w:rPr>
          <w:rFonts w:ascii="Times New Roman" w:eastAsia="Arial Unicode MS" w:hAnsi="Times New Roman" w:cs="Times New Roman"/>
          <w:noProof/>
          <w:sz w:val="24"/>
          <w:szCs w:val="24"/>
        </w:rPr>
      </w:pPr>
      <w:r>
        <w:rPr>
          <w:rFonts w:ascii="Times New Roman" w:eastAsia="Arial Unicode MS" w:hAnsi="Times New Roman" w:cs="Times New Roman"/>
          <w:noProof/>
          <w:sz w:val="24"/>
          <w:szCs w:val="24"/>
        </w:rPr>
        <w:t>The GSA Regulation established the SAB, which is responsible for security accreditation related tasks for the European GNSS systems. It works independently with no reporting to the GSA Executive Director. The SAB has performed well, and constant monitoring is required to ensure its complete independence.</w:t>
      </w:r>
    </w:p>
    <w:p>
      <w:pPr>
        <w:jc w:val="both"/>
        <w:rPr>
          <w:rFonts w:ascii="Times New Roman" w:eastAsia="Arial Unicode MS" w:hAnsi="Times New Roman" w:cs="Times New Roman"/>
          <w:noProof/>
          <w:sz w:val="24"/>
          <w:szCs w:val="24"/>
        </w:rPr>
      </w:pPr>
      <w:r>
        <w:rPr>
          <w:rFonts w:ascii="Times New Roman" w:eastAsia="Arial Unicode MS" w:hAnsi="Times New Roman" w:cs="Times New Roman"/>
          <w:noProof/>
          <w:sz w:val="24"/>
          <w:szCs w:val="24"/>
        </w:rPr>
        <w:t xml:space="preserve">The evaluation has demonstrated that all relevant bodies (e.g. security organisation in EC, ESA and GSA; SAB) and processes (e.g. security requirement identification, security accreditation, security risk identification and management, security of the operations, system security monitoring) are today up and running. This has allowed the relevant actors to fulfil their tasks ensuring the accreditation of all the deployed elements of the European GNSS systems, the accreditation of the Ariane 5 as a launcher for the Galileo satellites, and the declaration of the Galileo Initial Services in December 2016. </w:t>
      </w:r>
    </w:p>
    <w:p>
      <w:pPr>
        <w:jc w:val="both"/>
        <w:rPr>
          <w:rFonts w:ascii="Times New Roman" w:eastAsia="Arial Unicode MS" w:hAnsi="Times New Roman" w:cs="Times New Roman"/>
          <w:noProof/>
          <w:sz w:val="24"/>
          <w:szCs w:val="24"/>
        </w:rPr>
      </w:pPr>
      <w:r>
        <w:rPr>
          <w:rFonts w:ascii="Times New Roman" w:eastAsia="Arial Unicode MS" w:hAnsi="Times New Roman" w:cs="Times New Roman"/>
          <w:noProof/>
          <w:sz w:val="24"/>
          <w:szCs w:val="24"/>
        </w:rPr>
        <w:t>The efforts to optimise security will have to continue, in particular, with regard to the appropriate management of cyber threats and the need to improve the independence of security accreditation activities from other programme activities. The GSA will have to monitor its ability to maintain the security processes through the exploitation phase.</w:t>
      </w:r>
    </w:p>
    <w:p>
      <w:pPr>
        <w:pStyle w:val="Heading1"/>
        <w:ind w:left="0" w:firstLine="0"/>
        <w:rPr>
          <w:noProof/>
        </w:rPr>
      </w:pPr>
      <w:r>
        <w:rPr>
          <w:noProof/>
        </w:rPr>
        <w:t>4.</w:t>
      </w:r>
      <w:r>
        <w:rPr>
          <w:noProof/>
        </w:rPr>
        <w:tab/>
        <w:t>WAY FORWARD</w:t>
      </w:r>
    </w:p>
    <w:p>
      <w:pPr>
        <w:keepNext/>
        <w:tabs>
          <w:tab w:val="num" w:pos="480"/>
        </w:tabs>
        <w:spacing w:before="240" w:after="240" w:line="240" w:lineRule="auto"/>
        <w:ind w:left="480" w:hanging="480"/>
        <w:jc w:val="both"/>
        <w:outlineLvl w:val="0"/>
        <w:rPr>
          <w:rFonts w:ascii="Times New Roman" w:eastAsia="Times New Roman" w:hAnsi="Times New Roman" w:cs="Times New Roman"/>
          <w:b/>
          <w:smallCaps/>
          <w:noProof/>
          <w:sz w:val="24"/>
          <w:szCs w:val="20"/>
        </w:rPr>
      </w:pPr>
      <w:r>
        <w:rPr>
          <w:rFonts w:ascii="Times New Roman" w:eastAsia="Times New Roman" w:hAnsi="Times New Roman" w:cs="Times New Roman"/>
          <w:b/>
          <w:smallCaps/>
          <w:noProof/>
          <w:sz w:val="24"/>
          <w:szCs w:val="20"/>
        </w:rPr>
        <w:t>4.1.</w:t>
      </w:r>
      <w:r>
        <w:rPr>
          <w:rFonts w:ascii="Times New Roman" w:eastAsia="Times New Roman" w:hAnsi="Times New Roman" w:cs="Times New Roman"/>
          <w:b/>
          <w:smallCaps/>
          <w:noProof/>
          <w:sz w:val="24"/>
          <w:szCs w:val="20"/>
        </w:rPr>
        <w:tab/>
        <w:t>Market uptake of Galileo and EGNOS</w:t>
      </w:r>
    </w:p>
    <w:p>
      <w:pPr>
        <w:jc w:val="both"/>
        <w:rPr>
          <w:rFonts w:ascii="Times New Roman" w:hAnsi="Times New Roman" w:cs="Times New Roman"/>
          <w:noProof/>
          <w:sz w:val="24"/>
          <w:szCs w:val="24"/>
        </w:rPr>
      </w:pPr>
      <w:r>
        <w:rPr>
          <w:rFonts w:ascii="Times New Roman" w:hAnsi="Times New Roman" w:cs="Times New Roman"/>
          <w:noProof/>
          <w:sz w:val="24"/>
          <w:szCs w:val="24"/>
        </w:rPr>
        <w:t>Continuing to reinforce the market uptake of Galileo and EGNOS services is essential to ensure the return on the Union’s investment in the programmes and to maximise the socio-economic benefits that these services can generate. There is a need to continue working on ensuring an appropriate regulatory framework for the uptake of GNSS services.</w:t>
      </w:r>
      <w:r>
        <w:rPr>
          <w:noProof/>
        </w:rPr>
        <w:t xml:space="preserve"> </w:t>
      </w:r>
      <w:r>
        <w:rPr>
          <w:rFonts w:ascii="Times New Roman" w:hAnsi="Times New Roman" w:cs="Times New Roman"/>
          <w:noProof/>
          <w:sz w:val="24"/>
          <w:szCs w:val="24"/>
        </w:rPr>
        <w:t>This will also require reinforcing available legal mechanisms.</w:t>
      </w:r>
    </w:p>
    <w:p>
      <w:pPr>
        <w:jc w:val="both"/>
        <w:rPr>
          <w:rFonts w:ascii="Times New Roman" w:hAnsi="Times New Roman" w:cs="Times New Roman"/>
          <w:noProof/>
          <w:sz w:val="24"/>
          <w:szCs w:val="24"/>
        </w:rPr>
      </w:pPr>
      <w:r>
        <w:rPr>
          <w:rFonts w:ascii="Times New Roman" w:hAnsi="Times New Roman" w:cs="Times New Roman"/>
          <w:noProof/>
          <w:sz w:val="24"/>
          <w:szCs w:val="24"/>
        </w:rPr>
        <w:t>At EU level, EU policies have to take into account the benefits of Galileo and EGNOS positioning, navigation and timing services through concrete measures, including regulatory measures, development of standards and future sectoral strategies. The emphasis needs to be on key sectors with the highest added value such as mobile phones, Internet of Things, autonomous and connected cars, aviation and unmanned aerial vehicles (drones) and critical infrastructure using timing synchronisation. The Commission will release a European radio navigation plan to facilitate the introduction of global navigation satellite system applications in sectoral policies. At national level, these efforts should also be supported by encouraging the use of Galileo and EGNOS services in national policies and government applications.</w:t>
      </w:r>
    </w:p>
    <w:p>
      <w:pPr>
        <w:jc w:val="both"/>
        <w:rPr>
          <w:rFonts w:ascii="Times New Roman" w:hAnsi="Times New Roman" w:cs="Times New Roman"/>
          <w:noProof/>
          <w:sz w:val="24"/>
          <w:szCs w:val="24"/>
        </w:rPr>
      </w:pPr>
      <w:r>
        <w:rPr>
          <w:rFonts w:ascii="Times New Roman" w:hAnsi="Times New Roman" w:cs="Times New Roman"/>
          <w:noProof/>
          <w:sz w:val="24"/>
          <w:szCs w:val="24"/>
        </w:rPr>
        <w:t>Devices and applications using Galileo and EGNOS are developed by SMEs and start-ups. European companies are facing fierce competition from US and Chinese companies and they are dependent on non-European critical components and technologies. There is a need to step up the support for increasing the competitiveness of European downstream industry aimed at improving their global market share, and creating jobs. Support for research and development activities, SMEs and start-ups in the area of satellite navigation through EU funding programmes are to be monitored.</w:t>
      </w:r>
    </w:p>
    <w:p>
      <w:pPr>
        <w:jc w:val="both"/>
        <w:rPr>
          <w:rFonts w:ascii="Times New Roman" w:eastAsia="Times New Roman" w:hAnsi="Times New Roman" w:cs="Times New Roman"/>
          <w:b/>
          <w:smallCaps/>
          <w:noProof/>
          <w:sz w:val="24"/>
          <w:szCs w:val="20"/>
        </w:rPr>
      </w:pPr>
      <w:r>
        <w:rPr>
          <w:rFonts w:ascii="Times New Roman" w:hAnsi="Times New Roman" w:cs="Times New Roman"/>
          <w:noProof/>
          <w:sz w:val="24"/>
          <w:szCs w:val="24"/>
        </w:rPr>
        <w:t>Galileo and EGNOS services must continue to develop based on the needs of users to deliver state-of-the-art satellite navigation services with higher robustness and new innovative features. This is especially important in an ever more competitive international environment where other constellation providers have ambitious modernisation plans. The Commission is already working on the next generation of Galileo and EGNOS infrastructure that will allow for modernised services. To ensure that developments are driven by user needs, including security-related requirements, the Commission will strengthen the user consultation process and set up dedicated user platforms.</w:t>
      </w:r>
    </w:p>
    <w:p>
      <w:pPr>
        <w:keepNext/>
        <w:tabs>
          <w:tab w:val="num" w:pos="480"/>
        </w:tabs>
        <w:spacing w:before="240" w:after="240" w:line="240" w:lineRule="auto"/>
        <w:ind w:left="480" w:hanging="480"/>
        <w:jc w:val="both"/>
        <w:outlineLvl w:val="0"/>
        <w:rPr>
          <w:rFonts w:ascii="Times New Roman" w:eastAsia="Times New Roman" w:hAnsi="Times New Roman" w:cs="Times New Roman"/>
          <w:b/>
          <w:smallCaps/>
          <w:noProof/>
          <w:sz w:val="24"/>
          <w:szCs w:val="20"/>
        </w:rPr>
      </w:pPr>
      <w:r>
        <w:rPr>
          <w:rFonts w:ascii="Times New Roman" w:eastAsia="Times New Roman" w:hAnsi="Times New Roman" w:cs="Times New Roman"/>
          <w:b/>
          <w:smallCaps/>
          <w:noProof/>
          <w:sz w:val="24"/>
          <w:szCs w:val="20"/>
        </w:rPr>
        <w:t>4.2.</w:t>
      </w:r>
      <w:r>
        <w:rPr>
          <w:rFonts w:ascii="Times New Roman" w:eastAsia="Times New Roman" w:hAnsi="Times New Roman" w:cs="Times New Roman"/>
          <w:b/>
          <w:smallCaps/>
          <w:noProof/>
          <w:sz w:val="24"/>
          <w:szCs w:val="20"/>
        </w:rPr>
        <w:tab/>
        <w:t>Galileo and EGNOS Services</w:t>
      </w:r>
    </w:p>
    <w:p>
      <w:pPr>
        <w:jc w:val="both"/>
        <w:rPr>
          <w:rFonts w:ascii="Times New Roman" w:hAnsi="Times New Roman" w:cs="Times New Roman"/>
          <w:noProof/>
          <w:sz w:val="24"/>
          <w:szCs w:val="24"/>
        </w:rPr>
      </w:pPr>
      <w:r>
        <w:rPr>
          <w:rFonts w:ascii="Times New Roman" w:hAnsi="Times New Roman" w:cs="Times New Roman"/>
          <w:noProof/>
          <w:sz w:val="24"/>
          <w:szCs w:val="24"/>
        </w:rPr>
        <w:t>After the Initial Services phase, the Commission will ensure that Galileo services are gradually improved with the aim of reaching full operational capability by the end of 2020. To reach this objective, the space and ground infrastructure of Galileo will continue to be deployed. The Commission will procure necessary launch services to ensure the launch of all procured satellites.</w:t>
      </w:r>
    </w:p>
    <w:p>
      <w:pPr>
        <w:jc w:val="both"/>
        <w:rPr>
          <w:rFonts w:ascii="Times New Roman" w:hAnsi="Times New Roman" w:cs="Times New Roman"/>
          <w:noProof/>
          <w:sz w:val="24"/>
          <w:szCs w:val="24"/>
        </w:rPr>
      </w:pPr>
      <w:r>
        <w:rPr>
          <w:rFonts w:ascii="Times New Roman" w:hAnsi="Times New Roman" w:cs="Times New Roman"/>
          <w:noProof/>
          <w:sz w:val="24"/>
          <w:szCs w:val="24"/>
        </w:rPr>
        <w:t>The Galileo Commercial Service will also be introduced before 2020 consisting of innovative high accuracy and authentication features, both expected to be differentiators for the adoption of Galileo by users. In addition, the Commission has launched the work on the evolution of the system, in full consultation with Member States and end users' communities to ensure that future services continue to be fully in line with their needs.</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Emphasis should also be put on cyber security to ensure that protection mechanisms are in place, and are commensurate with the evolving cyber threats. </w:t>
      </w:r>
    </w:p>
    <w:p>
      <w:pPr>
        <w:jc w:val="both"/>
        <w:rPr>
          <w:rFonts w:ascii="Times New Roman" w:hAnsi="Times New Roman" w:cs="Times New Roman"/>
          <w:noProof/>
          <w:sz w:val="24"/>
          <w:szCs w:val="24"/>
        </w:rPr>
      </w:pPr>
      <w:r>
        <w:rPr>
          <w:rFonts w:ascii="Times New Roman" w:hAnsi="Times New Roman" w:cs="Times New Roman"/>
          <w:noProof/>
          <w:sz w:val="24"/>
          <w:szCs w:val="24"/>
        </w:rPr>
        <w:t>The EGNOS services are provided to end users in Europe with a high degree of stability and performance. The key user community of EGNOS is the aviation sector. To guarantee the continuity of the EGNOS services, recurrent activities will continue to be implemented and system updates prepared. The Commission will ensure that full coverage of the targeted area is achieved in line with the EGNOS Service Evolution plan.</w:t>
      </w:r>
    </w:p>
    <w:p>
      <w:pPr>
        <w:jc w:val="both"/>
        <w:rPr>
          <w:rFonts w:ascii="Times New Roman" w:hAnsi="Times New Roman" w:cs="Times New Roman"/>
          <w:noProof/>
          <w:sz w:val="24"/>
          <w:szCs w:val="24"/>
        </w:rPr>
      </w:pPr>
      <w:r>
        <w:rPr>
          <w:rFonts w:ascii="Times New Roman" w:hAnsi="Times New Roman" w:cs="Times New Roman"/>
          <w:noProof/>
          <w:sz w:val="24"/>
          <w:szCs w:val="24"/>
        </w:rPr>
        <w:t>In parallel, the development of the next generation of EGNOS is well under way. This new version will augment both GPS and Galileo signals on dual frequencies, which will bring major improvements to the EGNOS services and increase user uptake.</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Finally, the safeguard the resilience of the services, the Commission will assess measures to secure the provision of critical components for both satellite navigation systems, in particular through diversification of the supply chain. </w:t>
      </w:r>
    </w:p>
    <w:p>
      <w:pPr>
        <w:keepNext/>
        <w:tabs>
          <w:tab w:val="num" w:pos="480"/>
        </w:tabs>
        <w:spacing w:before="240" w:after="240" w:line="240" w:lineRule="auto"/>
        <w:jc w:val="both"/>
        <w:outlineLvl w:val="0"/>
        <w:rPr>
          <w:rFonts w:ascii="Times New Roman" w:eastAsia="Times New Roman" w:hAnsi="Times New Roman" w:cs="Times New Roman"/>
          <w:b/>
          <w:smallCaps/>
          <w:noProof/>
          <w:sz w:val="24"/>
          <w:szCs w:val="20"/>
        </w:rPr>
      </w:pPr>
      <w:r>
        <w:rPr>
          <w:rFonts w:ascii="Times New Roman" w:eastAsia="Times New Roman" w:hAnsi="Times New Roman" w:cs="Times New Roman"/>
          <w:b/>
          <w:smallCaps/>
          <w:noProof/>
          <w:sz w:val="24"/>
          <w:szCs w:val="20"/>
        </w:rPr>
        <w:t>4.3.</w:t>
      </w:r>
      <w:r>
        <w:rPr>
          <w:rFonts w:ascii="Times New Roman" w:eastAsia="Times New Roman" w:hAnsi="Times New Roman" w:cs="Times New Roman"/>
          <w:b/>
          <w:smallCaps/>
          <w:noProof/>
          <w:sz w:val="24"/>
          <w:szCs w:val="20"/>
        </w:rPr>
        <w:tab/>
        <w:t>International Cooperation</w:t>
      </w:r>
    </w:p>
    <w:p>
      <w:pPr>
        <w:jc w:val="both"/>
        <w:rPr>
          <w:rFonts w:ascii="Times New Roman" w:hAnsi="Times New Roman" w:cs="Times New Roman"/>
          <w:noProof/>
          <w:sz w:val="24"/>
          <w:szCs w:val="24"/>
        </w:rPr>
      </w:pPr>
      <w:r>
        <w:rPr>
          <w:rFonts w:ascii="Times New Roman" w:hAnsi="Times New Roman" w:cs="Times New Roman"/>
          <w:noProof/>
          <w:sz w:val="24"/>
          <w:szCs w:val="24"/>
        </w:rPr>
        <w:t>The promotion and use of Galileo and EGNOS services worldwide is important to increase the use of European technologies worldwide and to open up new market opportunities for European companies. The adoption of EGNOS technology and services in the Western Balkans, in the European Neighbourhood Policy (ENP) countries and on the African continent is expected. As regards Galileo, promising markets which would greatly benefit from its services and applications will be targeted, such as for example Asia and South America.</w:t>
      </w:r>
    </w:p>
    <w:p>
      <w:pPr>
        <w:jc w:val="both"/>
        <w:rPr>
          <w:rFonts w:ascii="Times New Roman" w:hAnsi="Times New Roman" w:cs="Times New Roman"/>
          <w:noProof/>
          <w:sz w:val="24"/>
          <w:szCs w:val="24"/>
        </w:rPr>
      </w:pPr>
      <w:r>
        <w:rPr>
          <w:rFonts w:ascii="Times New Roman" w:hAnsi="Times New Roman" w:cs="Times New Roman"/>
          <w:noProof/>
          <w:sz w:val="24"/>
          <w:szCs w:val="24"/>
        </w:rPr>
        <w:t>Galileo and EGNOS programmes are also means for reinforcing the role of the EU as a global actor. The representation of the programmes’ interests in international organisations and fora needs to be reinforced, in particular on subjects related to compatibility and interoperability with other global satellite navigation systems and proper use of frequency bands.</w:t>
      </w:r>
    </w:p>
    <w:p>
      <w:pPr>
        <w:keepNext/>
        <w:tabs>
          <w:tab w:val="num" w:pos="480"/>
        </w:tabs>
        <w:spacing w:before="240" w:after="240" w:line="240" w:lineRule="auto"/>
        <w:ind w:left="480" w:hanging="480"/>
        <w:jc w:val="both"/>
        <w:outlineLvl w:val="0"/>
        <w:rPr>
          <w:rFonts w:ascii="Times New Roman" w:eastAsia="Times New Roman" w:hAnsi="Times New Roman" w:cs="Times New Roman"/>
          <w:b/>
          <w:smallCaps/>
          <w:noProof/>
          <w:sz w:val="24"/>
          <w:szCs w:val="20"/>
        </w:rPr>
      </w:pPr>
      <w:r>
        <w:rPr>
          <w:rFonts w:ascii="Times New Roman" w:eastAsia="Times New Roman" w:hAnsi="Times New Roman" w:cs="Times New Roman"/>
          <w:b/>
          <w:smallCaps/>
          <w:noProof/>
          <w:sz w:val="24"/>
          <w:szCs w:val="20"/>
        </w:rPr>
        <w:t>4.4.</w:t>
      </w:r>
      <w:r>
        <w:rPr>
          <w:rFonts w:ascii="Times New Roman" w:eastAsia="Times New Roman" w:hAnsi="Times New Roman" w:cs="Times New Roman"/>
          <w:b/>
          <w:smallCaps/>
          <w:noProof/>
          <w:sz w:val="24"/>
          <w:szCs w:val="20"/>
        </w:rPr>
        <w:tab/>
        <w:t>Governance of the programmes</w:t>
      </w:r>
    </w:p>
    <w:p>
      <w:pPr>
        <w:jc w:val="both"/>
        <w:rPr>
          <w:rFonts w:ascii="Times New Roman" w:hAnsi="Times New Roman" w:cs="Times New Roman"/>
          <w:noProof/>
          <w:sz w:val="24"/>
          <w:szCs w:val="24"/>
        </w:rPr>
      </w:pPr>
      <w:r>
        <w:rPr>
          <w:rFonts w:ascii="Times New Roman" w:hAnsi="Times New Roman" w:cs="Times New Roman"/>
          <w:noProof/>
          <w:sz w:val="24"/>
          <w:szCs w:val="24"/>
        </w:rPr>
        <w:t>The public governance of the programmes put into place for the period 2014-2020 ensured a smooth transition from the deployment to the exploitation phase of the Galileo programme. The GSA is progressively settling into its new role in the operational management of Galileo.</w:t>
      </w:r>
    </w:p>
    <w:p>
      <w:pPr>
        <w:jc w:val="both"/>
        <w:rPr>
          <w:rFonts w:ascii="Times New Roman" w:hAnsi="Times New Roman" w:cs="Times New Roman"/>
          <w:noProof/>
          <w:sz w:val="24"/>
          <w:szCs w:val="24"/>
        </w:rPr>
      </w:pPr>
      <w:r>
        <w:rPr>
          <w:rFonts w:ascii="Times New Roman" w:hAnsi="Times New Roman" w:cs="Times New Roman"/>
          <w:noProof/>
          <w:sz w:val="24"/>
          <w:szCs w:val="24"/>
        </w:rPr>
        <w:t>The experience with the operational management of EGNOS shows that an approach where design, construction, operations and service provision are most efficiently delivered in fully integrated management.</w:t>
      </w:r>
    </w:p>
    <w:p>
      <w:pPr>
        <w:jc w:val="both"/>
        <w:rPr>
          <w:rFonts w:ascii="Times New Roman" w:hAnsi="Times New Roman" w:cs="Times New Roman"/>
          <w:noProof/>
          <w:sz w:val="24"/>
          <w:szCs w:val="24"/>
        </w:rPr>
      </w:pPr>
      <w:r>
        <w:rPr>
          <w:rFonts w:ascii="Times New Roman" w:hAnsi="Times New Roman" w:cs="Times New Roman"/>
          <w:noProof/>
          <w:sz w:val="24"/>
          <w:szCs w:val="24"/>
        </w:rPr>
        <w:t>In the governance of security related issues, adequate mechanisms are in place to ensure smooth management of requirements during the overlapping deployment and exploitation phases up to 2020. The independence of operation of the organisations (the Commission, GSA</w:t>
      </w:r>
      <w:r>
        <w:rPr>
          <w:noProof/>
        </w:rPr>
        <w:t xml:space="preserve"> </w:t>
      </w:r>
      <w:r>
        <w:rPr>
          <w:rFonts w:ascii="Times New Roman" w:hAnsi="Times New Roman" w:cs="Times New Roman"/>
          <w:noProof/>
          <w:sz w:val="24"/>
          <w:szCs w:val="24"/>
        </w:rPr>
        <w:t>and ESA) responsible for security requirement implementation and verification should be maintained and the independence of the security accreditation activities from other programme activities could be further improved.</w:t>
      </w:r>
    </w:p>
    <w:p>
      <w:pPr>
        <w:jc w:val="both"/>
        <w:rPr>
          <w:rFonts w:ascii="Times New Roman" w:hAnsi="Times New Roman" w:cs="Times New Roman"/>
          <w:noProof/>
          <w:sz w:val="24"/>
          <w:szCs w:val="24"/>
        </w:rPr>
      </w:pPr>
      <w:r>
        <w:rPr>
          <w:rFonts w:ascii="Times New Roman" w:hAnsi="Times New Roman" w:cs="Times New Roman"/>
          <w:noProof/>
          <w:sz w:val="24"/>
          <w:szCs w:val="24"/>
        </w:rPr>
        <w:t>The Commission will monitor and, if necessary, adjust the interactions with the GSA, ESA and other stakeholders of the Galileo programme in particular in order to ensure that the needs of the exploitation phase of Galileo are met.</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Ahead of the proposals for the next multi-annual financial framework, the Commission will initiate a review of the overall governance to address the shortcomings identified during this evaluation process. </w:t>
      </w:r>
    </w:p>
    <w:p>
      <w:pPr>
        <w:pStyle w:val="Heading1"/>
        <w:rPr>
          <w:noProof/>
        </w:rPr>
      </w:pPr>
      <w:r>
        <w:rPr>
          <w:noProof/>
        </w:rPr>
        <w:t>5.</w:t>
      </w:r>
      <w:r>
        <w:rPr>
          <w:noProof/>
        </w:rPr>
        <w:tab/>
        <w:t>CONCLUSIONS</w:t>
      </w:r>
    </w:p>
    <w:p>
      <w:pPr>
        <w:spacing w:after="240"/>
        <w:jc w:val="both"/>
        <w:rPr>
          <w:rFonts w:ascii="Times New Roman" w:eastAsia="Times New Roman" w:hAnsi="Times New Roman" w:cs="Times New Roman"/>
          <w:noProof/>
          <w:sz w:val="24"/>
          <w:szCs w:val="24"/>
        </w:rPr>
      </w:pPr>
      <w:r>
        <w:rPr>
          <w:rFonts w:ascii="Times New Roman" w:hAnsi="Times New Roman" w:cs="Times New Roman"/>
          <w:noProof/>
          <w:sz w:val="24"/>
          <w:szCs w:val="24"/>
        </w:rPr>
        <w:t xml:space="preserve">The evidence presented in the interim evaluation demonstrated that overall the implementation of the GNSS Regulation and of the GSA Regulation has shown good results in the light of the general evaluation criteria and specific requirements for the European GNSS programmes. </w:t>
      </w:r>
      <w:r>
        <w:rPr>
          <w:rFonts w:ascii="Times New Roman" w:eastAsia="Times New Roman" w:hAnsi="Times New Roman" w:cs="Times New Roman"/>
          <w:noProof/>
          <w:sz w:val="24"/>
          <w:szCs w:val="24"/>
        </w:rPr>
        <w:t>The Galileo and EGNOS programmes have achieved all the milestones that were set for the period concerned and progress is being made towards delivering on all the programme implementation objectives set for 2020.</w:t>
      </w:r>
    </w:p>
    <w:p>
      <w:pPr>
        <w:jc w:val="both"/>
        <w:rPr>
          <w:rFonts w:ascii="Times New Roman" w:hAnsi="Times New Roman" w:cs="Times New Roman"/>
          <w:noProof/>
          <w:sz w:val="24"/>
          <w:szCs w:val="24"/>
        </w:rPr>
      </w:pPr>
      <w:r>
        <w:rPr>
          <w:rFonts w:ascii="Times New Roman" w:hAnsi="Times New Roman" w:cs="Times New Roman"/>
          <w:noProof/>
          <w:sz w:val="24"/>
          <w:szCs w:val="24"/>
        </w:rPr>
        <w:t>Looking to the future, the Commission aims to provide a long-term vision for the programmes, allowing businesses and users to reap the benefits of the European satellite navigation systems. In this context, the Commission will strive for greater synergies between space and defence programmes, in line with the recently adopted Space Strategy for Europe and Defence Action Plan.</w:t>
      </w:r>
    </w:p>
    <w:p>
      <w:pPr>
        <w:jc w:val="both"/>
        <w:rPr>
          <w:rFonts w:ascii="Times New Roman" w:hAnsi="Times New Roman" w:cs="Times New Roman"/>
          <w:noProof/>
          <w:sz w:val="24"/>
          <w:szCs w:val="24"/>
        </w:rPr>
      </w:pPr>
      <w:r>
        <w:rPr>
          <w:rFonts w:ascii="Times New Roman" w:hAnsi="Times New Roman" w:cs="Times New Roman"/>
          <w:noProof/>
          <w:sz w:val="24"/>
          <w:szCs w:val="24"/>
        </w:rPr>
        <w:t>The growing demand for precise location information, in combination with the ongoing evolution of satellite navigation technology, means that the European market for users of Galileo and EGNOS will expand. Also, the traditional GNSS market will be complemented with the field of Internet of Things, smart cities and Big Data.</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Therefore, the next years will be crucial for consolidating the achievements and preparing the evolution of the programmes. </w:t>
      </w: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712608"/>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120"/>
      </w:pPr>
      <w:r>
        <w:rPr>
          <w:rStyle w:val="FootnoteReference"/>
        </w:rPr>
        <w:footnoteRef/>
      </w:r>
      <w:r>
        <w:tab/>
        <w:t>COM(2016) 705 final of 26.10.2016.</w:t>
      </w:r>
    </w:p>
  </w:footnote>
  <w:footnote w:id="3">
    <w:p>
      <w:pPr>
        <w:pStyle w:val="FootnoteText"/>
      </w:pPr>
      <w:r>
        <w:rPr>
          <w:rStyle w:val="FootnoteReference"/>
        </w:rPr>
        <w:footnoteRef/>
      </w:r>
      <w:r>
        <w:tab/>
        <w:t>GNSS stands for Global Navigation Satellite System.</w:t>
      </w:r>
    </w:p>
  </w:footnote>
  <w:footnote w:id="4">
    <w:p>
      <w:pPr>
        <w:pStyle w:val="FootnoteText"/>
        <w:spacing w:after="120"/>
      </w:pPr>
      <w:r>
        <w:rPr>
          <w:rStyle w:val="FootnoteReference"/>
        </w:rPr>
        <w:footnoteRef/>
      </w:r>
      <w:r>
        <w:tab/>
        <w:t>Regulation (EU) No 1285/2013 of the European Parliament and of the Council of 11 December 2013 on the implementation and exploitation of European satellite navigation systems and repealing Council Regulation (EC) No 876/2002 and Regulation (EC) No 683/2008 of the European Parliament and of the Council (OJ L 347 of 20.12.2013, p. 1).</w:t>
      </w:r>
    </w:p>
  </w:footnote>
  <w:footnote w:id="5">
    <w:p>
      <w:pPr>
        <w:spacing w:after="120"/>
        <w:ind w:left="357" w:hanging="357"/>
        <w:jc w:val="both"/>
        <w:rPr>
          <w:rFonts w:ascii="Times New Roman" w:eastAsia="Times New Roman" w:hAnsi="Times New Roman" w:cs="Times New Roman"/>
          <w:sz w:val="20"/>
          <w:szCs w:val="20"/>
        </w:rPr>
      </w:pPr>
      <w:r>
        <w:rPr>
          <w:rStyle w:val="FootnoteReference"/>
          <w:rFonts w:ascii="Verdana" w:hAnsi="Verdana"/>
          <w:sz w:val="16"/>
          <w:szCs w:val="16"/>
        </w:rPr>
        <w:footnoteRef/>
      </w:r>
      <w:r>
        <w:rPr>
          <w:rFonts w:ascii="Verdana" w:hAnsi="Verdana"/>
          <w:sz w:val="16"/>
          <w:szCs w:val="16"/>
        </w:rPr>
        <w:tab/>
      </w:r>
      <w:r>
        <w:rPr>
          <w:rFonts w:ascii="Times New Roman" w:eastAsia="Times New Roman" w:hAnsi="Times New Roman" w:cs="Times New Roman"/>
          <w:sz w:val="20"/>
          <w:szCs w:val="20"/>
        </w:rPr>
        <w:t>Regulation (EU) No 1285/2013 of the European Parliament and of the Council of 11 December 2013 on the implementation and exploitation of European satellite navigation systems and repealing Council Regulation (EC) No 876/2002 and Regulation (EC) No 683/2008 of the European Parliament and of the Council (OJ L 347, 20.12.2013, p. 1).</w:t>
      </w:r>
    </w:p>
  </w:footnote>
  <w:footnote w:id="6">
    <w:p>
      <w:pPr>
        <w:spacing w:after="120"/>
        <w:ind w:left="357" w:hanging="357"/>
        <w:jc w:val="both"/>
        <w:rPr>
          <w:rFonts w:ascii="Times New Roman" w:hAnsi="Times New Roman" w:cs="Times New Roman"/>
          <w:bCs/>
          <w:sz w:val="20"/>
          <w:szCs w:val="20"/>
        </w:rPr>
      </w:pPr>
      <w:r>
        <w:rPr>
          <w:rStyle w:val="FootnoteReference"/>
          <w:rFonts w:ascii="Times New Roman" w:hAnsi="Times New Roman"/>
          <w:sz w:val="20"/>
          <w:szCs w:val="20"/>
        </w:rPr>
        <w:footnoteRef/>
      </w:r>
      <w:r>
        <w:rPr>
          <w:rFonts w:ascii="Times New Roman" w:hAnsi="Times New Roman" w:cs="Times New Roman"/>
          <w:sz w:val="20"/>
          <w:szCs w:val="20"/>
        </w:rPr>
        <w:tab/>
      </w:r>
      <w:r>
        <w:rPr>
          <w:rFonts w:ascii="Times New Roman" w:hAnsi="Times New Roman" w:cs="Times New Roman"/>
          <w:bCs/>
          <w:sz w:val="20"/>
          <w:szCs w:val="20"/>
        </w:rPr>
        <w:t>Regulation (EU) No 912/2010 of the European Parliament and of the Council of 22 September 2010 setting up the European GNSS Agency, repealing Council Regulation (EC) No 1321/2004 on the establishment of structures for the management of the European satellite radio navigation programmes and amending Regulation (EC) No 683/2008 of the European Parliament and of the Council</w:t>
      </w:r>
      <w:r>
        <w:rPr>
          <w:rFonts w:ascii="Times New Roman" w:hAnsi="Times New Roman" w:cs="Times New Roman"/>
          <w:sz w:val="20"/>
          <w:szCs w:val="20"/>
        </w:rPr>
        <w:t xml:space="preserve"> (</w:t>
      </w:r>
      <w:r>
        <w:rPr>
          <w:rFonts w:ascii="Times New Roman" w:hAnsi="Times New Roman" w:cs="Times New Roman"/>
          <w:bCs/>
          <w:sz w:val="20"/>
          <w:szCs w:val="20"/>
        </w:rPr>
        <w:t>OJ L 276, 20.10.2010, p. 11).</w:t>
      </w:r>
    </w:p>
  </w:footnote>
  <w:footnote w:id="7">
    <w:p>
      <w:pPr>
        <w:spacing w:after="120"/>
        <w:ind w:left="357" w:hanging="357"/>
        <w:rPr>
          <w:rFonts w:ascii="Times New Roman" w:hAnsi="Times New Roman" w:cs="Times New Roman"/>
          <w:sz w:val="20"/>
          <w:szCs w:val="20"/>
        </w:rPr>
      </w:pPr>
      <w:r>
        <w:rPr>
          <w:rStyle w:val="FootnoteReference"/>
          <w:rFonts w:ascii="Times New Roman" w:hAnsi="Times New Roman"/>
          <w:sz w:val="20"/>
          <w:szCs w:val="20"/>
        </w:rPr>
        <w:footnoteRef/>
      </w:r>
      <w:r>
        <w:rPr>
          <w:rFonts w:ascii="Times New Roman" w:hAnsi="Times New Roman" w:cs="Times New Roman"/>
          <w:sz w:val="20"/>
          <w:szCs w:val="20"/>
        </w:rPr>
        <w:tab/>
        <w:t>Better Regulation. Guidelines on Evaluation and Fitness Checks.</w:t>
      </w:r>
      <w:r>
        <w:rPr>
          <w:rFonts w:ascii="Times New Roman" w:hAnsi="Times New Roman" w:cs="Times New Roman"/>
          <w:sz w:val="20"/>
          <w:szCs w:val="20"/>
        </w:rPr>
        <w:br/>
      </w:r>
      <w:hyperlink r:id="rId1" w:history="1">
        <w:r>
          <w:rPr>
            <w:rStyle w:val="Hyperlink"/>
            <w:rFonts w:ascii="Times New Roman" w:hAnsi="Times New Roman" w:cs="Times New Roman"/>
            <w:sz w:val="20"/>
            <w:szCs w:val="20"/>
          </w:rPr>
          <w:t>http://ec.europa.eu/smart-regulation/guidelines/ug_chap6_en.htm</w:t>
        </w:r>
      </w:hyperlink>
      <w:r>
        <w:rPr>
          <w:rFonts w:ascii="Times New Roman" w:hAnsi="Times New Roman" w:cs="Times New Roman"/>
          <w:sz w:val="20"/>
          <w:szCs w:val="20"/>
        </w:rPr>
        <w:t xml:space="preserve"> (access: 2017-04-12).</w:t>
      </w:r>
    </w:p>
  </w:footnote>
  <w:footnote w:id="8">
    <w:p>
      <w:pPr>
        <w:pStyle w:val="FootnoteText"/>
        <w:jc w:val="left"/>
      </w:pPr>
      <w:r>
        <w:rPr>
          <w:rStyle w:val="FootnoteReference"/>
        </w:rPr>
        <w:footnoteRef/>
      </w:r>
      <w:r>
        <w:tab/>
        <w:t>Analysis of GNSS impact on the EU Economy, November 2016. Study conducted by VVA, GMV, Kontor Qwentes and LS.</w:t>
      </w:r>
    </w:p>
  </w:footnote>
  <w:footnote w:id="9">
    <w:p>
      <w:pPr>
        <w:pStyle w:val="FootnoteText"/>
        <w:spacing w:after="120"/>
      </w:pPr>
      <w:r>
        <w:rPr>
          <w:rStyle w:val="FootnoteReference"/>
        </w:rPr>
        <w:footnoteRef/>
      </w:r>
      <w:r>
        <w:tab/>
        <w:t>European GNSS Agency: GNSS Market Report, Issue 5 (May 2017), p.13.</w:t>
      </w:r>
    </w:p>
  </w:footnote>
  <w:footnote w:id="10">
    <w:p>
      <w:pPr>
        <w:pStyle w:val="FootnoteText"/>
      </w:pPr>
      <w:r>
        <w:rPr>
          <w:rStyle w:val="FootnoteReference"/>
        </w:rPr>
        <w:footnoteRef/>
      </w:r>
      <w:r>
        <w:tab/>
        <w:t>European GNSS Agency: GNSS Market Report, Issue 5 (May 2017), p.13.</w:t>
      </w:r>
    </w:p>
  </w:footnote>
  <w:footnote w:id="11">
    <w:p>
      <w:pPr>
        <w:pStyle w:val="FootnoteText"/>
        <w:jc w:val="left"/>
      </w:pPr>
      <w:r>
        <w:rPr>
          <w:rStyle w:val="FootnoteReference"/>
        </w:rPr>
        <w:footnoteRef/>
      </w:r>
      <w:r>
        <w:tab/>
        <w:t>European GNSS Agency: Summary of Achievements in 2016, p. 6.</w:t>
      </w:r>
      <w:r>
        <w:br/>
      </w:r>
      <w:hyperlink r:id="rId2" w:history="1">
        <w:r>
          <w:rPr>
            <w:rStyle w:val="Hyperlink"/>
          </w:rPr>
          <w:t>https://www.gsa.europa.eu/sites/default/files/2016_gsa_summary_report.pdf</w:t>
        </w:r>
      </w:hyperlink>
    </w:p>
  </w:footnote>
  <w:footnote w:id="12">
    <w:p>
      <w:pPr>
        <w:pStyle w:val="FootnoteText"/>
      </w:pPr>
      <w:r>
        <w:rPr>
          <w:rStyle w:val="FootnoteReference"/>
        </w:rPr>
        <w:footnoteRef/>
      </w:r>
      <w:r>
        <w:tab/>
        <w:t>European GNSS Agency: GNSS Market Report, Issue 5 (May 2017), p.15.</w:t>
      </w:r>
    </w:p>
  </w:footnote>
  <w:footnote w:id="13">
    <w:p>
      <w:pPr>
        <w:pStyle w:val="FootnoteText"/>
      </w:pPr>
      <w:r>
        <w:rPr>
          <w:rStyle w:val="FootnoteReference"/>
        </w:rPr>
        <w:footnoteRef/>
      </w:r>
      <w:r>
        <w:tab/>
        <w:t>European GNSS Agency: GNSS Market Report, Issue 5 (May 2017), p.13.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643A2"/>
    <w:multiLevelType w:val="hybridMultilevel"/>
    <w:tmpl w:val="BD7CD498"/>
    <w:lvl w:ilvl="0" w:tplc="34ECA4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255A69"/>
    <w:multiLevelType w:val="hybridMultilevel"/>
    <w:tmpl w:val="84B0BF5A"/>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
    <w:nsid w:val="13D03500"/>
    <w:multiLevelType w:val="hybridMultilevel"/>
    <w:tmpl w:val="FA30C13E"/>
    <w:lvl w:ilvl="0" w:tplc="0BD2B222">
      <w:numFmt w:val="bullet"/>
      <w:lvlText w:val="•"/>
      <w:lvlJc w:val="left"/>
      <w:pPr>
        <w:ind w:left="720" w:hanging="360"/>
      </w:pPr>
      <w:rPr>
        <w:rFonts w:ascii="Arial" w:hAnsi="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3F11D6C"/>
    <w:multiLevelType w:val="hybridMultilevel"/>
    <w:tmpl w:val="D85CE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7">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9">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72E0B7C"/>
    <w:multiLevelType w:val="hybridMultilevel"/>
    <w:tmpl w:val="A6E87FD4"/>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1">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2">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3">
    <w:nsid w:val="3F7832EE"/>
    <w:multiLevelType w:val="hybridMultilevel"/>
    <w:tmpl w:val="43DE116E"/>
    <w:lvl w:ilvl="0" w:tplc="D20216C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4650D81"/>
    <w:multiLevelType w:val="hybridMultilevel"/>
    <w:tmpl w:val="84B0BF5A"/>
    <w:lvl w:ilvl="0" w:tplc="0809001B">
      <w:start w:val="1"/>
      <w:numFmt w:val="lowerRoman"/>
      <w:lvlText w:val="%1."/>
      <w:lvlJc w:val="righ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5">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6">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7">
    <w:nsid w:val="57EF3C6F"/>
    <w:multiLevelType w:val="hybridMultilevel"/>
    <w:tmpl w:val="9FC84CDC"/>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8">
    <w:nsid w:val="58B269B6"/>
    <w:multiLevelType w:val="hybridMultilevel"/>
    <w:tmpl w:val="69823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B395AAA"/>
    <w:multiLevelType w:val="singleLevel"/>
    <w:tmpl w:val="96D02E8A"/>
    <w:name w:val="Bullet 1"/>
    <w:lvl w:ilvl="0">
      <w:start w:val="1"/>
      <w:numFmt w:val="bullet"/>
      <w:lvlRestart w:val="0"/>
      <w:lvlText w:val=""/>
      <w:lvlJc w:val="left"/>
      <w:pPr>
        <w:tabs>
          <w:tab w:val="num" w:pos="1417"/>
        </w:tabs>
        <w:ind w:left="1417" w:hanging="567"/>
      </w:pPr>
      <w:rPr>
        <w:rFonts w:ascii="Symbol" w:hAnsi="Symbol" w:hint="default"/>
      </w:rPr>
    </w:lvl>
  </w:abstractNum>
  <w:abstractNum w:abstractNumId="20">
    <w:nsid w:val="5C1C5C89"/>
    <w:multiLevelType w:val="hybridMultilevel"/>
    <w:tmpl w:val="9FC84CDC"/>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2">
    <w:nsid w:val="5E716FE3"/>
    <w:multiLevelType w:val="hybridMultilevel"/>
    <w:tmpl w:val="008099B2"/>
    <w:lvl w:ilvl="0" w:tplc="4828B13E">
      <w:start w:val="1"/>
      <w:numFmt w:val="bullet"/>
      <w:lvlText w:val=""/>
      <w:lvlJc w:val="left"/>
      <w:pPr>
        <w:ind w:left="360" w:hanging="360"/>
      </w:pPr>
      <w:rPr>
        <w:rFonts w:ascii="Symbol" w:hAnsi="Symbol" w:hint="default"/>
        <w:lang w:val="en-US"/>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4">
    <w:nsid w:val="60C664E4"/>
    <w:multiLevelType w:val="hybridMultilevel"/>
    <w:tmpl w:val="A6E87FD4"/>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5">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6">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27">
    <w:nsid w:val="68BB1FEE"/>
    <w:multiLevelType w:val="hybridMultilevel"/>
    <w:tmpl w:val="03BA57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9">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6"/>
  </w:num>
  <w:num w:numId="2">
    <w:abstractNumId w:val="12"/>
  </w:num>
  <w:num w:numId="3">
    <w:abstractNumId w:val="6"/>
  </w:num>
  <w:num w:numId="4">
    <w:abstractNumId w:val="11"/>
  </w:num>
  <w:num w:numId="5">
    <w:abstractNumId w:val="25"/>
  </w:num>
  <w:num w:numId="6">
    <w:abstractNumId w:val="28"/>
  </w:num>
  <w:num w:numId="7">
    <w:abstractNumId w:val="8"/>
  </w:num>
  <w:num w:numId="8">
    <w:abstractNumId w:val="23"/>
  </w:num>
  <w:num w:numId="9">
    <w:abstractNumId w:val="21"/>
  </w:num>
  <w:num w:numId="10">
    <w:abstractNumId w:val="15"/>
  </w:num>
  <w:num w:numId="11">
    <w:abstractNumId w:val="16"/>
  </w:num>
  <w:num w:numId="12">
    <w:abstractNumId w:val="4"/>
  </w:num>
  <w:num w:numId="13">
    <w:abstractNumId w:val="9"/>
  </w:num>
  <w:num w:numId="14">
    <w:abstractNumId w:val="3"/>
  </w:num>
  <w:num w:numId="15">
    <w:abstractNumId w:val="7"/>
  </w:num>
  <w:num w:numId="16">
    <w:abstractNumId w:val="29"/>
  </w:num>
  <w:num w:numId="17">
    <w:abstractNumId w:val="18"/>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3"/>
  </w:num>
  <w:num w:numId="21">
    <w:abstractNumId w:val="22"/>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4"/>
  </w:num>
  <w:num w:numId="25">
    <w:abstractNumId w:val="10"/>
  </w:num>
  <w:num w:numId="26">
    <w:abstractNumId w:val="20"/>
  </w:num>
  <w:num w:numId="27">
    <w:abstractNumId w:val="17"/>
  </w:num>
  <w:num w:numId="28">
    <w:abstractNumId w:val="14"/>
  </w:num>
  <w:num w:numId="29">
    <w:abstractNumId w:val="1"/>
  </w:num>
  <w:num w:numId="30">
    <w:abstractNumId w:val="0"/>
  </w:num>
  <w:num w:numId="31">
    <w:abstractNumId w:val="19"/>
    <w:lvlOverride w:ilvl="0">
      <w:startOverride w:val="1"/>
    </w:lvlOverride>
  </w:num>
  <w:num w:numId="32">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revisionView w:markup="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1267632B4A854033900D5546AE315285"/>
    <w:docVar w:name="LW_CROSSREFERENCE" w:val="{SWD(2017) 346 final}"/>
    <w:docVar w:name="LW_DocType" w:val="NORMAL"/>
    <w:docVar w:name="LW_EMISSION" w:val="23.10.2017"/>
    <w:docVar w:name="LW_EMISSION_ISODATE" w:val="2017-10-23"/>
    <w:docVar w:name="LW_EMISSION_LOCATION" w:val="BRX"/>
    <w:docVar w:name="LW_EMISSION_PREFIX" w:val="Brussels, "/>
    <w:docVar w:name="LW_EMISSION_SUFFIX" w:val=" "/>
    <w:docVar w:name="LW_ID_DOCTYPE_NONLW" w:val="CP-006"/>
    <w:docVar w:name="LW_LANGUE" w:val="EN"/>
    <w:docVar w:name="LW_MARKING" w:val="&lt;UNUSED&g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7) 616"/>
    <w:docVar w:name="LW_REF.INTERNE" w:val="&lt;UNUSED&gt;"/>
    <w:docVar w:name="LW_SOUS.TITRE.OBJ.CP" w:val="&lt;UNUSED&gt;"/>
    <w:docVar w:name="LW_SUPERTITRE" w:val="&lt;UNUSED&gt;"/>
    <w:docVar w:name="LW_TITRE.OBJ.CP" w:val="on the implementation of the Galileo and EGNOS programmes and on the performance of the European GNSS Agency"/>
    <w:docVar w:name="LW_TYPE.DOC.CP" w:val="REPORT FROM THE COMMISSION TO THE EUROPEAN PARLIAMENT AND THE COUNC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qFormat="1"/>
    <w:lsdException w:name="List Bullet 2" w:uiPriority="0"/>
    <w:lsdException w:name="List Bullet 3" w:uiPriority="0"/>
    <w:lsdException w:name="List Bullet 4" w:uiPriority="0"/>
    <w:lsdException w:name="List Number 2" w:uiPriority="0" w:qFormat="1"/>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pPr>
      <w:keepNext/>
      <w:tabs>
        <w:tab w:val="num" w:pos="480"/>
      </w:tabs>
      <w:spacing w:before="240" w:after="240" w:line="240" w:lineRule="auto"/>
      <w:ind w:left="480" w:hanging="480"/>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pPr>
      <w:keepNext/>
      <w:tabs>
        <w:tab w:val="num" w:pos="1200"/>
      </w:tabs>
      <w:spacing w:after="240" w:line="240" w:lineRule="auto"/>
      <w:ind w:left="1200" w:hanging="720"/>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pPr>
      <w:keepNext/>
      <w:tabs>
        <w:tab w:val="num" w:pos="1997"/>
      </w:tabs>
      <w:spacing w:after="240" w:line="240" w:lineRule="auto"/>
      <w:ind w:left="1997" w:hanging="720"/>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pPr>
      <w:keepNext/>
      <w:tabs>
        <w:tab w:val="num" w:pos="1854"/>
      </w:tabs>
      <w:spacing w:after="240" w:line="240" w:lineRule="auto"/>
      <w:ind w:left="1854" w:hanging="720"/>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9"/>
    <w:rPr>
      <w:rFonts w:ascii="Times New Roman" w:eastAsia="Times New Roman" w:hAnsi="Times New Roman" w:cs="Times New Roman"/>
      <w:b/>
      <w:smallCaps/>
      <w:sz w:val="24"/>
      <w:szCs w:val="20"/>
    </w:rPr>
  </w:style>
  <w:style w:type="paragraph" w:styleId="FootnoteText">
    <w:name w:val="footnote text"/>
    <w:aliases w:val="Schriftart: 9 pt,Schriftart: 10 pt,Schriftart: 8 pt,WB-Fußnotentext,WB-Fußnotentext Char Char,WB-Fußnotentext Char,stile 1,Footnote,Footnote1,Footnote2,Footnote3,Footnote4,Footnote5,Footnote6,Footnote7,Footnote8,Footnote9,Footnote10,fn,st"/>
    <w:basedOn w:val="Normal"/>
    <w:link w:val="FootnoteTextChar"/>
    <w:uiPriority w:val="99"/>
    <w:qFormat/>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aliases w:val="Schriftart: 9 pt Char,Schriftart: 10 pt Char,Schriftart: 8 pt Char,WB-Fußnotentext Char1,WB-Fußnotentext Char Char Char,WB-Fußnotentext Char Char1,stile 1 Char,Footnote Char,Footnote1 Char,Footnote2 Char,Footnote3 Char,Footnote4 Char"/>
    <w:basedOn w:val="DefaultParagraphFont"/>
    <w:link w:val="FootnoteText"/>
    <w:uiPriority w:val="99"/>
    <w:rPr>
      <w:rFonts w:ascii="Times New Roman" w:eastAsia="Times New Roman" w:hAnsi="Times New Roman" w:cs="Times New Roman"/>
      <w:sz w:val="20"/>
      <w:szCs w:val="20"/>
    </w:rPr>
  </w:style>
  <w:style w:type="paragraph" w:customStyle="1" w:styleId="ListDash1">
    <w:name w:val="List Dash 1"/>
    <w:basedOn w:val="Normal"/>
    <w:pPr>
      <w:numPr>
        <w:numId w:val="8"/>
      </w:numPr>
      <w:spacing w:after="240" w:line="240" w:lineRule="auto"/>
      <w:jc w:val="both"/>
    </w:pPr>
    <w:rPr>
      <w:rFonts w:ascii="Times New Roman" w:eastAsia="Times New Roman" w:hAnsi="Times New Roman" w:cs="Times New Roman"/>
      <w:sz w:val="24"/>
      <w:szCs w:val="20"/>
    </w:rPr>
  </w:style>
  <w:style w:type="character" w:styleId="FootnoteReference">
    <w:name w:val="footnote reference"/>
    <w:aliases w:val="Footnote symbol,-E Fußnotenzeichen,Footnote Reference Superscript,BVI fnr,Times 10 Point,Exposant 3 Point,footnote ref,Footnote Reference Number,Voetnootverwijzing,Fußnotenzeichen2,Footnote reference number, BVI fnr, Exposant 3 Point"/>
    <w:basedOn w:val="DefaultParagraphFont"/>
    <w:link w:val="CharCharChar1"/>
    <w:uiPriority w:val="99"/>
    <w:qFormat/>
    <w:rPr>
      <w:rFonts w:cs="Times New Roman"/>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aliases w:val="GSA List,Dot pt,F5 List Paragraph,List Paragraph Char Char Char,Indicator Text,Numbered Para 1,Bullet 1,Bullet Points,List Paragraph2,MAIN CONTENT,Normal numbered,List Paragraph1,Issue Action POC,3,POCG Table Text,No Spacing1,Bullet list"/>
    <w:basedOn w:val="Normal"/>
    <w:link w:val="ListParagraphChar"/>
    <w:qFormat/>
    <w:pPr>
      <w:ind w:left="720"/>
      <w:contextualSpacing/>
    </w:pPr>
  </w:style>
  <w:style w:type="paragraph" w:customStyle="1" w:styleId="Contact">
    <w:name w:val="Contact"/>
    <w:basedOn w:val="Normal"/>
    <w:next w:val="Normal"/>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uiPriority w:val="99"/>
    <w:qFormat/>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rPr>
  </w:style>
  <w:style w:type="paragraph" w:styleId="TOC2">
    <w:name w:val="toc 2"/>
    <w:basedOn w:val="Normal"/>
    <w:next w:val="Normal"/>
    <w:semiHidden/>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3">
    <w:name w:val="toc 3"/>
    <w:basedOn w:val="Normal"/>
    <w:next w:val="Normal"/>
    <w:semiHidden/>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rPr>
  </w:style>
  <w:style w:type="paragraph" w:styleId="TOC4">
    <w:name w:val="toc 4"/>
    <w:basedOn w:val="Normal"/>
    <w:next w:val="Normal"/>
    <w:semiHidden/>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rPr>
  </w:style>
  <w:style w:type="paragraph" w:customStyle="1" w:styleId="TRLBodyText">
    <w:name w:val="TRL Body Text"/>
    <w:link w:val="TRLBodyTextChar"/>
    <w:qFormat/>
    <w:pPr>
      <w:spacing w:after="120" w:line="280" w:lineRule="atLeast"/>
      <w:jc w:val="both"/>
    </w:pPr>
    <w:rPr>
      <w:rFonts w:ascii="Verdana" w:eastAsia="Times New Roman" w:hAnsi="Verdana" w:cs="Times New Roman"/>
      <w:sz w:val="20"/>
      <w:szCs w:val="20"/>
      <w:lang w:eastAsia="zh-CN"/>
    </w:rPr>
  </w:style>
  <w:style w:type="character" w:customStyle="1" w:styleId="TRLBodyTextChar">
    <w:name w:val="TRL Body Text Char"/>
    <w:basedOn w:val="DefaultParagraphFont"/>
    <w:link w:val="TRLBodyText"/>
    <w:rPr>
      <w:rFonts w:ascii="Verdana" w:eastAsia="Times New Roman" w:hAnsi="Verdana" w:cs="Times New Roman"/>
      <w:sz w:val="20"/>
      <w:szCs w:val="20"/>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Tiret2">
    <w:name w:val="Tiret 2"/>
    <w:basedOn w:val="Normal"/>
    <w:uiPriority w:val="99"/>
    <w:pPr>
      <w:numPr>
        <w:numId w:val="1"/>
      </w:numPr>
      <w:spacing w:before="120" w:after="120" w:line="240" w:lineRule="auto"/>
      <w:jc w:val="both"/>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Sous-titreobjet">
    <w:name w:val="Sous-titre objet"/>
    <w:basedOn w:val="Normal"/>
    <w:pPr>
      <w:spacing w:after="0" w:line="240" w:lineRule="auto"/>
      <w:jc w:val="center"/>
    </w:pPr>
    <w:rPr>
      <w:rFonts w:ascii="Times New Roman" w:hAnsi="Times New Roman" w:cs="Times New Roman"/>
      <w:b/>
      <w:sz w:val="24"/>
    </w:rPr>
  </w:style>
  <w:style w:type="character" w:styleId="Strong">
    <w:name w:val="Strong"/>
    <w:basedOn w:val="DefaultParagraphFont"/>
    <w:uiPriority w:val="22"/>
    <w:qFormat/>
    <w:rPr>
      <w:b/>
      <w:bCs/>
    </w:rPr>
  </w:style>
  <w:style w:type="paragraph" w:customStyle="1" w:styleId="Alphabeticlist">
    <w:name w:val="Alphabetic list"/>
    <w:basedOn w:val="ListNumber4"/>
    <w:link w:val="AlphabeticlistChar"/>
    <w:qFormat/>
    <w:pPr>
      <w:numPr>
        <w:numId w:val="0"/>
      </w:numPr>
    </w:pPr>
    <w:rPr>
      <w:rFonts w:ascii="Verdana" w:hAnsi="Verdana"/>
      <w:sz w:val="18"/>
      <w:szCs w:val="18"/>
      <w:lang w:val="en-US"/>
    </w:rPr>
  </w:style>
  <w:style w:type="character" w:customStyle="1" w:styleId="AlphabeticlistChar">
    <w:name w:val="Alphabetic list Char"/>
    <w:basedOn w:val="DefaultParagraphFont"/>
    <w:link w:val="Alphabeticlist"/>
    <w:rPr>
      <w:rFonts w:ascii="Verdana" w:eastAsia="Times New Roman" w:hAnsi="Verdana" w:cs="Times New Roman"/>
      <w:sz w:val="18"/>
      <w:szCs w:val="18"/>
      <w:lang w:val="en-US"/>
    </w:rPr>
  </w:style>
  <w:style w:type="paragraph" w:customStyle="1" w:styleId="Body">
    <w:name w:val="Body"/>
    <w:basedOn w:val="Normal"/>
    <w:link w:val="BodyChar"/>
    <w:qFormat/>
    <w:pPr>
      <w:spacing w:after="240" w:line="240" w:lineRule="auto"/>
      <w:jc w:val="both"/>
    </w:pPr>
    <w:rPr>
      <w:rFonts w:ascii="Verdana" w:eastAsia="Times New Roman" w:hAnsi="Verdana" w:cs="Times New Roman"/>
      <w:sz w:val="18"/>
      <w:szCs w:val="20"/>
    </w:rPr>
  </w:style>
  <w:style w:type="character" w:customStyle="1" w:styleId="BodyChar">
    <w:name w:val="Body Char"/>
    <w:link w:val="Body"/>
    <w:rPr>
      <w:rFonts w:ascii="Verdana" w:eastAsia="Times New Roman" w:hAnsi="Verdana" w:cs="Times New Roman"/>
      <w:sz w:val="18"/>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paragraph" w:customStyle="1" w:styleId="CharCharChar1">
    <w:name w:val="Char Char Char1"/>
    <w:basedOn w:val="Normal"/>
    <w:link w:val="FootnoteReference"/>
    <w:uiPriority w:val="99"/>
    <w:pPr>
      <w:spacing w:after="160" w:line="240" w:lineRule="exact"/>
    </w:pPr>
    <w:rPr>
      <w:rFonts w:cs="Times New Roman"/>
      <w:vertAlign w:val="superscript"/>
    </w:rPr>
  </w:style>
  <w:style w:type="character" w:customStyle="1" w:styleId="ListParagraphChar">
    <w:name w:val="List Paragraph Char"/>
    <w:aliases w:val="GSA List Char,Dot pt Char,F5 List Paragraph Char,List Paragraph Char Char Char Char,Indicator Text Char,Numbered Para 1 Char,Bullet 1 Char,Bullet Points Char,List Paragraph2 Char,MAIN CONTENT Char,Normal numbered Char,3 Char"/>
    <w:basedOn w:val="DefaultParagraphFont"/>
    <w:link w:val="ListParagraph"/>
    <w:uiPriority w:val="34"/>
    <w:locked/>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qFormat="1"/>
    <w:lsdException w:name="List Bullet 2" w:uiPriority="0"/>
    <w:lsdException w:name="List Bullet 3" w:uiPriority="0"/>
    <w:lsdException w:name="List Bullet 4" w:uiPriority="0"/>
    <w:lsdException w:name="List Number 2" w:uiPriority="0" w:qFormat="1"/>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pPr>
      <w:keepNext/>
      <w:tabs>
        <w:tab w:val="num" w:pos="480"/>
      </w:tabs>
      <w:spacing w:before="240" w:after="240" w:line="240" w:lineRule="auto"/>
      <w:ind w:left="480" w:hanging="480"/>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pPr>
      <w:keepNext/>
      <w:tabs>
        <w:tab w:val="num" w:pos="1200"/>
      </w:tabs>
      <w:spacing w:after="240" w:line="240" w:lineRule="auto"/>
      <w:ind w:left="1200" w:hanging="720"/>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pPr>
      <w:keepNext/>
      <w:tabs>
        <w:tab w:val="num" w:pos="1997"/>
      </w:tabs>
      <w:spacing w:after="240" w:line="240" w:lineRule="auto"/>
      <w:ind w:left="1997" w:hanging="720"/>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pPr>
      <w:keepNext/>
      <w:tabs>
        <w:tab w:val="num" w:pos="1854"/>
      </w:tabs>
      <w:spacing w:after="240" w:line="240" w:lineRule="auto"/>
      <w:ind w:left="1854" w:hanging="720"/>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9"/>
    <w:rPr>
      <w:rFonts w:ascii="Times New Roman" w:eastAsia="Times New Roman" w:hAnsi="Times New Roman" w:cs="Times New Roman"/>
      <w:b/>
      <w:smallCaps/>
      <w:sz w:val="24"/>
      <w:szCs w:val="20"/>
    </w:rPr>
  </w:style>
  <w:style w:type="paragraph" w:styleId="FootnoteText">
    <w:name w:val="footnote text"/>
    <w:aliases w:val="Schriftart: 9 pt,Schriftart: 10 pt,Schriftart: 8 pt,WB-Fußnotentext,WB-Fußnotentext Char Char,WB-Fußnotentext Char,stile 1,Footnote,Footnote1,Footnote2,Footnote3,Footnote4,Footnote5,Footnote6,Footnote7,Footnote8,Footnote9,Footnote10,fn,st"/>
    <w:basedOn w:val="Normal"/>
    <w:link w:val="FootnoteTextChar"/>
    <w:uiPriority w:val="99"/>
    <w:qFormat/>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aliases w:val="Schriftart: 9 pt Char,Schriftart: 10 pt Char,Schriftart: 8 pt Char,WB-Fußnotentext Char1,WB-Fußnotentext Char Char Char,WB-Fußnotentext Char Char1,stile 1 Char,Footnote Char,Footnote1 Char,Footnote2 Char,Footnote3 Char,Footnote4 Char"/>
    <w:basedOn w:val="DefaultParagraphFont"/>
    <w:link w:val="FootnoteText"/>
    <w:uiPriority w:val="99"/>
    <w:rPr>
      <w:rFonts w:ascii="Times New Roman" w:eastAsia="Times New Roman" w:hAnsi="Times New Roman" w:cs="Times New Roman"/>
      <w:sz w:val="20"/>
      <w:szCs w:val="20"/>
    </w:rPr>
  </w:style>
  <w:style w:type="paragraph" w:customStyle="1" w:styleId="ListDash1">
    <w:name w:val="List Dash 1"/>
    <w:basedOn w:val="Normal"/>
    <w:pPr>
      <w:numPr>
        <w:numId w:val="8"/>
      </w:numPr>
      <w:spacing w:after="240" w:line="240" w:lineRule="auto"/>
      <w:jc w:val="both"/>
    </w:pPr>
    <w:rPr>
      <w:rFonts w:ascii="Times New Roman" w:eastAsia="Times New Roman" w:hAnsi="Times New Roman" w:cs="Times New Roman"/>
      <w:sz w:val="24"/>
      <w:szCs w:val="20"/>
    </w:rPr>
  </w:style>
  <w:style w:type="character" w:styleId="FootnoteReference">
    <w:name w:val="footnote reference"/>
    <w:aliases w:val="Footnote symbol,-E Fußnotenzeichen,Footnote Reference Superscript,BVI fnr,Times 10 Point,Exposant 3 Point,footnote ref,Footnote Reference Number,Voetnootverwijzing,Fußnotenzeichen2,Footnote reference number, BVI fnr, Exposant 3 Point"/>
    <w:basedOn w:val="DefaultParagraphFont"/>
    <w:link w:val="CharCharChar1"/>
    <w:uiPriority w:val="99"/>
    <w:qFormat/>
    <w:rPr>
      <w:rFonts w:cs="Times New Roman"/>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aliases w:val="GSA List,Dot pt,F5 List Paragraph,List Paragraph Char Char Char,Indicator Text,Numbered Para 1,Bullet 1,Bullet Points,List Paragraph2,MAIN CONTENT,Normal numbered,List Paragraph1,Issue Action POC,3,POCG Table Text,No Spacing1,Bullet list"/>
    <w:basedOn w:val="Normal"/>
    <w:link w:val="ListParagraphChar"/>
    <w:qFormat/>
    <w:pPr>
      <w:ind w:left="720"/>
      <w:contextualSpacing/>
    </w:pPr>
  </w:style>
  <w:style w:type="paragraph" w:customStyle="1" w:styleId="Contact">
    <w:name w:val="Contact"/>
    <w:basedOn w:val="Normal"/>
    <w:next w:val="Normal"/>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uiPriority w:val="99"/>
    <w:qFormat/>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rPr>
  </w:style>
  <w:style w:type="paragraph" w:styleId="TOC2">
    <w:name w:val="toc 2"/>
    <w:basedOn w:val="Normal"/>
    <w:next w:val="Normal"/>
    <w:semiHidden/>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3">
    <w:name w:val="toc 3"/>
    <w:basedOn w:val="Normal"/>
    <w:next w:val="Normal"/>
    <w:semiHidden/>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rPr>
  </w:style>
  <w:style w:type="paragraph" w:styleId="TOC4">
    <w:name w:val="toc 4"/>
    <w:basedOn w:val="Normal"/>
    <w:next w:val="Normal"/>
    <w:semiHidden/>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rPr>
  </w:style>
  <w:style w:type="paragraph" w:customStyle="1" w:styleId="TRLBodyText">
    <w:name w:val="TRL Body Text"/>
    <w:link w:val="TRLBodyTextChar"/>
    <w:qFormat/>
    <w:pPr>
      <w:spacing w:after="120" w:line="280" w:lineRule="atLeast"/>
      <w:jc w:val="both"/>
    </w:pPr>
    <w:rPr>
      <w:rFonts w:ascii="Verdana" w:eastAsia="Times New Roman" w:hAnsi="Verdana" w:cs="Times New Roman"/>
      <w:sz w:val="20"/>
      <w:szCs w:val="20"/>
      <w:lang w:eastAsia="zh-CN"/>
    </w:rPr>
  </w:style>
  <w:style w:type="character" w:customStyle="1" w:styleId="TRLBodyTextChar">
    <w:name w:val="TRL Body Text Char"/>
    <w:basedOn w:val="DefaultParagraphFont"/>
    <w:link w:val="TRLBodyText"/>
    <w:rPr>
      <w:rFonts w:ascii="Verdana" w:eastAsia="Times New Roman" w:hAnsi="Verdana" w:cs="Times New Roman"/>
      <w:sz w:val="20"/>
      <w:szCs w:val="20"/>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Tiret2">
    <w:name w:val="Tiret 2"/>
    <w:basedOn w:val="Normal"/>
    <w:uiPriority w:val="99"/>
    <w:pPr>
      <w:numPr>
        <w:numId w:val="1"/>
      </w:numPr>
      <w:spacing w:before="120" w:after="120" w:line="240" w:lineRule="auto"/>
      <w:jc w:val="both"/>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Sous-titreobjet">
    <w:name w:val="Sous-titre objet"/>
    <w:basedOn w:val="Normal"/>
    <w:pPr>
      <w:spacing w:after="0" w:line="240" w:lineRule="auto"/>
      <w:jc w:val="center"/>
    </w:pPr>
    <w:rPr>
      <w:rFonts w:ascii="Times New Roman" w:hAnsi="Times New Roman" w:cs="Times New Roman"/>
      <w:b/>
      <w:sz w:val="24"/>
    </w:rPr>
  </w:style>
  <w:style w:type="character" w:styleId="Strong">
    <w:name w:val="Strong"/>
    <w:basedOn w:val="DefaultParagraphFont"/>
    <w:uiPriority w:val="22"/>
    <w:qFormat/>
    <w:rPr>
      <w:b/>
      <w:bCs/>
    </w:rPr>
  </w:style>
  <w:style w:type="paragraph" w:customStyle="1" w:styleId="Alphabeticlist">
    <w:name w:val="Alphabetic list"/>
    <w:basedOn w:val="ListNumber4"/>
    <w:link w:val="AlphabeticlistChar"/>
    <w:qFormat/>
    <w:pPr>
      <w:numPr>
        <w:numId w:val="0"/>
      </w:numPr>
    </w:pPr>
    <w:rPr>
      <w:rFonts w:ascii="Verdana" w:hAnsi="Verdana"/>
      <w:sz w:val="18"/>
      <w:szCs w:val="18"/>
      <w:lang w:val="en-US"/>
    </w:rPr>
  </w:style>
  <w:style w:type="character" w:customStyle="1" w:styleId="AlphabeticlistChar">
    <w:name w:val="Alphabetic list Char"/>
    <w:basedOn w:val="DefaultParagraphFont"/>
    <w:link w:val="Alphabeticlist"/>
    <w:rPr>
      <w:rFonts w:ascii="Verdana" w:eastAsia="Times New Roman" w:hAnsi="Verdana" w:cs="Times New Roman"/>
      <w:sz w:val="18"/>
      <w:szCs w:val="18"/>
      <w:lang w:val="en-US"/>
    </w:rPr>
  </w:style>
  <w:style w:type="paragraph" w:customStyle="1" w:styleId="Body">
    <w:name w:val="Body"/>
    <w:basedOn w:val="Normal"/>
    <w:link w:val="BodyChar"/>
    <w:qFormat/>
    <w:pPr>
      <w:spacing w:after="240" w:line="240" w:lineRule="auto"/>
      <w:jc w:val="both"/>
    </w:pPr>
    <w:rPr>
      <w:rFonts w:ascii="Verdana" w:eastAsia="Times New Roman" w:hAnsi="Verdana" w:cs="Times New Roman"/>
      <w:sz w:val="18"/>
      <w:szCs w:val="20"/>
    </w:rPr>
  </w:style>
  <w:style w:type="character" w:customStyle="1" w:styleId="BodyChar">
    <w:name w:val="Body Char"/>
    <w:link w:val="Body"/>
    <w:rPr>
      <w:rFonts w:ascii="Verdana" w:eastAsia="Times New Roman" w:hAnsi="Verdana" w:cs="Times New Roman"/>
      <w:sz w:val="18"/>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paragraph" w:customStyle="1" w:styleId="CharCharChar1">
    <w:name w:val="Char Char Char1"/>
    <w:basedOn w:val="Normal"/>
    <w:link w:val="FootnoteReference"/>
    <w:uiPriority w:val="99"/>
    <w:pPr>
      <w:spacing w:after="160" w:line="240" w:lineRule="exact"/>
    </w:pPr>
    <w:rPr>
      <w:rFonts w:cs="Times New Roman"/>
      <w:vertAlign w:val="superscript"/>
    </w:rPr>
  </w:style>
  <w:style w:type="character" w:customStyle="1" w:styleId="ListParagraphChar">
    <w:name w:val="List Paragraph Char"/>
    <w:aliases w:val="GSA List Char,Dot pt Char,F5 List Paragraph Char,List Paragraph Char Char Char Char,Indicator Text Char,Numbered Para 1 Char,Bullet 1 Char,Bullet Points Char,List Paragraph2 Char,MAIN CONTENT Char,Normal numbered Char,3 Char"/>
    <w:basedOn w:val="DefaultParagraphFont"/>
    <w:link w:val="ListParagraph"/>
    <w:uiPriority w:val="34"/>
    <w:locked/>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01392">
      <w:bodyDiv w:val="1"/>
      <w:marLeft w:val="0"/>
      <w:marRight w:val="0"/>
      <w:marTop w:val="0"/>
      <w:marBottom w:val="0"/>
      <w:divBdr>
        <w:top w:val="none" w:sz="0" w:space="0" w:color="auto"/>
        <w:left w:val="none" w:sz="0" w:space="0" w:color="auto"/>
        <w:bottom w:val="none" w:sz="0" w:space="0" w:color="auto"/>
        <w:right w:val="none" w:sz="0" w:space="0" w:color="auto"/>
      </w:divBdr>
    </w:div>
    <w:div w:id="271210872">
      <w:bodyDiv w:val="1"/>
      <w:marLeft w:val="0"/>
      <w:marRight w:val="0"/>
      <w:marTop w:val="0"/>
      <w:marBottom w:val="0"/>
      <w:divBdr>
        <w:top w:val="none" w:sz="0" w:space="0" w:color="auto"/>
        <w:left w:val="none" w:sz="0" w:space="0" w:color="auto"/>
        <w:bottom w:val="none" w:sz="0" w:space="0" w:color="auto"/>
        <w:right w:val="none" w:sz="0" w:space="0" w:color="auto"/>
      </w:divBdr>
    </w:div>
    <w:div w:id="941687760">
      <w:bodyDiv w:val="1"/>
      <w:marLeft w:val="0"/>
      <w:marRight w:val="0"/>
      <w:marTop w:val="0"/>
      <w:marBottom w:val="0"/>
      <w:divBdr>
        <w:top w:val="none" w:sz="0" w:space="0" w:color="auto"/>
        <w:left w:val="none" w:sz="0" w:space="0" w:color="auto"/>
        <w:bottom w:val="none" w:sz="0" w:space="0" w:color="auto"/>
        <w:right w:val="none" w:sz="0" w:space="0" w:color="auto"/>
      </w:divBdr>
    </w:div>
    <w:div w:id="1404838491">
      <w:bodyDiv w:val="1"/>
      <w:marLeft w:val="0"/>
      <w:marRight w:val="0"/>
      <w:marTop w:val="0"/>
      <w:marBottom w:val="0"/>
      <w:divBdr>
        <w:top w:val="none" w:sz="0" w:space="0" w:color="auto"/>
        <w:left w:val="none" w:sz="0" w:space="0" w:color="auto"/>
        <w:bottom w:val="none" w:sz="0" w:space="0" w:color="auto"/>
        <w:right w:val="none" w:sz="0" w:space="0" w:color="auto"/>
      </w:divBdr>
    </w:div>
    <w:div w:id="1775633799">
      <w:bodyDiv w:val="1"/>
      <w:marLeft w:val="0"/>
      <w:marRight w:val="0"/>
      <w:marTop w:val="0"/>
      <w:marBottom w:val="0"/>
      <w:divBdr>
        <w:top w:val="none" w:sz="0" w:space="0" w:color="auto"/>
        <w:left w:val="none" w:sz="0" w:space="0" w:color="auto"/>
        <w:bottom w:val="none" w:sz="0" w:space="0" w:color="auto"/>
        <w:right w:val="none" w:sz="0" w:space="0" w:color="auto"/>
      </w:divBdr>
      <w:divsChild>
        <w:div w:id="1133712541">
          <w:marLeft w:val="0"/>
          <w:marRight w:val="0"/>
          <w:marTop w:val="0"/>
          <w:marBottom w:val="0"/>
          <w:divBdr>
            <w:top w:val="none" w:sz="0" w:space="0" w:color="auto"/>
            <w:left w:val="none" w:sz="0" w:space="0" w:color="auto"/>
            <w:bottom w:val="none" w:sz="0" w:space="0" w:color="auto"/>
            <w:right w:val="none" w:sz="0" w:space="0" w:color="auto"/>
          </w:divBdr>
          <w:divsChild>
            <w:div w:id="1152790246">
              <w:marLeft w:val="0"/>
              <w:marRight w:val="0"/>
              <w:marTop w:val="0"/>
              <w:marBottom w:val="0"/>
              <w:divBdr>
                <w:top w:val="none" w:sz="0" w:space="0" w:color="auto"/>
                <w:left w:val="none" w:sz="0" w:space="0" w:color="auto"/>
                <w:bottom w:val="none" w:sz="0" w:space="0" w:color="auto"/>
                <w:right w:val="none" w:sz="0" w:space="0" w:color="auto"/>
              </w:divBdr>
              <w:divsChild>
                <w:div w:id="1752123786">
                  <w:marLeft w:val="0"/>
                  <w:marRight w:val="0"/>
                  <w:marTop w:val="0"/>
                  <w:marBottom w:val="0"/>
                  <w:divBdr>
                    <w:top w:val="none" w:sz="0" w:space="0" w:color="auto"/>
                    <w:left w:val="none" w:sz="0" w:space="0" w:color="auto"/>
                    <w:bottom w:val="none" w:sz="0" w:space="0" w:color="auto"/>
                    <w:right w:val="none" w:sz="0" w:space="0" w:color="auto"/>
                  </w:divBdr>
                  <w:divsChild>
                    <w:div w:id="849029579">
                      <w:marLeft w:val="0"/>
                      <w:marRight w:val="0"/>
                      <w:marTop w:val="0"/>
                      <w:marBottom w:val="0"/>
                      <w:divBdr>
                        <w:top w:val="none" w:sz="0" w:space="0" w:color="auto"/>
                        <w:left w:val="none" w:sz="0" w:space="0" w:color="auto"/>
                        <w:bottom w:val="none" w:sz="0" w:space="0" w:color="auto"/>
                        <w:right w:val="none" w:sz="0" w:space="0" w:color="auto"/>
                      </w:divBdr>
                      <w:divsChild>
                        <w:div w:id="953632861">
                          <w:marLeft w:val="0"/>
                          <w:marRight w:val="0"/>
                          <w:marTop w:val="0"/>
                          <w:marBottom w:val="0"/>
                          <w:divBdr>
                            <w:top w:val="none" w:sz="0" w:space="0" w:color="auto"/>
                            <w:left w:val="none" w:sz="0" w:space="0" w:color="auto"/>
                            <w:bottom w:val="none" w:sz="0" w:space="0" w:color="auto"/>
                            <w:right w:val="none" w:sz="0" w:space="0" w:color="auto"/>
                          </w:divBdr>
                          <w:divsChild>
                            <w:div w:id="644548650">
                              <w:marLeft w:val="0"/>
                              <w:marRight w:val="0"/>
                              <w:marTop w:val="0"/>
                              <w:marBottom w:val="0"/>
                              <w:divBdr>
                                <w:top w:val="none" w:sz="0" w:space="0" w:color="auto"/>
                                <w:left w:val="none" w:sz="0" w:space="0" w:color="auto"/>
                                <w:bottom w:val="none" w:sz="0" w:space="0" w:color="auto"/>
                                <w:right w:val="none" w:sz="0" w:space="0" w:color="auto"/>
                              </w:divBdr>
                              <w:divsChild>
                                <w:div w:id="133773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458855">
      <w:bodyDiv w:val="1"/>
      <w:marLeft w:val="0"/>
      <w:marRight w:val="0"/>
      <w:marTop w:val="0"/>
      <w:marBottom w:val="0"/>
      <w:divBdr>
        <w:top w:val="none" w:sz="0" w:space="0" w:color="auto"/>
        <w:left w:val="none" w:sz="0" w:space="0" w:color="auto"/>
        <w:bottom w:val="none" w:sz="0" w:space="0" w:color="auto"/>
        <w:right w:val="none" w:sz="0" w:space="0" w:color="auto"/>
      </w:divBdr>
      <w:divsChild>
        <w:div w:id="984626773">
          <w:marLeft w:val="0"/>
          <w:marRight w:val="0"/>
          <w:marTop w:val="0"/>
          <w:marBottom w:val="0"/>
          <w:divBdr>
            <w:top w:val="none" w:sz="0" w:space="0" w:color="auto"/>
            <w:left w:val="none" w:sz="0" w:space="0" w:color="auto"/>
            <w:bottom w:val="none" w:sz="0" w:space="0" w:color="auto"/>
            <w:right w:val="none" w:sz="0" w:space="0" w:color="auto"/>
          </w:divBdr>
          <w:divsChild>
            <w:div w:id="95059378">
              <w:marLeft w:val="0"/>
              <w:marRight w:val="0"/>
              <w:marTop w:val="0"/>
              <w:marBottom w:val="0"/>
              <w:divBdr>
                <w:top w:val="none" w:sz="0" w:space="0" w:color="auto"/>
                <w:left w:val="none" w:sz="0" w:space="0" w:color="auto"/>
                <w:bottom w:val="none" w:sz="0" w:space="0" w:color="auto"/>
                <w:right w:val="none" w:sz="0" w:space="0" w:color="auto"/>
              </w:divBdr>
              <w:divsChild>
                <w:div w:id="20638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512421">
      <w:bodyDiv w:val="1"/>
      <w:marLeft w:val="0"/>
      <w:marRight w:val="0"/>
      <w:marTop w:val="0"/>
      <w:marBottom w:val="0"/>
      <w:divBdr>
        <w:top w:val="none" w:sz="0" w:space="0" w:color="auto"/>
        <w:left w:val="none" w:sz="0" w:space="0" w:color="auto"/>
        <w:bottom w:val="none" w:sz="0" w:space="0" w:color="auto"/>
        <w:right w:val="none" w:sz="0" w:space="0" w:color="auto"/>
      </w:divBdr>
    </w:div>
    <w:div w:id="2043019732">
      <w:bodyDiv w:val="1"/>
      <w:marLeft w:val="0"/>
      <w:marRight w:val="0"/>
      <w:marTop w:val="0"/>
      <w:marBottom w:val="0"/>
      <w:divBdr>
        <w:top w:val="none" w:sz="0" w:space="0" w:color="auto"/>
        <w:left w:val="none" w:sz="0" w:space="0" w:color="auto"/>
        <w:bottom w:val="none" w:sz="0" w:space="0" w:color="auto"/>
        <w:right w:val="none" w:sz="0" w:space="0" w:color="auto"/>
      </w:divBdr>
    </w:div>
    <w:div w:id="2118014591">
      <w:bodyDiv w:val="1"/>
      <w:marLeft w:val="0"/>
      <w:marRight w:val="0"/>
      <w:marTop w:val="0"/>
      <w:marBottom w:val="0"/>
      <w:divBdr>
        <w:top w:val="none" w:sz="0" w:space="0" w:color="auto"/>
        <w:left w:val="none" w:sz="0" w:space="0" w:color="auto"/>
        <w:bottom w:val="none" w:sz="0" w:space="0" w:color="auto"/>
        <w:right w:val="none" w:sz="0" w:space="0" w:color="auto"/>
      </w:divBdr>
      <w:divsChild>
        <w:div w:id="1372339448">
          <w:marLeft w:val="0"/>
          <w:marRight w:val="0"/>
          <w:marTop w:val="0"/>
          <w:marBottom w:val="0"/>
          <w:divBdr>
            <w:top w:val="none" w:sz="0" w:space="0" w:color="auto"/>
            <w:left w:val="none" w:sz="0" w:space="0" w:color="auto"/>
            <w:bottom w:val="none" w:sz="0" w:space="0" w:color="auto"/>
            <w:right w:val="none" w:sz="0" w:space="0" w:color="auto"/>
          </w:divBdr>
          <w:divsChild>
            <w:div w:id="181895029">
              <w:marLeft w:val="0"/>
              <w:marRight w:val="0"/>
              <w:marTop w:val="0"/>
              <w:marBottom w:val="0"/>
              <w:divBdr>
                <w:top w:val="none" w:sz="0" w:space="0" w:color="auto"/>
                <w:left w:val="none" w:sz="0" w:space="0" w:color="auto"/>
                <w:bottom w:val="none" w:sz="0" w:space="0" w:color="auto"/>
                <w:right w:val="none" w:sz="0" w:space="0" w:color="auto"/>
              </w:divBdr>
              <w:divsChild>
                <w:div w:id="1148980475">
                  <w:marLeft w:val="0"/>
                  <w:marRight w:val="0"/>
                  <w:marTop w:val="0"/>
                  <w:marBottom w:val="0"/>
                  <w:divBdr>
                    <w:top w:val="none" w:sz="0" w:space="0" w:color="auto"/>
                    <w:left w:val="none" w:sz="0" w:space="0" w:color="auto"/>
                    <w:bottom w:val="none" w:sz="0" w:space="0" w:color="auto"/>
                    <w:right w:val="none" w:sz="0" w:space="0" w:color="auto"/>
                  </w:divBdr>
                  <w:divsChild>
                    <w:div w:id="1505049766">
                      <w:marLeft w:val="0"/>
                      <w:marRight w:val="0"/>
                      <w:marTop w:val="0"/>
                      <w:marBottom w:val="0"/>
                      <w:divBdr>
                        <w:top w:val="none" w:sz="0" w:space="0" w:color="auto"/>
                        <w:left w:val="none" w:sz="0" w:space="0" w:color="auto"/>
                        <w:bottom w:val="none" w:sz="0" w:space="0" w:color="auto"/>
                        <w:right w:val="none" w:sz="0" w:space="0" w:color="auto"/>
                      </w:divBdr>
                      <w:divsChild>
                        <w:div w:id="115680631">
                          <w:marLeft w:val="0"/>
                          <w:marRight w:val="0"/>
                          <w:marTop w:val="0"/>
                          <w:marBottom w:val="0"/>
                          <w:divBdr>
                            <w:top w:val="none" w:sz="0" w:space="0" w:color="auto"/>
                            <w:left w:val="none" w:sz="0" w:space="0" w:color="auto"/>
                            <w:bottom w:val="none" w:sz="0" w:space="0" w:color="auto"/>
                            <w:right w:val="none" w:sz="0" w:space="0" w:color="auto"/>
                          </w:divBdr>
                          <w:divsChild>
                            <w:div w:id="1243182328">
                              <w:marLeft w:val="0"/>
                              <w:marRight w:val="0"/>
                              <w:marTop w:val="0"/>
                              <w:marBottom w:val="0"/>
                              <w:divBdr>
                                <w:top w:val="none" w:sz="0" w:space="0" w:color="auto"/>
                                <w:left w:val="none" w:sz="0" w:space="0" w:color="auto"/>
                                <w:bottom w:val="none" w:sz="0" w:space="0" w:color="auto"/>
                                <w:right w:val="none" w:sz="0" w:space="0" w:color="auto"/>
                              </w:divBdr>
                              <w:divsChild>
                                <w:div w:id="180797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17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www.gsa.europa.eu/sites/default/files/2016_gsa_summary_report.pdf" TargetMode="External"/><Relationship Id="rId1" Type="http://schemas.openxmlformats.org/officeDocument/2006/relationships/hyperlink" Target="http://ec.europa.eu/smart-regulation/guidelines/ug_chap6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ED20921BA0B24389FE1EA58B23AF25" ma:contentTypeVersion="0" ma:contentTypeDescription="Create a new document." ma:contentTypeScope="" ma:versionID="cdf20698837154779981d076bc68354d">
  <xsd:schema xmlns:xsd="http://www.w3.org/2001/XMLSchema" xmlns:xs="http://www.w3.org/2001/XMLSchema" xmlns:p="http://schemas.microsoft.com/office/2006/metadata/properties" targetNamespace="http://schemas.microsoft.com/office/2006/metadata/properties" ma:root="true" ma:fieldsID="72e2e2d51ab28eefc48ec4e55a57cf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685B1-6336-4984-B9F8-BA1C96F537A9}">
  <ds:schemaRefs>
    <ds:schemaRef ds:uri="http://schemas.microsoft.com/office/2006/documentManagement/types"/>
    <ds:schemaRef ds:uri="http://purl.org/dc/terms/"/>
    <ds:schemaRef ds:uri="http://schemas.microsoft.com/office/2006/metadata/properti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33F2DCB-DE1B-42D2-BC92-E544F4757971}">
  <ds:schemaRefs>
    <ds:schemaRef ds:uri="http://schemas.microsoft.com/sharepoint/v3/contenttype/forms"/>
  </ds:schemaRefs>
</ds:datastoreItem>
</file>

<file path=customXml/itemProps3.xml><?xml version="1.0" encoding="utf-8"?>
<ds:datastoreItem xmlns:ds="http://schemas.openxmlformats.org/officeDocument/2006/customXml" ds:itemID="{EECA72F0-F48E-4245-A871-6CA456A0D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A86C057-24E3-44A8-988B-B9571535B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3938</Words>
  <Characters>22176</Characters>
  <Application>Microsoft Office Word</Application>
  <DocSecurity>0</DocSecurity>
  <Lines>341</Lines>
  <Paragraphs>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2017-10-13T09:17:00Z</dcterms:created>
  <dcterms:modified xsi:type="dcterms:W3CDTF">2017-10-23T07:02:00Z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fmtid="{D5CDD505-2E9C-101B-9397-08002B2CF9AE}" pid="6" name="ContentTypeId">
    <vt:lpwstr>0x01010093ED20921BA0B24389FE1EA58B23AF25</vt:lpwstr>
  </property>
</Properties>
</file>