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6488B0CA83044F05AAB22A3BC255B189"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Vu:</w:t>
      </w:r>
    </w:p>
    <w:p>
      <w:pPr>
        <w:pStyle w:val="Tiret0"/>
        <w:tabs>
          <w:tab w:val="clear" w:pos="850"/>
          <w:tab w:val="num" w:pos="1004"/>
        </w:tabs>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tabs>
          <w:tab w:val="clear" w:pos="850"/>
          <w:tab w:val="num" w:pos="927"/>
        </w:tabs>
        <w:rPr>
          <w:rFonts w:cs="Arial"/>
          <w:noProof/>
          <w:szCs w:val="18"/>
        </w:rPr>
      </w:pPr>
      <w:r>
        <w:rPr>
          <w:noProof/>
        </w:rPr>
        <w:t>le règlement (UE, Euratom) nº 966/2012 du Parlement européen et du Conseil du 25 octobre 2012 relatif aux règles financières applicables au budget général de l'Union</w:t>
      </w:r>
      <w:r>
        <w:rPr>
          <w:rStyle w:val="FootnoteReference"/>
          <w:noProof/>
        </w:rPr>
        <w:footnoteReference w:id="2"/>
      </w:r>
      <w:r>
        <w:rPr>
          <w:noProof/>
        </w:rPr>
        <w:t>, et notamment son article 41,</w:t>
      </w:r>
    </w:p>
    <w:p>
      <w:pPr>
        <w:pStyle w:val="Tiret0"/>
        <w:tabs>
          <w:tab w:val="clear" w:pos="850"/>
          <w:tab w:val="num" w:pos="927"/>
        </w:tabs>
        <w:rPr>
          <w:noProof/>
        </w:rPr>
      </w:pPr>
      <w:r>
        <w:rPr>
          <w:noProof/>
        </w:rPr>
        <w:t>le budget général de l'Union européenne pour l'exercice 2017, adopté le 1</w:t>
      </w:r>
      <w:r>
        <w:rPr>
          <w:noProof/>
          <w:vertAlign w:val="superscript"/>
        </w:rPr>
        <w:t>er</w:t>
      </w:r>
      <w:r>
        <w:rPr>
          <w:noProof/>
        </w:rPr>
        <w:t> décembre 2016</w:t>
      </w:r>
      <w:r>
        <w:rPr>
          <w:rStyle w:val="FootnoteReference"/>
          <w:noProof/>
        </w:rPr>
        <w:footnoteReference w:id="3"/>
      </w:r>
      <w:r>
        <w:rPr>
          <w:noProof/>
        </w:rPr>
        <w:t>,</w:t>
      </w:r>
    </w:p>
    <w:p>
      <w:pPr>
        <w:pStyle w:val="Tiret0"/>
        <w:rPr>
          <w:noProof/>
        </w:rPr>
      </w:pPr>
      <w:r>
        <w:rPr>
          <w:noProof/>
        </w:rPr>
        <w:t>le budget rectificatif nº 1/2017</w:t>
      </w:r>
      <w:r>
        <w:rPr>
          <w:rStyle w:val="FootnoteReference"/>
          <w:noProof/>
        </w:rPr>
        <w:footnoteReference w:id="4"/>
      </w:r>
      <w:r>
        <w:rPr>
          <w:noProof/>
        </w:rPr>
        <w:t>, adopté le 5 avril 2017,</w:t>
      </w:r>
    </w:p>
    <w:p>
      <w:pPr>
        <w:pStyle w:val="Tiret0"/>
        <w:rPr>
          <w:noProof/>
        </w:rPr>
      </w:pPr>
      <w:r>
        <w:rPr>
          <w:noProof/>
        </w:rPr>
        <w:t>le budget rectificatif nº 2/2017</w:t>
      </w:r>
      <w:r>
        <w:rPr>
          <w:rStyle w:val="FootnoteReference"/>
          <w:noProof/>
        </w:rPr>
        <w:footnoteReference w:id="5"/>
      </w:r>
      <w:r>
        <w:rPr>
          <w:noProof/>
        </w:rPr>
        <w:t>, adopté le 4 juillet 2017,</w:t>
      </w:r>
    </w:p>
    <w:p>
      <w:pPr>
        <w:pStyle w:val="Tiret0"/>
        <w:rPr>
          <w:noProof/>
        </w:rPr>
      </w:pPr>
      <w:r>
        <w:rPr>
          <w:noProof/>
        </w:rPr>
        <w:t>le budget rectificatif nº 3/2017</w:t>
      </w:r>
      <w:r>
        <w:rPr>
          <w:rStyle w:val="FootnoteReference"/>
          <w:noProof/>
        </w:rPr>
        <w:footnoteReference w:id="6"/>
      </w:r>
      <w:r>
        <w:rPr>
          <w:noProof/>
        </w:rPr>
        <w:t>, adopté le 13 septembre 2017,</w:t>
      </w:r>
    </w:p>
    <w:p>
      <w:pPr>
        <w:pStyle w:val="Tiret0"/>
        <w:rPr>
          <w:noProof/>
        </w:rPr>
      </w:pPr>
      <w:r>
        <w:rPr>
          <w:noProof/>
        </w:rPr>
        <w:t>le budget rectificatif nº 4/2017</w:t>
      </w:r>
      <w:r>
        <w:rPr>
          <w:rStyle w:val="FootnoteReference"/>
          <w:noProof/>
        </w:rPr>
        <w:footnoteReference w:id="7"/>
      </w:r>
      <w:r>
        <w:rPr>
          <w:noProof/>
        </w:rPr>
        <w:t>, adopté le 13 septembre 2017,</w:t>
      </w:r>
    </w:p>
    <w:p>
      <w:pPr>
        <w:pStyle w:val="Tiret0"/>
        <w:rPr>
          <w:noProof/>
        </w:rPr>
      </w:pPr>
      <w:r>
        <w:rPr>
          <w:noProof/>
        </w:rPr>
        <w:t>le projet de budget rectificatif nº 5/2017</w:t>
      </w:r>
      <w:r>
        <w:rPr>
          <w:rStyle w:val="FootnoteReference"/>
          <w:noProof/>
        </w:rPr>
        <w:footnoteReference w:id="8"/>
      </w:r>
      <w:r>
        <w:rPr>
          <w:noProof/>
        </w:rPr>
        <w:t>, présenté le 28 juillet 2017,</w:t>
      </w:r>
    </w:p>
    <w:p>
      <w:pPr>
        <w:pStyle w:val="Tiret0"/>
        <w:numPr>
          <w:ilvl w:val="0"/>
          <w:numId w:val="0"/>
        </w:numPr>
        <w:spacing w:after="600"/>
        <w:rPr>
          <w:noProof/>
        </w:rPr>
      </w:pPr>
      <w:r>
        <w:rPr>
          <w:noProof/>
        </w:rPr>
        <w:t>la Commission européenne présente ci-après au Parlement européen et au Conseil le projet de budget rectificatif nº 6 au budget 2017.</w:t>
      </w:r>
    </w:p>
    <w:p>
      <w:pPr>
        <w:spacing w:after="240"/>
        <w:jc w:val="both"/>
        <w:rPr>
          <w:b/>
          <w:noProof/>
          <w:u w:val="single"/>
        </w:rPr>
      </w:pPr>
      <w:r>
        <w:rPr>
          <w:b/>
          <w:noProof/>
          <w:u w:val="single"/>
        </w:rPr>
        <w:t>MODIFICATIONS DE L’ÉTAT DES RECETTES ET DES DÉPENSES PAR SECTION</w:t>
      </w:r>
    </w:p>
    <w:p>
      <w:pPr>
        <w:jc w:val="both"/>
        <w:rPr>
          <w:noProof/>
        </w:rPr>
      </w:pPr>
      <w:r>
        <w:rPr>
          <w:noProof/>
        </w:rPr>
        <w:t>Les modifications apportées à l'état des recettes et des dépenses par section sont disponibles sur EUR-Lex (</w:t>
      </w:r>
      <w:hyperlink r:id="rId16">
        <w:r>
          <w:rPr>
            <w:rStyle w:val="Hyperlink"/>
            <w:noProof/>
            <w:color w:val="auto"/>
          </w:rPr>
          <w:t>http://eur-lex.europa.eu/budget/www/index-fr.htm</w:t>
        </w:r>
      </w:hyperlink>
      <w:r>
        <w:rPr>
          <w:noProof/>
        </w:rPr>
        <w:t>). Une version en anglais de ces modifications est jointe à titre indicatif comme annexe budgétaire.</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pgNumType w:start="2"/>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TABLE DES MATIÈRES</w:t>
      </w:r>
    </w:p>
    <w:sdt>
      <w:sdtPr>
        <w:rPr>
          <w:b w:val="0"/>
          <w:noProof/>
          <w:sz w:val="24"/>
        </w:rPr>
        <w:id w:val="2029912794"/>
        <w:docPartObj>
          <w:docPartGallery w:val="Table of Contents"/>
          <w:docPartUnique/>
        </w:docPartObj>
      </w:sdtPr>
      <w:sdtEndPr>
        <w:rPr>
          <w:bCs/>
        </w:rPr>
      </w:sdtEndPr>
      <w:sdtContent>
        <w:p>
          <w:pPr>
            <w:pStyle w:val="TOCHeading"/>
            <w:spacing w:before="0" w:after="0"/>
            <w:jc w:val="left"/>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lang w:bidi="ar-SA"/>
            </w:rPr>
          </w:pPr>
          <w:r>
            <w:rPr>
              <w:noProof/>
            </w:rPr>
            <w:fldChar w:fldCharType="begin"/>
          </w:r>
          <w:r>
            <w:rPr>
              <w:noProof/>
            </w:rPr>
            <w:instrText xml:space="preserve"> TOC \o "1-3" \h \z \u </w:instrText>
          </w:r>
          <w:r>
            <w:rPr>
              <w:noProof/>
            </w:rPr>
            <w:fldChar w:fldCharType="separate"/>
          </w:r>
          <w:hyperlink w:anchor="_Toc496196484" w:history="1">
            <w:r>
              <w:rPr>
                <w:rStyle w:val="Hyperlink"/>
                <w:noProof/>
              </w:rPr>
              <w:t>1.</w:t>
            </w:r>
            <w:r>
              <w:rPr>
                <w:rFonts w:asciiTheme="minorHAnsi" w:eastAsiaTheme="minorEastAsia" w:hAnsiTheme="minorHAnsi" w:cstheme="minorBidi"/>
                <w:b w:val="0"/>
                <w:bCs w:val="0"/>
                <w:caps w:val="0"/>
                <w:noProof/>
                <w:sz w:val="22"/>
                <w:szCs w:val="22"/>
                <w:lang w:bidi="ar-SA"/>
              </w:rPr>
              <w:tab/>
            </w:r>
            <w:r>
              <w:rPr>
                <w:rStyle w:val="Hyperlink"/>
                <w:noProof/>
              </w:rPr>
              <w:t>Introduction</w:t>
            </w:r>
            <w:r>
              <w:rPr>
                <w:noProof/>
                <w:webHidden/>
              </w:rPr>
              <w:tab/>
            </w:r>
            <w:r>
              <w:rPr>
                <w:noProof/>
                <w:webHidden/>
              </w:rPr>
              <w:fldChar w:fldCharType="begin"/>
            </w:r>
            <w:r>
              <w:rPr>
                <w:noProof/>
                <w:webHidden/>
              </w:rPr>
              <w:instrText xml:space="preserve"> PAGEREF _Toc496196484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bidi="ar-SA"/>
            </w:rPr>
          </w:pPr>
          <w:hyperlink w:anchor="_Toc496196485" w:history="1">
            <w:r>
              <w:rPr>
                <w:rStyle w:val="Hyperlink"/>
                <w:smallCaps/>
                <w:noProof/>
              </w:rPr>
              <w:t>2.</w:t>
            </w:r>
            <w:r>
              <w:rPr>
                <w:rFonts w:asciiTheme="minorHAnsi" w:eastAsiaTheme="minorEastAsia" w:hAnsiTheme="minorHAnsi" w:cstheme="minorBidi"/>
                <w:b w:val="0"/>
                <w:bCs w:val="0"/>
                <w:caps w:val="0"/>
                <w:noProof/>
                <w:sz w:val="22"/>
                <w:szCs w:val="22"/>
                <w:lang w:bidi="ar-SA"/>
              </w:rPr>
              <w:tab/>
            </w:r>
            <w:r>
              <w:rPr>
                <w:rStyle w:val="Hyperlink"/>
                <w:smallCaps/>
                <w:noProof/>
              </w:rPr>
              <w:t>Diminution des crédits de paiement et des crédits d’engagement</w:t>
            </w:r>
            <w:r>
              <w:rPr>
                <w:noProof/>
                <w:webHidden/>
              </w:rPr>
              <w:tab/>
            </w:r>
            <w:r>
              <w:rPr>
                <w:noProof/>
                <w:webHidden/>
              </w:rPr>
              <w:fldChar w:fldCharType="begin"/>
            </w:r>
            <w:r>
              <w:rPr>
                <w:noProof/>
                <w:webHidden/>
              </w:rPr>
              <w:instrText xml:space="preserve"> PAGEREF _Toc496196485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196486" w:history="1">
            <w:r>
              <w:rPr>
                <w:rStyle w:val="Hyperlink"/>
                <w:b/>
                <w:noProof/>
              </w:rPr>
              <w:t>2.1</w:t>
            </w:r>
            <w:r>
              <w:rPr>
                <w:rFonts w:asciiTheme="minorHAnsi" w:eastAsiaTheme="minorEastAsia" w:hAnsiTheme="minorHAnsi" w:cstheme="minorBidi"/>
                <w:smallCaps w:val="0"/>
                <w:noProof/>
                <w:sz w:val="22"/>
                <w:szCs w:val="22"/>
                <w:lang w:bidi="ar-SA"/>
              </w:rPr>
              <w:tab/>
            </w:r>
            <w:r>
              <w:rPr>
                <w:rStyle w:val="Hyperlink"/>
                <w:b/>
                <w:noProof/>
              </w:rPr>
              <w:t>Rubrique 1b – Cohésion économique, sociale et territoriale</w:t>
            </w:r>
            <w:r>
              <w:rPr>
                <w:noProof/>
                <w:webHidden/>
              </w:rPr>
              <w:tab/>
            </w:r>
            <w:r>
              <w:rPr>
                <w:noProof/>
                <w:webHidden/>
              </w:rPr>
              <w:fldChar w:fldCharType="begin"/>
            </w:r>
            <w:r>
              <w:rPr>
                <w:noProof/>
                <w:webHidden/>
              </w:rPr>
              <w:instrText xml:space="preserve"> PAGEREF _Toc496196486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196487" w:history="1">
            <w:r>
              <w:rPr>
                <w:rStyle w:val="Hyperlink"/>
                <w:b/>
                <w:noProof/>
              </w:rPr>
              <w:t>2.2</w:t>
            </w:r>
            <w:r>
              <w:rPr>
                <w:rFonts w:asciiTheme="minorHAnsi" w:eastAsiaTheme="minorEastAsia" w:hAnsiTheme="minorHAnsi" w:cstheme="minorBidi"/>
                <w:smallCaps w:val="0"/>
                <w:noProof/>
                <w:sz w:val="22"/>
                <w:szCs w:val="22"/>
                <w:lang w:bidi="ar-SA"/>
              </w:rPr>
              <w:tab/>
            </w:r>
            <w:r>
              <w:rPr>
                <w:rStyle w:val="Hyperlink"/>
                <w:b/>
                <w:noProof/>
              </w:rPr>
              <w:t>Rubrique 2 – Croissance durable: ressources naturelles</w:t>
            </w:r>
            <w:r>
              <w:rPr>
                <w:noProof/>
                <w:webHidden/>
              </w:rPr>
              <w:tab/>
            </w:r>
            <w:r>
              <w:rPr>
                <w:noProof/>
                <w:webHidden/>
              </w:rPr>
              <w:fldChar w:fldCharType="begin"/>
            </w:r>
            <w:r>
              <w:rPr>
                <w:noProof/>
                <w:webHidden/>
              </w:rPr>
              <w:instrText xml:space="preserve"> PAGEREF _Toc496196487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196488" w:history="1">
            <w:r>
              <w:rPr>
                <w:rStyle w:val="Hyperlink"/>
                <w:b/>
                <w:noProof/>
              </w:rPr>
              <w:t>2.3</w:t>
            </w:r>
            <w:r>
              <w:rPr>
                <w:rFonts w:asciiTheme="minorHAnsi" w:eastAsiaTheme="minorEastAsia" w:hAnsiTheme="minorHAnsi" w:cstheme="minorBidi"/>
                <w:smallCaps w:val="0"/>
                <w:noProof/>
                <w:sz w:val="22"/>
                <w:szCs w:val="22"/>
                <w:lang w:bidi="ar-SA"/>
              </w:rPr>
              <w:tab/>
            </w:r>
            <w:r>
              <w:rPr>
                <w:rStyle w:val="Hyperlink"/>
                <w:b/>
                <w:noProof/>
              </w:rPr>
              <w:t>Rubrique 3 – Sécurité et citoyenneté</w:t>
            </w:r>
            <w:r>
              <w:rPr>
                <w:noProof/>
                <w:webHidden/>
              </w:rPr>
              <w:tab/>
            </w:r>
            <w:r>
              <w:rPr>
                <w:noProof/>
                <w:webHidden/>
              </w:rPr>
              <w:fldChar w:fldCharType="begin"/>
            </w:r>
            <w:r>
              <w:rPr>
                <w:noProof/>
                <w:webHidden/>
              </w:rPr>
              <w:instrText xml:space="preserve"> PAGEREF _Toc496196488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196489" w:history="1">
            <w:r>
              <w:rPr>
                <w:rStyle w:val="Hyperlink"/>
                <w:b/>
                <w:noProof/>
              </w:rPr>
              <w:t>2.4</w:t>
            </w:r>
            <w:r>
              <w:rPr>
                <w:rFonts w:asciiTheme="minorHAnsi" w:eastAsiaTheme="minorEastAsia" w:hAnsiTheme="minorHAnsi" w:cstheme="minorBidi"/>
                <w:smallCaps w:val="0"/>
                <w:noProof/>
                <w:sz w:val="22"/>
                <w:szCs w:val="22"/>
                <w:lang w:bidi="ar-SA"/>
              </w:rPr>
              <w:tab/>
            </w:r>
            <w:r>
              <w:rPr>
                <w:rStyle w:val="Hyperlink"/>
                <w:b/>
                <w:noProof/>
              </w:rPr>
              <w:t>Rubrique 4 – L'Europe dans le monde</w:t>
            </w:r>
            <w:r>
              <w:rPr>
                <w:noProof/>
                <w:webHidden/>
              </w:rPr>
              <w:tab/>
            </w:r>
            <w:r>
              <w:rPr>
                <w:noProof/>
                <w:webHidden/>
              </w:rPr>
              <w:fldChar w:fldCharType="begin"/>
            </w:r>
            <w:r>
              <w:rPr>
                <w:noProof/>
                <w:webHidden/>
              </w:rPr>
              <w:instrText xml:space="preserve"> PAGEREF _Toc496196489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196490" w:history="1">
            <w:r>
              <w:rPr>
                <w:rStyle w:val="Hyperlink"/>
                <w:b/>
                <w:noProof/>
              </w:rPr>
              <w:t>2.5</w:t>
            </w:r>
            <w:r>
              <w:rPr>
                <w:rFonts w:asciiTheme="minorHAnsi" w:eastAsiaTheme="minorEastAsia" w:hAnsiTheme="minorHAnsi" w:cstheme="minorBidi"/>
                <w:smallCaps w:val="0"/>
                <w:noProof/>
                <w:sz w:val="22"/>
                <w:szCs w:val="22"/>
                <w:lang w:bidi="ar-SA"/>
              </w:rPr>
              <w:tab/>
            </w:r>
            <w:r>
              <w:rPr>
                <w:rStyle w:val="Hyperlink"/>
                <w:b/>
                <w:noProof/>
              </w:rPr>
              <w:t>Fonds de solidarité de l'Union européenne (FSUE)</w:t>
            </w:r>
            <w:r>
              <w:rPr>
                <w:noProof/>
                <w:webHidden/>
              </w:rPr>
              <w:tab/>
            </w:r>
            <w:r>
              <w:rPr>
                <w:noProof/>
                <w:webHidden/>
              </w:rPr>
              <w:fldChar w:fldCharType="begin"/>
            </w:r>
            <w:r>
              <w:rPr>
                <w:noProof/>
                <w:webHidden/>
              </w:rPr>
              <w:instrText xml:space="preserve"> PAGEREF _Toc496196490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bidi="ar-SA"/>
            </w:rPr>
          </w:pPr>
          <w:hyperlink w:anchor="_Toc496196491" w:history="1">
            <w:r>
              <w:rPr>
                <w:rStyle w:val="Hyperlink"/>
                <w:smallCaps/>
                <w:noProof/>
              </w:rPr>
              <w:t>3.</w:t>
            </w:r>
            <w:r>
              <w:rPr>
                <w:rFonts w:asciiTheme="minorHAnsi" w:eastAsiaTheme="minorEastAsia" w:hAnsiTheme="minorHAnsi" w:cstheme="minorBidi"/>
                <w:b w:val="0"/>
                <w:bCs w:val="0"/>
                <w:caps w:val="0"/>
                <w:noProof/>
                <w:sz w:val="22"/>
                <w:szCs w:val="22"/>
                <w:lang w:bidi="ar-SA"/>
              </w:rPr>
              <w:tab/>
            </w:r>
            <w:r>
              <w:rPr>
                <w:rStyle w:val="Hyperlink"/>
                <w:smallCaps/>
                <w:noProof/>
              </w:rPr>
              <w:t>Actualisation des recettes</w:t>
            </w:r>
            <w:r>
              <w:rPr>
                <w:noProof/>
                <w:webHidden/>
              </w:rPr>
              <w:tab/>
            </w:r>
            <w:r>
              <w:rPr>
                <w:noProof/>
                <w:webHidden/>
              </w:rPr>
              <w:fldChar w:fldCharType="begin"/>
            </w:r>
            <w:r>
              <w:rPr>
                <w:noProof/>
                <w:webHidden/>
              </w:rPr>
              <w:instrText xml:space="preserve"> PAGEREF _Toc496196491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196492" w:history="1">
            <w:r>
              <w:rPr>
                <w:rStyle w:val="Hyperlink"/>
                <w:b/>
                <w:noProof/>
              </w:rPr>
              <w:t>3.1</w:t>
            </w:r>
            <w:r>
              <w:rPr>
                <w:rFonts w:asciiTheme="minorHAnsi" w:eastAsiaTheme="minorEastAsia" w:hAnsiTheme="minorHAnsi" w:cstheme="minorBidi"/>
                <w:smallCaps w:val="0"/>
                <w:noProof/>
                <w:sz w:val="22"/>
                <w:szCs w:val="22"/>
                <w:lang w:bidi="ar-SA"/>
              </w:rPr>
              <w:tab/>
            </w:r>
            <w:r>
              <w:rPr>
                <w:rStyle w:val="Hyperlink"/>
                <w:b/>
                <w:noProof/>
              </w:rPr>
              <w:t>Incidence globale du PBR n° 6/2017 sur la répartition, entre États membres, de l’ensemble des versements de ressources propres</w:t>
            </w:r>
            <w:r>
              <w:rPr>
                <w:noProof/>
                <w:webHidden/>
              </w:rPr>
              <w:tab/>
            </w:r>
            <w:r>
              <w:rPr>
                <w:noProof/>
                <w:webHidden/>
              </w:rPr>
              <w:fldChar w:fldCharType="begin"/>
            </w:r>
            <w:r>
              <w:rPr>
                <w:noProof/>
                <w:webHidden/>
              </w:rPr>
              <w:instrText xml:space="preserve"> PAGEREF _Toc496196492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196493" w:history="1">
            <w:r>
              <w:rPr>
                <w:rStyle w:val="Hyperlink"/>
                <w:b/>
                <w:noProof/>
              </w:rPr>
              <w:t>3.2</w:t>
            </w:r>
            <w:r>
              <w:rPr>
                <w:rFonts w:asciiTheme="minorHAnsi" w:eastAsiaTheme="minorEastAsia" w:hAnsiTheme="minorHAnsi" w:cstheme="minorBidi"/>
                <w:smallCaps w:val="0"/>
                <w:noProof/>
                <w:sz w:val="22"/>
                <w:szCs w:val="22"/>
                <w:lang w:bidi="ar-SA"/>
              </w:rPr>
              <w:tab/>
            </w:r>
            <w:r>
              <w:rPr>
                <w:rStyle w:val="Hyperlink"/>
                <w:b/>
                <w:noProof/>
              </w:rPr>
              <w:t>Révision des prévisions relatives aux RPT et aux assiettes TVA et RNB</w:t>
            </w:r>
            <w:r>
              <w:rPr>
                <w:noProof/>
                <w:webHidden/>
              </w:rPr>
              <w:tab/>
            </w:r>
            <w:r>
              <w:rPr>
                <w:noProof/>
                <w:webHidden/>
              </w:rPr>
              <w:fldChar w:fldCharType="begin"/>
            </w:r>
            <w:r>
              <w:rPr>
                <w:noProof/>
                <w:webHidden/>
              </w:rPr>
              <w:instrText xml:space="preserve"> PAGEREF _Toc496196493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196494" w:history="1">
            <w:r>
              <w:rPr>
                <w:rStyle w:val="Hyperlink"/>
                <w:b/>
                <w:noProof/>
              </w:rPr>
              <w:t>3.3</w:t>
            </w:r>
            <w:r>
              <w:rPr>
                <w:rFonts w:asciiTheme="minorHAnsi" w:eastAsiaTheme="minorEastAsia" w:hAnsiTheme="minorHAnsi" w:cstheme="minorBidi"/>
                <w:smallCaps w:val="0"/>
                <w:noProof/>
                <w:sz w:val="22"/>
                <w:szCs w:val="22"/>
                <w:lang w:bidi="ar-SA"/>
              </w:rPr>
              <w:tab/>
            </w:r>
            <w:r>
              <w:rPr>
                <w:rStyle w:val="Hyperlink"/>
                <w:b/>
                <w:noProof/>
              </w:rPr>
              <w:t>Correction britannique 2016 et 2013</w:t>
            </w:r>
            <w:r>
              <w:rPr>
                <w:noProof/>
                <w:webHidden/>
              </w:rPr>
              <w:tab/>
            </w:r>
            <w:r>
              <w:rPr>
                <w:noProof/>
                <w:webHidden/>
              </w:rPr>
              <w:fldChar w:fldCharType="begin"/>
            </w:r>
            <w:r>
              <w:rPr>
                <w:noProof/>
                <w:webHidden/>
              </w:rPr>
              <w:instrText xml:space="preserve"> PAGEREF _Toc496196494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smallCaps w:val="0"/>
              <w:noProof/>
              <w:sz w:val="22"/>
              <w:szCs w:val="22"/>
              <w:lang w:bidi="ar-SA"/>
            </w:rPr>
          </w:pPr>
          <w:hyperlink w:anchor="_Toc496196495" w:history="1">
            <w:r>
              <w:rPr>
                <w:rStyle w:val="Hyperlink"/>
                <w:b/>
                <w:noProof/>
              </w:rPr>
              <w:t>3.4</w:t>
            </w:r>
            <w:r>
              <w:rPr>
                <w:rFonts w:asciiTheme="minorHAnsi" w:eastAsiaTheme="minorEastAsia" w:hAnsiTheme="minorHAnsi" w:cstheme="minorBidi"/>
                <w:smallCaps w:val="0"/>
                <w:noProof/>
                <w:sz w:val="22"/>
                <w:szCs w:val="22"/>
                <w:lang w:bidi="ar-SA"/>
              </w:rPr>
              <w:tab/>
            </w:r>
            <w:r>
              <w:rPr>
                <w:rStyle w:val="Hyperlink"/>
                <w:b/>
                <w:noProof/>
              </w:rPr>
              <w:t>Amendes</w:t>
            </w:r>
            <w:r>
              <w:rPr>
                <w:noProof/>
                <w:webHidden/>
              </w:rPr>
              <w:tab/>
            </w:r>
            <w:r>
              <w:rPr>
                <w:noProof/>
                <w:webHidden/>
              </w:rPr>
              <w:fldChar w:fldCharType="begin"/>
            </w:r>
            <w:r>
              <w:rPr>
                <w:noProof/>
                <w:webHidden/>
              </w:rPr>
              <w:instrText xml:space="preserve"> PAGEREF _Toc496196495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bidi="ar-SA"/>
            </w:rPr>
          </w:pPr>
          <w:hyperlink w:anchor="_Toc496196496" w:history="1">
            <w:r>
              <w:rPr>
                <w:rStyle w:val="Hyperlink"/>
                <w:noProof/>
              </w:rPr>
              <w:t>4.</w:t>
            </w:r>
            <w:r>
              <w:rPr>
                <w:rFonts w:asciiTheme="minorHAnsi" w:eastAsiaTheme="minorEastAsia" w:hAnsiTheme="minorHAnsi" w:cstheme="minorBidi"/>
                <w:b w:val="0"/>
                <w:bCs w:val="0"/>
                <w:caps w:val="0"/>
                <w:noProof/>
                <w:sz w:val="22"/>
                <w:szCs w:val="22"/>
                <w:lang w:bidi="ar-SA"/>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_Toc496196496 \h </w:instrText>
            </w:r>
            <w:r>
              <w:rPr>
                <w:noProof/>
                <w:webHidden/>
              </w:rPr>
            </w:r>
            <w:r>
              <w:rPr>
                <w:noProof/>
                <w:webHidden/>
              </w:rPr>
              <w:fldChar w:fldCharType="separate"/>
            </w:r>
            <w:r>
              <w:rPr>
                <w:noProof/>
                <w:webHidden/>
              </w:rPr>
              <w:t>18</w:t>
            </w:r>
            <w:r>
              <w:rPr>
                <w:noProof/>
                <w:webHidden/>
              </w:rPr>
              <w:fldChar w:fldCharType="end"/>
            </w:r>
          </w:hyperlink>
        </w:p>
        <w:p>
          <w:pPr>
            <w:rPr>
              <w:rFonts w:asciiTheme="minorHAnsi" w:eastAsiaTheme="minorEastAsia" w:hAnsiTheme="minorHAnsi" w:cstheme="minorBidi"/>
              <w:noProof/>
              <w:sz w:val="22"/>
              <w:szCs w:val="22"/>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pgNumType w:start="3"/>
              <w:cols w:space="720"/>
            </w:sectPr>
          </w:pPr>
          <w:r>
            <w:rPr>
              <w:b/>
              <w:bCs/>
              <w:noProof/>
            </w:rPr>
            <w:fldChar w:fldCharType="end"/>
          </w:r>
        </w:p>
      </w:sdtContent>
    </w:sdt>
    <w:p>
      <w:pPr>
        <w:pStyle w:val="ManualHeading1"/>
      </w:pPr>
      <w:bookmarkStart w:id="8" w:name="_Toc385506031"/>
      <w:bookmarkStart w:id="9" w:name="_Toc430865946"/>
      <w:bookmarkStart w:id="10" w:name="_Toc430867524"/>
      <w:bookmarkStart w:id="11" w:name="_Toc494994370"/>
      <w:bookmarkStart w:id="12" w:name="_Toc496196484"/>
      <w:bookmarkStart w:id="13" w:name="_Toc351469332"/>
      <w:bookmarkStart w:id="14" w:name="_Toc361649879"/>
      <w:r>
        <w:t>1.</w:t>
      </w:r>
      <w:r>
        <w:tab/>
        <w:t>Introduction</w:t>
      </w:r>
      <w:bookmarkEnd w:id="8"/>
      <w:bookmarkEnd w:id="9"/>
      <w:bookmarkEnd w:id="10"/>
      <w:bookmarkEnd w:id="11"/>
      <w:bookmarkEnd w:id="12"/>
    </w:p>
    <w:p>
      <w:pPr>
        <w:pStyle w:val="ListDash"/>
        <w:rPr>
          <w:noProof/>
        </w:rPr>
      </w:pPr>
      <w:bookmarkStart w:id="15" w:name="_Toc430865947"/>
      <w:bookmarkStart w:id="16" w:name="_Toc430867525"/>
      <w:r>
        <w:rPr>
          <w:noProof/>
        </w:rPr>
        <w:t>Le projet de budget rectificatif (PBR) nº 6 pour l’exercice 2017 a pour objet de mettre à jour tant le volet des dépenses que le volet des recettes du budget afin de tenir compte de l’évolution récente de la situation:</w:t>
      </w:r>
    </w:p>
    <w:p>
      <w:pPr>
        <w:pStyle w:val="Tiret0"/>
        <w:rPr>
          <w:noProof/>
        </w:rPr>
      </w:pPr>
      <w:r>
        <w:rPr>
          <w:noProof/>
        </w:rPr>
        <w:t xml:space="preserve">s’agissant du volet des dépenses, il convient, </w:t>
      </w:r>
    </w:p>
    <w:p>
      <w:pPr>
        <w:pStyle w:val="Tiret0"/>
        <w:tabs>
          <w:tab w:val="clear" w:pos="850"/>
          <w:tab w:val="num" w:pos="1570"/>
        </w:tabs>
        <w:ind w:left="1570"/>
        <w:rPr>
          <w:noProof/>
        </w:rPr>
      </w:pPr>
      <w:r>
        <w:rPr>
          <w:noProof/>
        </w:rPr>
        <w:t>après prise en compte des redéploiements proposés dans le virement dit «global» (DEC 20/2017), de réduire le niveau des crédits de paiement de lignes relevant principalement des rubriques 1b «</w:t>
      </w:r>
      <w:r>
        <w:rPr>
          <w:i/>
          <w:noProof/>
        </w:rPr>
        <w:t>Cohésion économique, sociale et territoriale</w:t>
      </w:r>
      <w:r>
        <w:rPr>
          <w:noProof/>
        </w:rPr>
        <w:t>», 2 «</w:t>
      </w:r>
      <w:r>
        <w:rPr>
          <w:i/>
          <w:noProof/>
        </w:rPr>
        <w:t>Croissance durable – ressources naturelles</w:t>
      </w:r>
      <w:r>
        <w:rPr>
          <w:noProof/>
        </w:rPr>
        <w:t>», 3 «</w:t>
      </w:r>
      <w:r>
        <w:rPr>
          <w:i/>
          <w:noProof/>
        </w:rPr>
        <w:t>Sécurité et citoyenneté</w:t>
      </w:r>
      <w:r>
        <w:rPr>
          <w:noProof/>
        </w:rPr>
        <w:t>» et 4 «</w:t>
      </w:r>
      <w:r>
        <w:rPr>
          <w:i/>
          <w:noProof/>
        </w:rPr>
        <w:t>L’Europe dans le monde</w:t>
      </w:r>
      <w:r>
        <w:rPr>
          <w:noProof/>
        </w:rPr>
        <w:t xml:space="preserve">»; </w:t>
      </w:r>
    </w:p>
    <w:p>
      <w:pPr>
        <w:pStyle w:val="Tiret0"/>
        <w:tabs>
          <w:tab w:val="clear" w:pos="850"/>
          <w:tab w:val="num" w:pos="1570"/>
        </w:tabs>
        <w:ind w:left="1570"/>
        <w:rPr>
          <w:noProof/>
        </w:rPr>
      </w:pPr>
      <w:r>
        <w:rPr>
          <w:noProof/>
        </w:rPr>
        <w:t>de libérer des crédits d’engagement de lignes relevant de la rubrique 2 «</w:t>
      </w:r>
      <w:r>
        <w:rPr>
          <w:i/>
          <w:noProof/>
        </w:rPr>
        <w:t>Croissance durable – ressources naturelles</w:t>
      </w:r>
      <w:r>
        <w:rPr>
          <w:noProof/>
        </w:rPr>
        <w:t>»;</w:t>
      </w:r>
    </w:p>
    <w:p>
      <w:pPr>
        <w:pStyle w:val="Tiret0"/>
        <w:tabs>
          <w:tab w:val="clear" w:pos="850"/>
          <w:tab w:val="num" w:pos="1570"/>
        </w:tabs>
        <w:ind w:left="1570"/>
        <w:rPr>
          <w:noProof/>
        </w:rPr>
      </w:pPr>
      <w:r>
        <w:rPr>
          <w:noProof/>
        </w:rPr>
        <w:t>de libérer des crédits d’engagement et de paiement se rapportant au versement d’avances pour le Fonds de solidarité de l’Union européenne (FSUE), qui ne seront plus nécessaires en 2017;</w:t>
      </w:r>
    </w:p>
    <w:p>
      <w:pPr>
        <w:pStyle w:val="Tiret0"/>
        <w:rPr>
          <w:noProof/>
        </w:rPr>
      </w:pPr>
      <w:r>
        <w:rPr>
          <w:noProof/>
        </w:rPr>
        <w:t>s’agissant du volet des recettes, il convient</w:t>
      </w:r>
    </w:p>
    <w:p>
      <w:pPr>
        <w:pStyle w:val="Tiret0"/>
        <w:tabs>
          <w:tab w:val="clear" w:pos="850"/>
          <w:tab w:val="num" w:pos="1570"/>
        </w:tabs>
        <w:ind w:left="1570"/>
        <w:rPr>
          <w:noProof/>
        </w:rPr>
      </w:pPr>
      <w:r>
        <w:rPr>
          <w:noProof/>
        </w:rPr>
        <w:t>de réviser les prévisions relatives aux ressources propres traditionnelles (droits de douane et cotisations dans le secteur du sucre) et aux assiettes de la taxe sur la valeur ajoutée (TVA) et du revenu national brut (RNB), et d’inscrire au budget les corrections britanniques correspondantes ainsi que leur financement, éléments qui ont tous une incidence sur la répartition des contributions au titre des ressources propres versées par les États membres au budget de l’UE;</w:t>
      </w:r>
    </w:p>
    <w:p>
      <w:pPr>
        <w:pStyle w:val="Tiret0"/>
        <w:tabs>
          <w:tab w:val="clear" w:pos="850"/>
          <w:tab w:val="num" w:pos="1570"/>
        </w:tabs>
        <w:ind w:left="1570"/>
        <w:rPr>
          <w:noProof/>
        </w:rPr>
      </w:pPr>
      <w:r>
        <w:rPr>
          <w:noProof/>
        </w:rPr>
        <w:t>d’inscrire au budget de l’UE les montants des amendes décidées par la Commission, pour lesquelles toutes les voies de recours ont été épuisées et qui sont donc devenues définitives dans le courant de l’année 2017, ce qui réduit d’autant les contributions au titre des ressources propres versées par les États membres au budget de l’UE.</w:t>
      </w:r>
    </w:p>
    <w:p>
      <w:pPr>
        <w:keepNext/>
        <w:tabs>
          <w:tab w:val="left" w:pos="850"/>
        </w:tabs>
        <w:spacing w:before="240" w:after="120"/>
        <w:ind w:left="851" w:hanging="851"/>
        <w:jc w:val="both"/>
        <w:outlineLvl w:val="0"/>
        <w:rPr>
          <w:b/>
          <w:smallCaps/>
          <w:noProof/>
        </w:rPr>
      </w:pPr>
      <w:bookmarkStart w:id="17" w:name="_Toc494994371"/>
      <w:bookmarkStart w:id="18" w:name="_Toc496196485"/>
      <w:bookmarkStart w:id="19" w:name="_Toc462410050"/>
      <w:r>
        <w:rPr>
          <w:b/>
          <w:smallCaps/>
          <w:noProof/>
        </w:rPr>
        <w:t>2.</w:t>
      </w:r>
      <w:r>
        <w:rPr>
          <w:noProof/>
        </w:rPr>
        <w:tab/>
      </w:r>
      <w:r>
        <w:rPr>
          <w:b/>
          <w:smallCaps/>
          <w:noProof/>
        </w:rPr>
        <w:t>Diminution des crédits de paiement et des crédits d’engagement</w:t>
      </w:r>
      <w:bookmarkEnd w:id="17"/>
      <w:bookmarkEnd w:id="18"/>
    </w:p>
    <w:bookmarkEnd w:id="19"/>
    <w:p>
      <w:pPr>
        <w:spacing w:before="120" w:after="120"/>
        <w:jc w:val="both"/>
        <w:rPr>
          <w:noProof/>
        </w:rPr>
      </w:pPr>
      <w:r>
        <w:rPr>
          <w:noProof/>
        </w:rPr>
        <w:t xml:space="preserve">La Commission propose d'ajuster le niveau des crédits de paiement pour certaines lignes budgétaires afin de les aligner plus étroitement sur les dernières estimations des besoins, en partant de l'hypothèse que le rééquilibrage des crédits de paiement entre les lignes budgétaires, demandé séparément par la Commission dans le virement dit «global» (DEC 20/2017), sera accepté par le Parlement européen et le Conseil. </w:t>
      </w:r>
    </w:p>
    <w:p>
      <w:pPr>
        <w:spacing w:before="120" w:after="120"/>
        <w:jc w:val="both"/>
        <w:rPr>
          <w:noProof/>
        </w:rPr>
      </w:pPr>
      <w:r>
        <w:rPr>
          <w:noProof/>
        </w:rPr>
        <w:t>La réduction globale (7 719,7 millions d’EUR) du niveau des crédits de paiement demandée dans le présent PBR concerne principalement la rubrique 1b et, dans une moindre mesure, les rubriques 2, 3 et 4 et le Fonds de solidarité de l’Union européenne («FSUE»).</w:t>
      </w:r>
    </w:p>
    <w:p>
      <w:pPr>
        <w:keepNext/>
        <w:tabs>
          <w:tab w:val="left" w:pos="850"/>
        </w:tabs>
        <w:spacing w:before="360" w:after="120"/>
        <w:ind w:left="850" w:hanging="850"/>
        <w:jc w:val="both"/>
        <w:outlineLvl w:val="1"/>
        <w:rPr>
          <w:rFonts w:eastAsia="Calibri"/>
          <w:b/>
          <w:noProof/>
        </w:rPr>
      </w:pPr>
      <w:bookmarkStart w:id="20" w:name="_Toc462410051"/>
      <w:bookmarkStart w:id="21" w:name="_Toc494994372"/>
      <w:bookmarkStart w:id="22" w:name="_Toc496196486"/>
      <w:bookmarkStart w:id="23" w:name="_Toc460335328"/>
      <w:bookmarkStart w:id="24" w:name="_Toc430865948"/>
      <w:bookmarkStart w:id="25" w:name="_Toc430867526"/>
      <w:r>
        <w:rPr>
          <w:b/>
          <w:noProof/>
        </w:rPr>
        <w:t>2.1</w:t>
      </w:r>
      <w:r>
        <w:rPr>
          <w:noProof/>
        </w:rPr>
        <w:tab/>
      </w:r>
      <w:r>
        <w:rPr>
          <w:b/>
          <w:noProof/>
        </w:rPr>
        <w:t>Rubrique 1b – Cohésion économique, sociale et territoriale</w:t>
      </w:r>
      <w:bookmarkEnd w:id="20"/>
      <w:bookmarkEnd w:id="21"/>
      <w:bookmarkEnd w:id="22"/>
    </w:p>
    <w:p>
      <w:pPr>
        <w:spacing w:before="120" w:after="120"/>
        <w:jc w:val="both"/>
        <w:rPr>
          <w:noProof/>
        </w:rPr>
      </w:pPr>
      <w:r>
        <w:rPr>
          <w:noProof/>
        </w:rPr>
        <w:t>La Commission propose de diminuer de 5,9 milliards d’EUR</w:t>
      </w:r>
      <w:r>
        <w:rPr>
          <w:noProof/>
          <w:vertAlign w:val="superscript"/>
        </w:rPr>
        <w:footnoteReference w:id="9"/>
      </w:r>
      <w:r>
        <w:rPr>
          <w:noProof/>
        </w:rPr>
        <w:t xml:space="preserve"> les crédits de paiement destinés au Fonds structurels et d’investissement européens («Fonds ESI») dans le cadre de la rubrique 1b. Cette diminution résulte de prévisions actualisées indiquant que les besoins en crédits de paiement sont inférieurs à ceux initialement prévus dans le budget 2017 pour la période de programmation 2014-2020.</w:t>
      </w:r>
    </w:p>
    <w:p>
      <w:pPr>
        <w:spacing w:before="120" w:after="120"/>
        <w:jc w:val="both"/>
        <w:rPr>
          <w:noProof/>
        </w:rPr>
      </w:pPr>
      <w:r>
        <w:rPr>
          <w:noProof/>
        </w:rPr>
        <w:t>Tous les programmes opérationnels pour cette période avaient été adoptés avant la fin de 2015. Cependant, le niveau global des paiements intermédiaires effectués en 2017 pour ces programmes sera inférieur au montant inscrit initialement au budget, comme l’ont confirmé les dernières prévisions des États membres (juillet 2017), qui indiquent une baisse d’environ 6 milliards d’EUR (-16 %) par rapport aux prévisions de janvier 2017. L’analyse, par la Commission, des prévisions communiquées par les États membres englobe aussi des ajustements par rapport à une surestimation historique récurrente.</w:t>
      </w:r>
    </w:p>
    <w:p>
      <w:pPr>
        <w:jc w:val="both"/>
        <w:rPr>
          <w:noProof/>
        </w:rPr>
      </w:pPr>
      <w:r>
        <w:rPr>
          <w:noProof/>
        </w:rPr>
        <w:t>Ces ajustements, qui ont été opérés selon une approche prudente, tiennent compte du taux d’erreur persistant observé ces dernières années dans les prévisions des États membres. Par ailleurs, des facteurs supplémentaires ont été retenus, tels que l’absence d’incitations réglementaires visant à accélérer la présentation des demandes de paiement à la suite de l’instauration de règles de dégagement automatique plus souples (pression «N+3» faible) et la réapparition d’un arriéré «normal» lié à l’arrivée tardive des demandes de paiement, qui ne peuvent plus être honorées dans l’année.</w:t>
      </w:r>
    </w:p>
    <w:p>
      <w:pPr>
        <w:pStyle w:val="ListDash"/>
        <w:rPr>
          <w:noProof/>
        </w:rPr>
      </w:pPr>
      <w:r>
        <w:rPr>
          <w:noProof/>
        </w:rPr>
        <w:t>La mise en œuvre des programmes opérationnels 2014-2020 continue d’accuser des retards. Ceux-ci sont principalement imputables au fait que le processus de désignation des autorités nationales traîne en longueur (la Commission doit encore recevoir des notifications pour les désignations relatives à 62 programmes opérationnels, soit 11 % de l’ensemble des programmes), ce qui s’est traduit par une mise en œuvre plus lente prévue sous l’angle des demandes de paiement intermédiaire reçues, malgré les progrès signalés dans la sélection des projets sur le terrain.</w:t>
      </w:r>
    </w:p>
    <w:p>
      <w:pPr>
        <w:pStyle w:val="ListDash"/>
        <w:spacing w:after="240"/>
        <w:rPr>
          <w:noProof/>
        </w:rPr>
      </w:pPr>
      <w:r>
        <w:rPr>
          <w:noProof/>
        </w:rPr>
        <w:t>La diminution des crédits de paiement est proposée pour les articles et postes budgétaires suivants.</w:t>
      </w:r>
    </w:p>
    <w:tbl>
      <w:tblPr>
        <w:tblW w:w="9513" w:type="dxa"/>
        <w:tblInd w:w="93" w:type="dxa"/>
        <w:tblLayout w:type="fixed"/>
        <w:tblLook w:val="04A0" w:firstRow="1" w:lastRow="0" w:firstColumn="1" w:lastColumn="0" w:noHBand="0" w:noVBand="1"/>
      </w:tblPr>
      <w:tblGrid>
        <w:gridCol w:w="1291"/>
        <w:gridCol w:w="6521"/>
        <w:gridCol w:w="1701"/>
      </w:tblGrid>
      <w:tr>
        <w:trPr>
          <w:trHeight w:val="525"/>
          <w:tblHeader/>
        </w:trPr>
        <w:tc>
          <w:tcPr>
            <w:tcW w:w="1291" w:type="dxa"/>
            <w:tcBorders>
              <w:top w:val="single" w:sz="8" w:space="0" w:color="auto"/>
              <w:left w:val="single" w:sz="8" w:space="0" w:color="auto"/>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noProof/>
                <w:color w:val="000000"/>
                <w:sz w:val="20"/>
              </w:rPr>
              <w:t>Ligne budgétaire</w:t>
            </w:r>
          </w:p>
        </w:tc>
        <w:tc>
          <w:tcPr>
            <w:tcW w:w="6521" w:type="dxa"/>
            <w:tcBorders>
              <w:top w:val="single" w:sz="8" w:space="0" w:color="auto"/>
              <w:left w:val="nil"/>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noProof/>
                <w:color w:val="000000"/>
                <w:sz w:val="20"/>
              </w:rPr>
              <w:t>Intitulé</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noProof/>
                <w:color w:val="000000"/>
                <w:sz w:val="20"/>
              </w:rPr>
              <w:t>Crédits de paiement</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04 02 60</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Fonds social européen — Régions moins développées — Objectif «Investissement pour la croissance et l’emploi»</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-667 462 307</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04 02 61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Fonds social européen — Régions en transition — Objectif «Investissement pour la croissance et l’emploi»</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-148 720 085</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04 02 62</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Fonds social européen — Régions plus développées — Objectif «Investissement pour la croissance et l’emploi»</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-333 817 608</w:t>
            </w:r>
          </w:p>
        </w:tc>
      </w:tr>
      <w:tr>
        <w:trPr>
          <w:trHeight w:val="46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13 03 60</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Fonds européen de développement régional (FEDER) — Régions moins développées — Objectif «Investissement pour la croissance et l’emploi»</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-3 441 410 203</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13 03 61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Fonds européen de développement régional (FEDER) — Régions en transition — Objectif «Investissement pour la croissance et l’emploi»</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-491 788 711</w:t>
            </w:r>
          </w:p>
        </w:tc>
      </w:tr>
      <w:tr>
        <w:trPr>
          <w:trHeight w:val="46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13 03 62</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Fonds européen de développement régional (FEDER) — Régions plus développées — Objectif «Investissement pour la croissance et l’emploi»</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-510 253 467</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13 03 64 01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Fonds européen de développement régional (FEDER) — Coopération territoriale européenne</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-257 368 301</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13 05 03 01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Achèvement de la coopération transfrontalière — Contribution de la sous-rubrique 1b</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-15 422 489</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13 05 63 01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Coopération transfrontalière — Contribution de la rubrique 1b</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-21 988 054</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rPr>
              <w:t>22 04 52</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rPr>
              <w:t>Coopération transfrontalière (CTF) — Contribution de la rubrique 1b (politique régionale)</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rPr>
              <w:t>-2 512 986</w:t>
            </w:r>
          </w:p>
        </w:tc>
      </w:tr>
      <w:tr>
        <w:trPr>
          <w:trHeight w:val="315"/>
        </w:trPr>
        <w:tc>
          <w:tcPr>
            <w:tcW w:w="7812"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pPr>
              <w:jc w:val="both"/>
              <w:rPr>
                <w:b/>
                <w:bCs/>
                <w:noProof/>
                <w:color w:val="000000"/>
                <w:sz w:val="20"/>
                <w:szCs w:val="20"/>
              </w:rPr>
            </w:pPr>
            <w:r>
              <w:rPr>
                <w:b/>
                <w:noProof/>
                <w:color w:val="000000"/>
                <w:sz w:val="20"/>
              </w:rPr>
              <w:t xml:space="preserve">Total </w:t>
            </w:r>
          </w:p>
        </w:tc>
        <w:tc>
          <w:tcPr>
            <w:tcW w:w="1701" w:type="dxa"/>
            <w:tcBorders>
              <w:top w:val="nil"/>
              <w:left w:val="nil"/>
              <w:bottom w:val="single" w:sz="8" w:space="0" w:color="auto"/>
              <w:right w:val="single" w:sz="8" w:space="0" w:color="auto"/>
            </w:tcBorders>
            <w:shd w:val="clear" w:color="auto" w:fill="D9D9D9" w:themeFill="background1" w:themeFillShade="D9"/>
            <w:vAlign w:val="center"/>
            <w:hideMark/>
          </w:tcPr>
          <w:p>
            <w:pPr>
              <w:jc w:val="right"/>
              <w:rPr>
                <w:b/>
                <w:bCs/>
                <w:noProof/>
                <w:color w:val="000000"/>
                <w:sz w:val="20"/>
                <w:szCs w:val="20"/>
              </w:rPr>
            </w:pPr>
            <w:r>
              <w:rPr>
                <w:b/>
                <w:noProof/>
                <w:color w:val="000000"/>
                <w:sz w:val="20"/>
              </w:rPr>
              <w:t>-5 890 744 211</w:t>
            </w:r>
          </w:p>
        </w:tc>
      </w:tr>
    </w:tbl>
    <w:p>
      <w:pPr>
        <w:pStyle w:val="ListDash"/>
        <w:rPr>
          <w:noProof/>
        </w:rPr>
      </w:pPr>
      <w:bookmarkStart w:id="26" w:name="_Toc462410052"/>
      <w:bookmarkStart w:id="27" w:name="_Toc461100990"/>
      <w:bookmarkEnd w:id="23"/>
      <w:r>
        <w:rPr>
          <w:noProof/>
        </w:rPr>
        <w:t>La Commission, qui a régulièrement attiré l’attention sur cette question, s’est déclarée disposée à prêter assistance aux États membres pour accélérer la mise en œuvre. En juillet, quatre membres de la Commission</w:t>
      </w:r>
      <w:r>
        <w:rPr>
          <w:rStyle w:val="FootnoteReference"/>
          <w:noProof/>
        </w:rPr>
        <w:footnoteReference w:id="10"/>
      </w:r>
      <w:r>
        <w:rPr>
          <w:noProof/>
        </w:rPr>
        <w:t xml:space="preserve"> ont cosigné des lettres adressées aux États membres pour les alerter au sujet de la faiblesse préoccupante du niveau de mise en œuvre et les inviter à résorber les goulets d’étranglement dans les plus brefs délais. </w:t>
      </w:r>
    </w:p>
    <w:p>
      <w:pPr>
        <w:keepNext/>
        <w:tabs>
          <w:tab w:val="left" w:pos="850"/>
        </w:tabs>
        <w:spacing w:before="360" w:after="120"/>
        <w:ind w:left="850" w:hanging="850"/>
        <w:jc w:val="both"/>
        <w:outlineLvl w:val="1"/>
        <w:rPr>
          <w:rFonts w:eastAsia="Calibri"/>
          <w:b/>
          <w:noProof/>
        </w:rPr>
      </w:pPr>
      <w:bookmarkStart w:id="28" w:name="_Toc494994373"/>
      <w:bookmarkStart w:id="29" w:name="_Toc496196487"/>
      <w:r>
        <w:rPr>
          <w:b/>
          <w:noProof/>
        </w:rPr>
        <w:t>2.2</w:t>
      </w:r>
      <w:r>
        <w:rPr>
          <w:noProof/>
        </w:rPr>
        <w:tab/>
      </w:r>
      <w:r>
        <w:rPr>
          <w:b/>
          <w:noProof/>
        </w:rPr>
        <w:t>Rubrique 2 – Croissance durable: ressources naturelles</w:t>
      </w:r>
      <w:bookmarkEnd w:id="26"/>
      <w:bookmarkEnd w:id="28"/>
      <w:bookmarkEnd w:id="29"/>
    </w:p>
    <w:p>
      <w:pPr>
        <w:tabs>
          <w:tab w:val="left" w:pos="851"/>
        </w:tabs>
        <w:spacing w:before="240"/>
        <w:rPr>
          <w:bCs/>
          <w:i/>
          <w:noProof/>
        </w:rPr>
      </w:pPr>
      <w:bookmarkStart w:id="30" w:name="_Toc399926625"/>
      <w:bookmarkStart w:id="31" w:name="_Toc461100991"/>
      <w:bookmarkEnd w:id="27"/>
      <w:r>
        <w:rPr>
          <w:i/>
          <w:noProof/>
        </w:rPr>
        <w:t xml:space="preserve">2.2.1 </w:t>
      </w:r>
      <w:r>
        <w:rPr>
          <w:noProof/>
        </w:rPr>
        <w:tab/>
      </w:r>
      <w:r>
        <w:rPr>
          <w:i/>
          <w:noProof/>
        </w:rPr>
        <w:t>Fonds européen agricole pour le développement rural (Feader)</w:t>
      </w:r>
    </w:p>
    <w:p>
      <w:pPr>
        <w:autoSpaceDE w:val="0"/>
        <w:autoSpaceDN w:val="0"/>
        <w:adjustRightInd w:val="0"/>
        <w:spacing w:before="120" w:after="120"/>
        <w:jc w:val="both"/>
        <w:rPr>
          <w:noProof/>
        </w:rPr>
      </w:pPr>
      <w:r>
        <w:rPr>
          <w:noProof/>
        </w:rPr>
        <w:t>Les crédits de paiement disponibles sur le poste 05 04 05 01 étaient initialement destinés aux paiements de clôture des programmes du Feader pour la période 2007-2013. Cependant, pour la plupart de ces programmes, la clôture et les paiements ont eu lieu à la fin de 2016, des crédits de paiement supplémentaires ayant été mis à disposition à cet effet en 2016 au moyen du virement de fin d’année et à partir de la ligne Feader 2014-2020. En conséquence, les besoins en matière de paiements de clôture en 2017 sont moins élevés et un montant de 780 millions d’EUR peut être libéré.</w:t>
      </w:r>
    </w:p>
    <w:p>
      <w:pPr>
        <w:autoSpaceDE w:val="0"/>
        <w:autoSpaceDN w:val="0"/>
        <w:adjustRightInd w:val="0"/>
        <w:spacing w:before="120" w:after="240"/>
        <w:jc w:val="both"/>
        <w:rPr>
          <w:noProof/>
        </w:rPr>
      </w:pPr>
      <w:r>
        <w:rPr>
          <w:noProof/>
        </w:rPr>
        <w:t>À la suite de l’annulation de certaines actions, il est en outre proposé de réduire de 1,5 million d’EUR les crédits d’engagement du poste 05 04 60 02.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rPr>
          <w:tblHeader/>
        </w:trPr>
        <w:tc>
          <w:tcPr>
            <w:tcW w:w="1276" w:type="dxa"/>
            <w:shd w:val="clear" w:color="auto" w:fill="D9D9D9"/>
            <w:vAlign w:val="center"/>
          </w:tcPr>
          <w:p>
            <w:pPr>
              <w:widowControl w:val="0"/>
              <w:spacing w:before="15" w:after="15"/>
              <w:jc w:val="center"/>
              <w:rPr>
                <w:b/>
                <w:noProof/>
                <w:sz w:val="20"/>
                <w:szCs w:val="20"/>
              </w:rPr>
            </w:pPr>
            <w:r>
              <w:rPr>
                <w:b/>
                <w:noProof/>
                <w:sz w:val="20"/>
              </w:rPr>
              <w:t>Ligne budgétaire</w:t>
            </w:r>
          </w:p>
        </w:tc>
        <w:tc>
          <w:tcPr>
            <w:tcW w:w="4961" w:type="dxa"/>
            <w:shd w:val="clear" w:color="auto" w:fill="D9D9D9"/>
            <w:vAlign w:val="center"/>
          </w:tcPr>
          <w:p>
            <w:pPr>
              <w:widowControl w:val="0"/>
              <w:spacing w:before="15" w:after="15"/>
              <w:jc w:val="center"/>
              <w:rPr>
                <w:b/>
                <w:noProof/>
                <w:sz w:val="20"/>
                <w:szCs w:val="20"/>
              </w:rPr>
            </w:pPr>
            <w:r>
              <w:rPr>
                <w:b/>
                <w:noProof/>
                <w:sz w:val="20"/>
              </w:rPr>
              <w:t>Intitulé</w:t>
            </w:r>
          </w:p>
        </w:tc>
        <w:tc>
          <w:tcPr>
            <w:tcW w:w="1701" w:type="dxa"/>
            <w:shd w:val="clear" w:color="auto" w:fill="D9D9D9"/>
            <w:vAlign w:val="center"/>
          </w:tcPr>
          <w:p>
            <w:pPr>
              <w:widowControl w:val="0"/>
              <w:spacing w:before="15" w:after="15"/>
              <w:jc w:val="center"/>
              <w:rPr>
                <w:b/>
                <w:noProof/>
                <w:sz w:val="20"/>
                <w:szCs w:val="20"/>
              </w:rPr>
            </w:pPr>
            <w:r>
              <w:rPr>
                <w:b/>
                <w:noProof/>
                <w:sz w:val="20"/>
              </w:rPr>
              <w:t>Crédits d'engagement</w:t>
            </w:r>
          </w:p>
        </w:tc>
        <w:tc>
          <w:tcPr>
            <w:tcW w:w="1701" w:type="dxa"/>
            <w:shd w:val="clear" w:color="auto" w:fill="D9D9D9"/>
            <w:vAlign w:val="center"/>
          </w:tcPr>
          <w:p>
            <w:pPr>
              <w:widowControl w:val="0"/>
              <w:spacing w:before="15" w:after="15"/>
              <w:jc w:val="center"/>
              <w:rPr>
                <w:b/>
                <w:noProof/>
                <w:sz w:val="20"/>
                <w:szCs w:val="20"/>
              </w:rPr>
            </w:pPr>
            <w:r>
              <w:rPr>
                <w:b/>
                <w:noProof/>
                <w:sz w:val="20"/>
              </w:rPr>
              <w:t>Crédits de paiement</w:t>
            </w:r>
          </w:p>
        </w:tc>
      </w:tr>
      <w:tr>
        <w:tc>
          <w:tcPr>
            <w:tcW w:w="1276" w:type="dxa"/>
            <w:vAlign w:val="center"/>
          </w:tcPr>
          <w:p>
            <w:pPr>
              <w:widowControl w:val="0"/>
              <w:spacing w:before="15" w:after="15"/>
              <w:ind w:right="-113"/>
              <w:jc w:val="both"/>
              <w:rPr>
                <w:noProof/>
                <w:sz w:val="20"/>
                <w:szCs w:val="20"/>
              </w:rPr>
            </w:pPr>
            <w:r>
              <w:rPr>
                <w:noProof/>
                <w:sz w:val="20"/>
              </w:rPr>
              <w:t>05 04 05 01</w:t>
            </w:r>
          </w:p>
        </w:tc>
        <w:tc>
          <w:tcPr>
            <w:tcW w:w="4961" w:type="dxa"/>
            <w:vAlign w:val="center"/>
          </w:tcPr>
          <w:p>
            <w:pPr>
              <w:widowControl w:val="0"/>
              <w:tabs>
                <w:tab w:val="left" w:pos="1350"/>
              </w:tabs>
              <w:spacing w:before="15" w:after="15"/>
              <w:jc w:val="both"/>
              <w:rPr>
                <w:noProof/>
                <w:sz w:val="16"/>
                <w:szCs w:val="16"/>
                <w:highlight w:val="yellow"/>
              </w:rPr>
            </w:pPr>
            <w:r>
              <w:rPr>
                <w:noProof/>
                <w:sz w:val="16"/>
              </w:rPr>
              <w:t>Programmes de développement rural</w:t>
            </w:r>
          </w:p>
        </w:tc>
        <w:tc>
          <w:tcPr>
            <w:tcW w:w="1701" w:type="dxa"/>
            <w:vAlign w:val="center"/>
          </w:tcPr>
          <w:p>
            <w:pPr>
              <w:widowControl w:val="0"/>
              <w:spacing w:before="15" w:after="15"/>
              <w:jc w:val="right"/>
              <w:rPr>
                <w:noProof/>
                <w:sz w:val="20"/>
                <w:szCs w:val="20"/>
              </w:rPr>
            </w:pPr>
            <w:r>
              <w:rPr>
                <w:noProof/>
                <w:sz w:val="20"/>
              </w:rPr>
              <w:t>-</w:t>
            </w:r>
          </w:p>
        </w:tc>
        <w:tc>
          <w:tcPr>
            <w:tcW w:w="1701" w:type="dxa"/>
            <w:vAlign w:val="center"/>
          </w:tcPr>
          <w:p>
            <w:pPr>
              <w:widowControl w:val="0"/>
              <w:spacing w:before="15" w:after="15"/>
              <w:jc w:val="right"/>
              <w:rPr>
                <w:noProof/>
                <w:sz w:val="20"/>
                <w:szCs w:val="20"/>
              </w:rPr>
            </w:pPr>
            <w:r>
              <w:rPr>
                <w:noProof/>
                <w:sz w:val="20"/>
              </w:rPr>
              <w:t>-780 000 000</w:t>
            </w:r>
          </w:p>
        </w:tc>
      </w:tr>
      <w:tr>
        <w:tc>
          <w:tcPr>
            <w:tcW w:w="1276" w:type="dxa"/>
            <w:vAlign w:val="center"/>
          </w:tcPr>
          <w:p>
            <w:pPr>
              <w:widowControl w:val="0"/>
              <w:spacing w:before="15" w:after="15"/>
              <w:ind w:right="-113"/>
              <w:jc w:val="both"/>
              <w:rPr>
                <w:noProof/>
                <w:sz w:val="20"/>
                <w:szCs w:val="20"/>
              </w:rPr>
            </w:pPr>
            <w:r>
              <w:rPr>
                <w:noProof/>
                <w:sz w:val="20"/>
              </w:rPr>
              <w:t>05 04 60 02</w:t>
            </w:r>
          </w:p>
        </w:tc>
        <w:tc>
          <w:tcPr>
            <w:tcW w:w="4961" w:type="dxa"/>
            <w:vAlign w:val="center"/>
          </w:tcPr>
          <w:p>
            <w:pPr>
              <w:widowControl w:val="0"/>
              <w:tabs>
                <w:tab w:val="left" w:pos="1350"/>
              </w:tabs>
              <w:spacing w:before="15" w:after="15"/>
              <w:rPr>
                <w:noProof/>
                <w:sz w:val="16"/>
                <w:szCs w:val="16"/>
              </w:rPr>
            </w:pPr>
            <w:r>
              <w:rPr>
                <w:noProof/>
                <w:sz w:val="16"/>
              </w:rPr>
              <w:t>Assistance technique opérationnelle</w:t>
            </w:r>
          </w:p>
        </w:tc>
        <w:tc>
          <w:tcPr>
            <w:tcW w:w="1701" w:type="dxa"/>
            <w:vAlign w:val="center"/>
          </w:tcPr>
          <w:p>
            <w:pPr>
              <w:widowControl w:val="0"/>
              <w:spacing w:before="15" w:after="15"/>
              <w:jc w:val="right"/>
              <w:rPr>
                <w:noProof/>
                <w:sz w:val="20"/>
                <w:szCs w:val="20"/>
              </w:rPr>
            </w:pPr>
            <w:r>
              <w:rPr>
                <w:noProof/>
                <w:sz w:val="20"/>
              </w:rPr>
              <w:t>-1 500 000</w:t>
            </w:r>
          </w:p>
        </w:tc>
        <w:tc>
          <w:tcPr>
            <w:tcW w:w="1701" w:type="dxa"/>
            <w:vAlign w:val="center"/>
          </w:tcPr>
          <w:p>
            <w:pPr>
              <w:widowControl w:val="0"/>
              <w:spacing w:before="15" w:after="15"/>
              <w:jc w:val="right"/>
              <w:rPr>
                <w:noProof/>
                <w:sz w:val="20"/>
                <w:szCs w:val="20"/>
              </w:rPr>
            </w:pPr>
            <w:r>
              <w:rPr>
                <w:noProof/>
                <w:sz w:val="20"/>
              </w:rPr>
              <w:t>-</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701" w:type="dxa"/>
            <w:shd w:val="clear" w:color="auto" w:fill="D9D9D9"/>
          </w:tcPr>
          <w:p>
            <w:pPr>
              <w:widowControl w:val="0"/>
              <w:spacing w:before="15" w:after="15"/>
              <w:jc w:val="right"/>
              <w:rPr>
                <w:b/>
                <w:noProof/>
                <w:sz w:val="20"/>
                <w:szCs w:val="20"/>
              </w:rPr>
            </w:pPr>
            <w:r>
              <w:rPr>
                <w:b/>
                <w:noProof/>
                <w:sz w:val="20"/>
              </w:rPr>
              <w:t>-1 500 000</w:t>
            </w:r>
          </w:p>
        </w:tc>
        <w:tc>
          <w:tcPr>
            <w:tcW w:w="1701" w:type="dxa"/>
            <w:shd w:val="clear" w:color="auto" w:fill="D9D9D9"/>
          </w:tcPr>
          <w:p>
            <w:pPr>
              <w:widowControl w:val="0"/>
              <w:spacing w:before="15" w:after="15"/>
              <w:jc w:val="right"/>
              <w:rPr>
                <w:b/>
                <w:noProof/>
                <w:sz w:val="20"/>
                <w:szCs w:val="20"/>
              </w:rPr>
            </w:pPr>
            <w:r>
              <w:rPr>
                <w:b/>
                <w:noProof/>
                <w:sz w:val="20"/>
              </w:rPr>
              <w:t>-780 000 000</w:t>
            </w:r>
          </w:p>
        </w:tc>
      </w:tr>
    </w:tbl>
    <w:p>
      <w:pPr>
        <w:tabs>
          <w:tab w:val="left" w:pos="851"/>
        </w:tabs>
        <w:spacing w:before="240"/>
        <w:rPr>
          <w:bCs/>
          <w:i/>
          <w:noProof/>
        </w:rPr>
      </w:pPr>
      <w:bookmarkStart w:id="32" w:name="_Toc399926626"/>
      <w:bookmarkStart w:id="33" w:name="_Toc461100992"/>
      <w:bookmarkEnd w:id="30"/>
      <w:bookmarkEnd w:id="31"/>
      <w:r>
        <w:rPr>
          <w:i/>
          <w:noProof/>
        </w:rPr>
        <w:t xml:space="preserve">2.2.2 </w:t>
      </w:r>
      <w:r>
        <w:rPr>
          <w:noProof/>
        </w:rPr>
        <w:tab/>
      </w:r>
      <w:bookmarkEnd w:id="32"/>
      <w:bookmarkEnd w:id="33"/>
      <w:r>
        <w:rPr>
          <w:i/>
          <w:noProof/>
        </w:rPr>
        <w:t>Contributions obligatoires aux organisations régionales de gestion des pêches et autres organisations internationales et accords de pêche durable</w:t>
      </w:r>
    </w:p>
    <w:p>
      <w:pPr>
        <w:autoSpaceDE w:val="0"/>
        <w:autoSpaceDN w:val="0"/>
        <w:adjustRightInd w:val="0"/>
        <w:spacing w:before="120" w:after="240"/>
        <w:jc w:val="both"/>
        <w:rPr>
          <w:noProof/>
        </w:rPr>
      </w:pPr>
      <w:r>
        <w:rPr>
          <w:noProof/>
        </w:rPr>
        <w:t>Sur la base d’une analyse actualisée de la situation des négociations en vue d’accords de partenariat dans le domaine de la pêche durable, des montants de 11,2 millions d’EUR en crédits d’engagement et de 10,4 millions d’EUR en crédits de paiement peuvent être libérés de la ligne de réserve (article 40 02 41). De plus, un montant de 0,2 million d’EUR, en crédits d’engagement et de paiement, peut être libéré des contributions obligatoires aux organes internationaux opérant dans le domaine des affaires maritimes et de la pêche (article 11 03 02).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rPr>
              <w:t>Ligne budgétaire</w:t>
            </w:r>
          </w:p>
        </w:tc>
        <w:tc>
          <w:tcPr>
            <w:tcW w:w="4961" w:type="dxa"/>
            <w:shd w:val="clear" w:color="auto" w:fill="D9D9D9"/>
            <w:vAlign w:val="center"/>
          </w:tcPr>
          <w:p>
            <w:pPr>
              <w:widowControl w:val="0"/>
              <w:spacing w:before="15" w:after="15"/>
              <w:jc w:val="center"/>
              <w:rPr>
                <w:b/>
                <w:noProof/>
                <w:sz w:val="20"/>
                <w:szCs w:val="20"/>
              </w:rPr>
            </w:pPr>
            <w:r>
              <w:rPr>
                <w:b/>
                <w:noProof/>
                <w:sz w:val="20"/>
              </w:rPr>
              <w:t>Intitulé</w:t>
            </w:r>
          </w:p>
        </w:tc>
        <w:tc>
          <w:tcPr>
            <w:tcW w:w="1701" w:type="dxa"/>
            <w:shd w:val="clear" w:color="auto" w:fill="D9D9D9"/>
            <w:vAlign w:val="center"/>
          </w:tcPr>
          <w:p>
            <w:pPr>
              <w:widowControl w:val="0"/>
              <w:spacing w:before="15" w:after="15"/>
              <w:jc w:val="center"/>
              <w:rPr>
                <w:b/>
                <w:noProof/>
                <w:sz w:val="20"/>
                <w:szCs w:val="20"/>
              </w:rPr>
            </w:pPr>
            <w:r>
              <w:rPr>
                <w:b/>
                <w:noProof/>
                <w:sz w:val="20"/>
              </w:rPr>
              <w:t>Crédits d'engagement</w:t>
            </w:r>
          </w:p>
        </w:tc>
        <w:tc>
          <w:tcPr>
            <w:tcW w:w="1701" w:type="dxa"/>
            <w:shd w:val="clear" w:color="auto" w:fill="D9D9D9"/>
            <w:vAlign w:val="center"/>
          </w:tcPr>
          <w:p>
            <w:pPr>
              <w:widowControl w:val="0"/>
              <w:spacing w:before="15" w:after="15"/>
              <w:jc w:val="center"/>
              <w:rPr>
                <w:b/>
                <w:noProof/>
                <w:sz w:val="20"/>
                <w:szCs w:val="20"/>
              </w:rPr>
            </w:pPr>
            <w:r>
              <w:rPr>
                <w:b/>
                <w:noProof/>
                <w:sz w:val="20"/>
              </w:rPr>
              <w:t>Crédits de paiement</w:t>
            </w:r>
          </w:p>
        </w:tc>
      </w:tr>
      <w:tr>
        <w:tc>
          <w:tcPr>
            <w:tcW w:w="1276" w:type="dxa"/>
          </w:tcPr>
          <w:p>
            <w:pPr>
              <w:widowControl w:val="0"/>
              <w:spacing w:before="15" w:after="15"/>
              <w:ind w:right="-113"/>
              <w:jc w:val="both"/>
              <w:rPr>
                <w:noProof/>
                <w:sz w:val="20"/>
                <w:szCs w:val="20"/>
              </w:rPr>
            </w:pPr>
            <w:r>
              <w:rPr>
                <w:noProof/>
                <w:sz w:val="20"/>
              </w:rPr>
              <w:t>11 03 02</w:t>
            </w:r>
          </w:p>
        </w:tc>
        <w:tc>
          <w:tcPr>
            <w:tcW w:w="4961" w:type="dxa"/>
          </w:tcPr>
          <w:p>
            <w:pPr>
              <w:widowControl w:val="0"/>
              <w:tabs>
                <w:tab w:val="left" w:pos="1350"/>
              </w:tabs>
              <w:spacing w:before="15" w:after="15"/>
              <w:jc w:val="both"/>
              <w:rPr>
                <w:noProof/>
                <w:sz w:val="16"/>
                <w:szCs w:val="16"/>
              </w:rPr>
            </w:pPr>
            <w:r>
              <w:rPr>
                <w:noProof/>
                <w:sz w:val="16"/>
              </w:rPr>
              <w:t>Promouvoir le développement durable pour la gestion des pêches et la gouvernance maritime, dans le respect des objectifs de la PCP (contributions obligatoires aux organes internationaux)</w:t>
            </w:r>
          </w:p>
        </w:tc>
        <w:tc>
          <w:tcPr>
            <w:tcW w:w="1701" w:type="dxa"/>
          </w:tcPr>
          <w:p>
            <w:pPr>
              <w:widowControl w:val="0"/>
              <w:spacing w:before="15" w:after="15"/>
              <w:jc w:val="right"/>
              <w:rPr>
                <w:noProof/>
                <w:sz w:val="20"/>
                <w:szCs w:val="20"/>
              </w:rPr>
            </w:pPr>
            <w:r>
              <w:rPr>
                <w:noProof/>
                <w:sz w:val="20"/>
              </w:rPr>
              <w:t>-207 268</w:t>
            </w:r>
          </w:p>
        </w:tc>
        <w:tc>
          <w:tcPr>
            <w:tcW w:w="1701" w:type="dxa"/>
          </w:tcPr>
          <w:p>
            <w:pPr>
              <w:widowControl w:val="0"/>
              <w:spacing w:before="15" w:after="15"/>
              <w:jc w:val="right"/>
              <w:rPr>
                <w:noProof/>
                <w:sz w:val="20"/>
                <w:szCs w:val="20"/>
              </w:rPr>
            </w:pPr>
            <w:r>
              <w:rPr>
                <w:noProof/>
                <w:sz w:val="20"/>
              </w:rPr>
              <w:t>-207 268</w:t>
            </w:r>
          </w:p>
        </w:tc>
      </w:tr>
      <w:tr>
        <w:tc>
          <w:tcPr>
            <w:tcW w:w="1276" w:type="dxa"/>
          </w:tcPr>
          <w:p>
            <w:pPr>
              <w:widowControl w:val="0"/>
              <w:spacing w:before="15" w:after="15"/>
              <w:ind w:right="-113"/>
              <w:jc w:val="both"/>
              <w:rPr>
                <w:noProof/>
                <w:sz w:val="20"/>
                <w:szCs w:val="20"/>
              </w:rPr>
            </w:pPr>
            <w:r>
              <w:rPr>
                <w:noProof/>
                <w:sz w:val="20"/>
              </w:rPr>
              <w:t>40 02 41</w:t>
            </w:r>
          </w:p>
        </w:tc>
        <w:tc>
          <w:tcPr>
            <w:tcW w:w="4961" w:type="dxa"/>
          </w:tcPr>
          <w:p>
            <w:pPr>
              <w:widowControl w:val="0"/>
              <w:tabs>
                <w:tab w:val="left" w:pos="1350"/>
              </w:tabs>
              <w:spacing w:before="15" w:after="15"/>
              <w:jc w:val="both"/>
              <w:rPr>
                <w:noProof/>
                <w:sz w:val="16"/>
                <w:szCs w:val="16"/>
              </w:rPr>
            </w:pPr>
            <w:r>
              <w:rPr>
                <w:noProof/>
                <w:sz w:val="16"/>
              </w:rPr>
              <w:t>Crédits dissociés (</w:t>
            </w:r>
            <w:r>
              <w:rPr>
                <w:i/>
                <w:noProof/>
                <w:sz w:val="16"/>
              </w:rPr>
              <w:t>Réserve pour l’article 11 03 01 – Établir un cadre de gouvernance pour les activités de pêche menées par les navires de pêche de l’Union dans les eaux des pays tiers</w:t>
            </w:r>
            <w:r>
              <w:rPr>
                <w:noProof/>
                <w:sz w:val="16"/>
              </w:rPr>
              <w:t>)</w:t>
            </w:r>
          </w:p>
        </w:tc>
        <w:tc>
          <w:tcPr>
            <w:tcW w:w="1701" w:type="dxa"/>
          </w:tcPr>
          <w:p>
            <w:pPr>
              <w:widowControl w:val="0"/>
              <w:spacing w:before="15" w:after="15"/>
              <w:jc w:val="right"/>
              <w:rPr>
                <w:noProof/>
                <w:sz w:val="20"/>
                <w:szCs w:val="20"/>
              </w:rPr>
            </w:pPr>
            <w:r>
              <w:rPr>
                <w:noProof/>
                <w:sz w:val="20"/>
              </w:rPr>
              <w:t>-11 166 522</w:t>
            </w:r>
          </w:p>
        </w:tc>
        <w:tc>
          <w:tcPr>
            <w:tcW w:w="1701" w:type="dxa"/>
          </w:tcPr>
          <w:p>
            <w:pPr>
              <w:widowControl w:val="0"/>
              <w:spacing w:before="15" w:after="15"/>
              <w:jc w:val="right"/>
              <w:rPr>
                <w:noProof/>
                <w:sz w:val="20"/>
                <w:szCs w:val="20"/>
              </w:rPr>
            </w:pPr>
            <w:r>
              <w:rPr>
                <w:noProof/>
                <w:sz w:val="20"/>
              </w:rPr>
              <w:t>-10 361 522</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701" w:type="dxa"/>
            <w:shd w:val="clear" w:color="auto" w:fill="D9D9D9"/>
          </w:tcPr>
          <w:p>
            <w:pPr>
              <w:widowControl w:val="0"/>
              <w:spacing w:before="15" w:after="15"/>
              <w:jc w:val="right"/>
              <w:rPr>
                <w:b/>
                <w:noProof/>
                <w:sz w:val="20"/>
                <w:szCs w:val="20"/>
              </w:rPr>
            </w:pPr>
            <w:r>
              <w:rPr>
                <w:b/>
                <w:noProof/>
                <w:sz w:val="20"/>
              </w:rPr>
              <w:t>-11 373 790</w:t>
            </w:r>
          </w:p>
        </w:tc>
        <w:tc>
          <w:tcPr>
            <w:tcW w:w="1701" w:type="dxa"/>
            <w:shd w:val="clear" w:color="auto" w:fill="D9D9D9"/>
          </w:tcPr>
          <w:p>
            <w:pPr>
              <w:widowControl w:val="0"/>
              <w:spacing w:before="15" w:after="15"/>
              <w:jc w:val="right"/>
              <w:rPr>
                <w:b/>
                <w:noProof/>
                <w:sz w:val="20"/>
                <w:szCs w:val="20"/>
              </w:rPr>
            </w:pPr>
            <w:r>
              <w:rPr>
                <w:b/>
                <w:noProof/>
                <w:sz w:val="20"/>
              </w:rPr>
              <w:t>-10 568 790</w:t>
            </w:r>
          </w:p>
        </w:tc>
      </w:tr>
    </w:tbl>
    <w:p>
      <w:pPr>
        <w:tabs>
          <w:tab w:val="left" w:pos="851"/>
        </w:tabs>
        <w:spacing w:before="240"/>
        <w:rPr>
          <w:bCs/>
          <w:i/>
          <w:noProof/>
        </w:rPr>
      </w:pPr>
      <w:bookmarkStart w:id="34" w:name="_Toc461100993"/>
      <w:bookmarkStart w:id="35" w:name="_Toc462410053"/>
      <w:bookmarkEnd w:id="34"/>
      <w:r>
        <w:rPr>
          <w:i/>
          <w:noProof/>
        </w:rPr>
        <w:t xml:space="preserve">2.2.3 </w:t>
      </w:r>
      <w:r>
        <w:rPr>
          <w:noProof/>
        </w:rPr>
        <w:tab/>
      </w:r>
      <w:r>
        <w:rPr>
          <w:i/>
          <w:noProof/>
        </w:rPr>
        <w:t>Fonds européen agricole de garantie (FEAGA)</w:t>
      </w:r>
    </w:p>
    <w:p>
      <w:pPr>
        <w:autoSpaceDE w:val="0"/>
        <w:autoSpaceDN w:val="0"/>
        <w:adjustRightInd w:val="0"/>
        <w:spacing w:before="120" w:after="240"/>
        <w:jc w:val="both"/>
        <w:rPr>
          <w:noProof/>
        </w:rPr>
      </w:pPr>
      <w:r>
        <w:rPr>
          <w:noProof/>
        </w:rPr>
        <w:t>À la suite de l’annulation de certaines actions, il est proposé de réduire le niveau des crédits d’engagement et de paiement du poste 05 01 04 01 et de l’article 05 08 09.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rPr>
              <w:t>Ligne budgétaire</w:t>
            </w:r>
          </w:p>
        </w:tc>
        <w:tc>
          <w:tcPr>
            <w:tcW w:w="4961" w:type="dxa"/>
            <w:shd w:val="clear" w:color="auto" w:fill="D9D9D9"/>
            <w:vAlign w:val="center"/>
          </w:tcPr>
          <w:p>
            <w:pPr>
              <w:widowControl w:val="0"/>
              <w:spacing w:before="15" w:after="15"/>
              <w:jc w:val="center"/>
              <w:rPr>
                <w:b/>
                <w:noProof/>
                <w:sz w:val="20"/>
                <w:szCs w:val="20"/>
              </w:rPr>
            </w:pPr>
            <w:r>
              <w:rPr>
                <w:b/>
                <w:noProof/>
                <w:sz w:val="20"/>
              </w:rPr>
              <w:t>Intitulé</w:t>
            </w:r>
          </w:p>
        </w:tc>
        <w:tc>
          <w:tcPr>
            <w:tcW w:w="1701" w:type="dxa"/>
            <w:shd w:val="clear" w:color="auto" w:fill="D9D9D9"/>
            <w:vAlign w:val="center"/>
          </w:tcPr>
          <w:p>
            <w:pPr>
              <w:widowControl w:val="0"/>
              <w:spacing w:before="15" w:after="15"/>
              <w:jc w:val="center"/>
              <w:rPr>
                <w:b/>
                <w:noProof/>
                <w:sz w:val="20"/>
                <w:szCs w:val="20"/>
              </w:rPr>
            </w:pPr>
            <w:r>
              <w:rPr>
                <w:b/>
                <w:noProof/>
                <w:sz w:val="20"/>
              </w:rPr>
              <w:t>Crédits d'engagement</w:t>
            </w:r>
          </w:p>
        </w:tc>
        <w:tc>
          <w:tcPr>
            <w:tcW w:w="1701" w:type="dxa"/>
            <w:shd w:val="clear" w:color="auto" w:fill="D9D9D9"/>
            <w:vAlign w:val="center"/>
          </w:tcPr>
          <w:p>
            <w:pPr>
              <w:widowControl w:val="0"/>
              <w:spacing w:before="15" w:after="15"/>
              <w:jc w:val="center"/>
              <w:rPr>
                <w:b/>
                <w:noProof/>
                <w:sz w:val="20"/>
                <w:szCs w:val="20"/>
              </w:rPr>
            </w:pPr>
            <w:r>
              <w:rPr>
                <w:b/>
                <w:noProof/>
                <w:sz w:val="20"/>
              </w:rPr>
              <w:t>Crédits de paiement</w:t>
            </w:r>
          </w:p>
        </w:tc>
      </w:tr>
      <w:tr>
        <w:tc>
          <w:tcPr>
            <w:tcW w:w="1276" w:type="dxa"/>
          </w:tcPr>
          <w:p>
            <w:pPr>
              <w:widowControl w:val="0"/>
              <w:spacing w:before="15" w:after="15"/>
              <w:ind w:right="-113"/>
              <w:jc w:val="both"/>
              <w:rPr>
                <w:noProof/>
                <w:sz w:val="20"/>
                <w:szCs w:val="20"/>
              </w:rPr>
            </w:pPr>
            <w:r>
              <w:rPr>
                <w:noProof/>
                <w:sz w:val="20"/>
              </w:rPr>
              <w:t>05 01 04 01</w:t>
            </w:r>
          </w:p>
        </w:tc>
        <w:tc>
          <w:tcPr>
            <w:tcW w:w="4961" w:type="dxa"/>
            <w:vAlign w:val="center"/>
          </w:tcPr>
          <w:p>
            <w:pPr>
              <w:widowControl w:val="0"/>
              <w:tabs>
                <w:tab w:val="left" w:pos="1350"/>
              </w:tabs>
              <w:spacing w:before="15" w:after="15"/>
              <w:rPr>
                <w:noProof/>
                <w:sz w:val="16"/>
                <w:szCs w:val="16"/>
              </w:rPr>
            </w:pPr>
            <w:r>
              <w:rPr>
                <w:noProof/>
                <w:sz w:val="16"/>
              </w:rPr>
              <w:t>Dépenses d’appui pour le Fonds européen agricole de garantie (FEAGA) – Assistance technique non opérationnelle</w:t>
            </w:r>
          </w:p>
        </w:tc>
        <w:tc>
          <w:tcPr>
            <w:tcW w:w="1701" w:type="dxa"/>
          </w:tcPr>
          <w:p>
            <w:pPr>
              <w:widowControl w:val="0"/>
              <w:spacing w:before="15" w:after="15"/>
              <w:jc w:val="right"/>
              <w:rPr>
                <w:noProof/>
                <w:sz w:val="20"/>
                <w:szCs w:val="20"/>
              </w:rPr>
            </w:pPr>
            <w:r>
              <w:rPr>
                <w:noProof/>
                <w:sz w:val="20"/>
              </w:rPr>
              <w:t>-900 000</w:t>
            </w:r>
          </w:p>
        </w:tc>
        <w:tc>
          <w:tcPr>
            <w:tcW w:w="1701" w:type="dxa"/>
          </w:tcPr>
          <w:p>
            <w:pPr>
              <w:widowControl w:val="0"/>
              <w:spacing w:before="15" w:after="15"/>
              <w:jc w:val="right"/>
              <w:rPr>
                <w:noProof/>
                <w:sz w:val="20"/>
                <w:szCs w:val="20"/>
              </w:rPr>
            </w:pPr>
            <w:r>
              <w:rPr>
                <w:noProof/>
                <w:sz w:val="20"/>
              </w:rPr>
              <w:t>-900 000</w:t>
            </w:r>
          </w:p>
        </w:tc>
      </w:tr>
      <w:tr>
        <w:tc>
          <w:tcPr>
            <w:tcW w:w="1276" w:type="dxa"/>
          </w:tcPr>
          <w:p>
            <w:pPr>
              <w:widowControl w:val="0"/>
              <w:spacing w:before="15" w:after="15"/>
              <w:ind w:right="-113"/>
              <w:jc w:val="both"/>
              <w:rPr>
                <w:noProof/>
                <w:sz w:val="20"/>
                <w:szCs w:val="20"/>
              </w:rPr>
            </w:pPr>
            <w:r>
              <w:rPr>
                <w:noProof/>
                <w:sz w:val="20"/>
              </w:rPr>
              <w:t>05 08 09</w:t>
            </w:r>
          </w:p>
        </w:tc>
        <w:tc>
          <w:tcPr>
            <w:tcW w:w="4961" w:type="dxa"/>
            <w:vAlign w:val="center"/>
          </w:tcPr>
          <w:p>
            <w:pPr>
              <w:widowControl w:val="0"/>
              <w:tabs>
                <w:tab w:val="left" w:pos="1350"/>
              </w:tabs>
              <w:spacing w:before="15" w:after="15"/>
              <w:rPr>
                <w:noProof/>
                <w:sz w:val="16"/>
                <w:szCs w:val="16"/>
              </w:rPr>
            </w:pPr>
            <w:r>
              <w:rPr>
                <w:noProof/>
                <w:sz w:val="16"/>
              </w:rPr>
              <w:t>Fonds européen agricole de garantie (FEAGA) – Assistance technique opérationnelle</w:t>
            </w:r>
          </w:p>
        </w:tc>
        <w:tc>
          <w:tcPr>
            <w:tcW w:w="1701" w:type="dxa"/>
          </w:tcPr>
          <w:p>
            <w:pPr>
              <w:widowControl w:val="0"/>
              <w:spacing w:before="15" w:after="15"/>
              <w:jc w:val="right"/>
              <w:rPr>
                <w:noProof/>
                <w:sz w:val="20"/>
                <w:szCs w:val="20"/>
              </w:rPr>
            </w:pPr>
            <w:r>
              <w:rPr>
                <w:noProof/>
                <w:sz w:val="20"/>
              </w:rPr>
              <w:t>-1 000 000</w:t>
            </w:r>
          </w:p>
        </w:tc>
        <w:tc>
          <w:tcPr>
            <w:tcW w:w="1701" w:type="dxa"/>
          </w:tcPr>
          <w:p>
            <w:pPr>
              <w:widowControl w:val="0"/>
              <w:spacing w:before="15" w:after="15"/>
              <w:jc w:val="right"/>
              <w:rPr>
                <w:noProof/>
                <w:sz w:val="20"/>
                <w:szCs w:val="20"/>
              </w:rPr>
            </w:pPr>
            <w:r>
              <w:rPr>
                <w:noProof/>
                <w:sz w:val="20"/>
              </w:rPr>
              <w:t>-1 000 000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701" w:type="dxa"/>
            <w:shd w:val="clear" w:color="auto" w:fill="D9D9D9"/>
          </w:tcPr>
          <w:p>
            <w:pPr>
              <w:widowControl w:val="0"/>
              <w:spacing w:before="15" w:after="15"/>
              <w:jc w:val="right"/>
              <w:rPr>
                <w:b/>
                <w:noProof/>
                <w:sz w:val="20"/>
                <w:szCs w:val="20"/>
              </w:rPr>
            </w:pPr>
            <w:r>
              <w:rPr>
                <w:b/>
                <w:noProof/>
                <w:sz w:val="20"/>
              </w:rPr>
              <w:t>-1 900 000</w:t>
            </w:r>
          </w:p>
        </w:tc>
        <w:tc>
          <w:tcPr>
            <w:tcW w:w="1701" w:type="dxa"/>
            <w:shd w:val="clear" w:color="auto" w:fill="D9D9D9"/>
          </w:tcPr>
          <w:p>
            <w:pPr>
              <w:widowControl w:val="0"/>
              <w:spacing w:before="15" w:after="15"/>
              <w:jc w:val="right"/>
              <w:rPr>
                <w:b/>
                <w:noProof/>
                <w:sz w:val="20"/>
                <w:szCs w:val="20"/>
              </w:rPr>
            </w:pPr>
            <w:r>
              <w:rPr>
                <w:b/>
                <w:noProof/>
                <w:sz w:val="20"/>
              </w:rPr>
              <w:t>-1 900 000</w:t>
            </w:r>
          </w:p>
        </w:tc>
      </w:tr>
    </w:tbl>
    <w:p>
      <w:pPr>
        <w:tabs>
          <w:tab w:val="left" w:pos="851"/>
        </w:tabs>
        <w:spacing w:before="240"/>
        <w:rPr>
          <w:bCs/>
          <w:i/>
          <w:noProof/>
        </w:rPr>
      </w:pPr>
      <w:r>
        <w:rPr>
          <w:i/>
          <w:noProof/>
        </w:rPr>
        <w:t xml:space="preserve">2.2.4 </w:t>
      </w:r>
      <w:r>
        <w:rPr>
          <w:noProof/>
        </w:rPr>
        <w:tab/>
      </w:r>
      <w:r>
        <w:rPr>
          <w:i/>
          <w:noProof/>
        </w:rPr>
        <w:t>Organismes décentralisés (ECHA-biocides)</w:t>
      </w:r>
    </w:p>
    <w:p>
      <w:pPr>
        <w:autoSpaceDE w:val="0"/>
        <w:autoSpaceDN w:val="0"/>
        <w:adjustRightInd w:val="0"/>
        <w:spacing w:before="120" w:after="240"/>
        <w:jc w:val="both"/>
        <w:rPr>
          <w:noProof/>
        </w:rPr>
      </w:pPr>
      <w:r>
        <w:rPr>
          <w:noProof/>
        </w:rPr>
        <w:t>Les recettes issues des redevances versées par l’industrie que perçoit, pour ses activités biocides, l’Agence européenne des produits chimiques (ECHA), à Helsinki, devraient être supérieures de 0,6 million d’EUR au montant initialement prévu. En conséquence, la contribution du budget de l’Union peut être réduite d’autant, à la fois en crédits d’engagement et en crédits de paiement.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rPr>
              <w:t>Ligne budgétaire</w:t>
            </w:r>
          </w:p>
        </w:tc>
        <w:tc>
          <w:tcPr>
            <w:tcW w:w="4961" w:type="dxa"/>
            <w:shd w:val="clear" w:color="auto" w:fill="D9D9D9"/>
            <w:vAlign w:val="center"/>
          </w:tcPr>
          <w:p>
            <w:pPr>
              <w:widowControl w:val="0"/>
              <w:spacing w:before="15" w:after="15"/>
              <w:jc w:val="center"/>
              <w:rPr>
                <w:b/>
                <w:noProof/>
                <w:sz w:val="20"/>
                <w:szCs w:val="20"/>
              </w:rPr>
            </w:pPr>
            <w:r>
              <w:rPr>
                <w:b/>
                <w:noProof/>
                <w:sz w:val="20"/>
              </w:rPr>
              <w:t>Intitulé</w:t>
            </w:r>
          </w:p>
        </w:tc>
        <w:tc>
          <w:tcPr>
            <w:tcW w:w="1701" w:type="dxa"/>
            <w:shd w:val="clear" w:color="auto" w:fill="D9D9D9"/>
            <w:vAlign w:val="center"/>
          </w:tcPr>
          <w:p>
            <w:pPr>
              <w:widowControl w:val="0"/>
              <w:spacing w:before="15" w:after="15"/>
              <w:jc w:val="center"/>
              <w:rPr>
                <w:b/>
                <w:noProof/>
                <w:sz w:val="20"/>
                <w:szCs w:val="20"/>
              </w:rPr>
            </w:pPr>
            <w:r>
              <w:rPr>
                <w:b/>
                <w:noProof/>
                <w:sz w:val="20"/>
              </w:rPr>
              <w:t>Crédits d'engagement</w:t>
            </w:r>
          </w:p>
        </w:tc>
        <w:tc>
          <w:tcPr>
            <w:tcW w:w="1701" w:type="dxa"/>
            <w:shd w:val="clear" w:color="auto" w:fill="D9D9D9"/>
            <w:vAlign w:val="center"/>
          </w:tcPr>
          <w:p>
            <w:pPr>
              <w:widowControl w:val="0"/>
              <w:spacing w:before="15" w:after="15"/>
              <w:jc w:val="center"/>
              <w:rPr>
                <w:b/>
                <w:noProof/>
                <w:sz w:val="20"/>
                <w:szCs w:val="20"/>
              </w:rPr>
            </w:pPr>
            <w:r>
              <w:rPr>
                <w:b/>
                <w:noProof/>
                <w:sz w:val="20"/>
              </w:rPr>
              <w:t>Crédits de paiement</w:t>
            </w:r>
          </w:p>
        </w:tc>
      </w:tr>
      <w:tr>
        <w:tc>
          <w:tcPr>
            <w:tcW w:w="1276" w:type="dxa"/>
          </w:tcPr>
          <w:p>
            <w:pPr>
              <w:widowControl w:val="0"/>
              <w:spacing w:before="15" w:after="15"/>
              <w:ind w:right="-113"/>
              <w:jc w:val="both"/>
              <w:rPr>
                <w:noProof/>
                <w:sz w:val="20"/>
                <w:szCs w:val="20"/>
              </w:rPr>
            </w:pPr>
            <w:r>
              <w:rPr>
                <w:noProof/>
                <w:sz w:val="20"/>
              </w:rPr>
              <w:t>17 04 07</w:t>
            </w:r>
          </w:p>
        </w:tc>
        <w:tc>
          <w:tcPr>
            <w:tcW w:w="4961" w:type="dxa"/>
          </w:tcPr>
          <w:p>
            <w:pPr>
              <w:widowControl w:val="0"/>
              <w:tabs>
                <w:tab w:val="left" w:pos="1350"/>
              </w:tabs>
              <w:spacing w:before="15" w:after="15"/>
              <w:jc w:val="both"/>
              <w:rPr>
                <w:noProof/>
                <w:sz w:val="16"/>
                <w:szCs w:val="16"/>
              </w:rPr>
            </w:pPr>
            <w:r>
              <w:rPr>
                <w:noProof/>
                <w:sz w:val="16"/>
              </w:rPr>
              <w:t>Agence européenne des produits chimiques — Activités dans le domaine de la législation relative aux biocides</w:t>
            </w:r>
          </w:p>
        </w:tc>
        <w:tc>
          <w:tcPr>
            <w:tcW w:w="1701" w:type="dxa"/>
          </w:tcPr>
          <w:p>
            <w:pPr>
              <w:widowControl w:val="0"/>
              <w:spacing w:before="15" w:after="15"/>
              <w:jc w:val="right"/>
              <w:rPr>
                <w:noProof/>
                <w:sz w:val="20"/>
                <w:szCs w:val="20"/>
                <w:highlight w:val="yellow"/>
              </w:rPr>
            </w:pPr>
            <w:r>
              <w:rPr>
                <w:noProof/>
                <w:sz w:val="20"/>
              </w:rPr>
              <w:t>-560 000</w:t>
            </w:r>
          </w:p>
        </w:tc>
        <w:tc>
          <w:tcPr>
            <w:tcW w:w="1701" w:type="dxa"/>
          </w:tcPr>
          <w:p>
            <w:pPr>
              <w:widowControl w:val="0"/>
              <w:spacing w:before="15" w:after="15"/>
              <w:jc w:val="right"/>
              <w:rPr>
                <w:noProof/>
                <w:sz w:val="20"/>
                <w:szCs w:val="20"/>
                <w:highlight w:val="yellow"/>
              </w:rPr>
            </w:pPr>
            <w:r>
              <w:rPr>
                <w:noProof/>
                <w:sz w:val="20"/>
              </w:rPr>
              <w:t>-560 000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701" w:type="dxa"/>
            <w:shd w:val="clear" w:color="auto" w:fill="D9D9D9"/>
          </w:tcPr>
          <w:p>
            <w:pPr>
              <w:widowControl w:val="0"/>
              <w:spacing w:before="15" w:after="15"/>
              <w:jc w:val="right"/>
              <w:rPr>
                <w:b/>
                <w:noProof/>
                <w:sz w:val="20"/>
                <w:szCs w:val="20"/>
              </w:rPr>
            </w:pPr>
            <w:r>
              <w:rPr>
                <w:b/>
                <w:noProof/>
                <w:sz w:val="20"/>
              </w:rPr>
              <w:t>-560 000</w:t>
            </w:r>
          </w:p>
        </w:tc>
        <w:tc>
          <w:tcPr>
            <w:tcW w:w="1701" w:type="dxa"/>
            <w:shd w:val="clear" w:color="auto" w:fill="D9D9D9"/>
          </w:tcPr>
          <w:p>
            <w:pPr>
              <w:widowControl w:val="0"/>
              <w:spacing w:before="15" w:after="15"/>
              <w:jc w:val="right"/>
              <w:rPr>
                <w:b/>
                <w:noProof/>
                <w:sz w:val="20"/>
                <w:szCs w:val="20"/>
              </w:rPr>
            </w:pPr>
            <w:r>
              <w:rPr>
                <w:b/>
                <w:noProof/>
                <w:sz w:val="20"/>
              </w:rPr>
              <w:t>-560 000</w:t>
            </w:r>
          </w:p>
        </w:tc>
      </w:tr>
    </w:tbl>
    <w:p>
      <w:pPr>
        <w:keepNext/>
        <w:tabs>
          <w:tab w:val="left" w:pos="850"/>
        </w:tabs>
        <w:spacing w:before="360" w:after="120"/>
        <w:ind w:left="850" w:hanging="850"/>
        <w:jc w:val="both"/>
        <w:outlineLvl w:val="1"/>
        <w:rPr>
          <w:rFonts w:eastAsia="Calibri"/>
          <w:b/>
          <w:noProof/>
        </w:rPr>
      </w:pPr>
      <w:bookmarkStart w:id="36" w:name="_Toc494994374"/>
      <w:bookmarkStart w:id="37" w:name="_Toc496196488"/>
      <w:r>
        <w:rPr>
          <w:b/>
          <w:noProof/>
        </w:rPr>
        <w:t>2.3</w:t>
      </w:r>
      <w:r>
        <w:rPr>
          <w:noProof/>
        </w:rPr>
        <w:tab/>
      </w:r>
      <w:r>
        <w:rPr>
          <w:b/>
          <w:noProof/>
        </w:rPr>
        <w:t>Rubrique 3 – Sécurité et citoyenneté</w:t>
      </w:r>
      <w:bookmarkEnd w:id="35"/>
      <w:bookmarkEnd w:id="36"/>
      <w:bookmarkEnd w:id="37"/>
    </w:p>
    <w:p>
      <w:pPr>
        <w:autoSpaceDE w:val="0"/>
        <w:autoSpaceDN w:val="0"/>
        <w:adjustRightInd w:val="0"/>
        <w:spacing w:before="120" w:after="120"/>
        <w:jc w:val="both"/>
        <w:rPr>
          <w:noProof/>
        </w:rPr>
      </w:pPr>
      <w:r>
        <w:rPr>
          <w:noProof/>
        </w:rPr>
        <w:t>Comme il avait déjà été signalé dans le PBR nº 5/2017</w:t>
      </w:r>
      <w:r>
        <w:rPr>
          <w:rStyle w:val="FootnoteReference"/>
          <w:noProof/>
        </w:rPr>
        <w:footnoteReference w:id="11"/>
      </w:r>
      <w:r>
        <w:rPr>
          <w:noProof/>
        </w:rPr>
        <w:t xml:space="preserve"> et le virement DEC 18/2017, des retards sont intervenus dans le lancement des programmes nationaux relevant du Fonds «Asile, migration et intégration» (AMIF) et du Fonds pour la sécurité intérieure (FSI) en raison de l’adoption tardive des bases légales et des délais requis pour la désignation des autorités nationales. Cependant, la mise en œuvre des programmes sur le terrain enregistre des progrès: le niveau moins élevé que prévu de la déclaration des paiements par les États membres ne reflète pas nécessairement les dépenses encourues par les bénéficiaires.</w:t>
      </w:r>
    </w:p>
    <w:p>
      <w:pPr>
        <w:autoSpaceDE w:val="0"/>
        <w:autoSpaceDN w:val="0"/>
        <w:adjustRightInd w:val="0"/>
        <w:spacing w:before="120" w:after="120"/>
        <w:jc w:val="both"/>
        <w:rPr>
          <w:noProof/>
        </w:rPr>
      </w:pPr>
      <w:r>
        <w:rPr>
          <w:noProof/>
        </w:rPr>
        <w:t xml:space="preserve">En outre, tant pour l’AMIF que pour le FSI, la Commission a été en mesure de procéder, à la fin de 2016, à des paiements de clôture substantiels se rapportant aux programmes précédents de la période 2007-2013. Ces paiements ayant eu pour effet de diminuer le solde restant à payer en 2017, les crédits de paiement correspondants peuvent être réduits en conséquence. </w:t>
      </w:r>
    </w:p>
    <w:p>
      <w:pPr>
        <w:tabs>
          <w:tab w:val="left" w:pos="851"/>
        </w:tabs>
        <w:spacing w:before="240"/>
        <w:rPr>
          <w:bCs/>
          <w:i/>
          <w:noProof/>
        </w:rPr>
      </w:pPr>
      <w:r>
        <w:rPr>
          <w:i/>
          <w:noProof/>
        </w:rPr>
        <w:t xml:space="preserve">2.3.1 </w:t>
      </w:r>
      <w:r>
        <w:rPr>
          <w:noProof/>
        </w:rPr>
        <w:tab/>
      </w:r>
      <w:r>
        <w:rPr>
          <w:i/>
          <w:noProof/>
        </w:rPr>
        <w:t xml:space="preserve">Fonds «Asile, migration et intégration» (AMIF) </w:t>
      </w:r>
    </w:p>
    <w:p>
      <w:pPr>
        <w:spacing w:before="120" w:after="240"/>
        <w:jc w:val="both"/>
        <w:rPr>
          <w:noProof/>
        </w:rPr>
      </w:pPr>
      <w:r>
        <w:rPr>
          <w:noProof/>
        </w:rPr>
        <w:t>Outre les motifs précités, la réduction proposée des crédits de paiement tient compte du fait que la mise en œuvre des deux programmes de relocalisation au titre de l’AMIF a été plus lente qu’initialement prévu, d’où une déclaration de dépenses moins élevée dans les comptes annuels des États membres.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559"/>
      </w:tblGrid>
      <w:tr>
        <w:trPr>
          <w:tblHeader/>
        </w:trPr>
        <w:tc>
          <w:tcPr>
            <w:tcW w:w="1276" w:type="dxa"/>
            <w:shd w:val="clear" w:color="auto" w:fill="D9D9D9"/>
            <w:vAlign w:val="center"/>
          </w:tcPr>
          <w:p>
            <w:pPr>
              <w:widowControl w:val="0"/>
              <w:spacing w:before="15" w:after="15"/>
              <w:jc w:val="center"/>
              <w:rPr>
                <w:b/>
                <w:noProof/>
                <w:sz w:val="20"/>
                <w:szCs w:val="20"/>
              </w:rPr>
            </w:pPr>
            <w:r>
              <w:rPr>
                <w:b/>
                <w:noProof/>
                <w:sz w:val="20"/>
              </w:rPr>
              <w:t>Ligne budgétaire</w:t>
            </w:r>
          </w:p>
        </w:tc>
        <w:tc>
          <w:tcPr>
            <w:tcW w:w="6521" w:type="dxa"/>
            <w:shd w:val="clear" w:color="auto" w:fill="D9D9D9"/>
            <w:vAlign w:val="center"/>
          </w:tcPr>
          <w:p>
            <w:pPr>
              <w:widowControl w:val="0"/>
              <w:spacing w:before="15" w:after="15"/>
              <w:jc w:val="center"/>
              <w:rPr>
                <w:b/>
                <w:noProof/>
                <w:sz w:val="20"/>
                <w:szCs w:val="20"/>
              </w:rPr>
            </w:pPr>
            <w:r>
              <w:rPr>
                <w:b/>
                <w:noProof/>
                <w:sz w:val="20"/>
              </w:rPr>
              <w:t>Intitulé</w:t>
            </w:r>
          </w:p>
        </w:tc>
        <w:tc>
          <w:tcPr>
            <w:tcW w:w="1559" w:type="dxa"/>
            <w:shd w:val="clear" w:color="auto" w:fill="D9D9D9"/>
          </w:tcPr>
          <w:p>
            <w:pPr>
              <w:widowControl w:val="0"/>
              <w:spacing w:before="15" w:after="15"/>
              <w:jc w:val="center"/>
              <w:rPr>
                <w:b/>
                <w:noProof/>
                <w:sz w:val="20"/>
                <w:szCs w:val="20"/>
              </w:rPr>
            </w:pPr>
            <w:r>
              <w:rPr>
                <w:b/>
                <w:noProof/>
                <w:sz w:val="20"/>
              </w:rPr>
              <w:t>Crédits de paiement</w:t>
            </w:r>
          </w:p>
        </w:tc>
      </w:tr>
      <w:tr>
        <w:tc>
          <w:tcPr>
            <w:tcW w:w="1276" w:type="dxa"/>
            <w:vAlign w:val="center"/>
          </w:tcPr>
          <w:p>
            <w:pPr>
              <w:widowControl w:val="0"/>
              <w:spacing w:before="15" w:after="15"/>
              <w:ind w:right="-113"/>
              <w:jc w:val="both"/>
              <w:rPr>
                <w:noProof/>
                <w:sz w:val="20"/>
                <w:szCs w:val="20"/>
              </w:rPr>
            </w:pPr>
            <w:r>
              <w:rPr>
                <w:noProof/>
                <w:sz w:val="20"/>
              </w:rPr>
              <w:t>18 03 01 01</w:t>
            </w:r>
          </w:p>
        </w:tc>
        <w:tc>
          <w:tcPr>
            <w:tcW w:w="6521" w:type="dxa"/>
            <w:vAlign w:val="center"/>
          </w:tcPr>
          <w:p>
            <w:pPr>
              <w:widowControl w:val="0"/>
              <w:tabs>
                <w:tab w:val="left" w:pos="1350"/>
              </w:tabs>
              <w:spacing w:before="15" w:after="15"/>
              <w:jc w:val="both"/>
              <w:rPr>
                <w:noProof/>
                <w:sz w:val="16"/>
                <w:szCs w:val="16"/>
              </w:rPr>
            </w:pPr>
            <w:r>
              <w:rPr>
                <w:noProof/>
                <w:sz w:val="16"/>
              </w:rPr>
              <w:t>Renforcer et développer le régime d’asile européen commun et approfondir la solidarité et le partage des responsabilités entre les États membres</w:t>
            </w:r>
          </w:p>
        </w:tc>
        <w:tc>
          <w:tcPr>
            <w:tcW w:w="1559" w:type="dxa"/>
            <w:vAlign w:val="center"/>
          </w:tcPr>
          <w:p>
            <w:pPr>
              <w:widowControl w:val="0"/>
              <w:spacing w:before="15" w:after="15"/>
              <w:jc w:val="right"/>
              <w:rPr>
                <w:noProof/>
                <w:sz w:val="20"/>
                <w:szCs w:val="20"/>
              </w:rPr>
            </w:pPr>
            <w:r>
              <w:rPr>
                <w:noProof/>
                <w:sz w:val="20"/>
              </w:rPr>
              <w:t>-118 000 000</w:t>
            </w:r>
          </w:p>
        </w:tc>
      </w:tr>
      <w:tr>
        <w:tc>
          <w:tcPr>
            <w:tcW w:w="1276" w:type="dxa"/>
            <w:vAlign w:val="center"/>
          </w:tcPr>
          <w:p>
            <w:pPr>
              <w:widowControl w:val="0"/>
              <w:spacing w:before="15" w:after="15"/>
              <w:ind w:right="-113"/>
              <w:jc w:val="both"/>
              <w:rPr>
                <w:noProof/>
                <w:sz w:val="20"/>
                <w:szCs w:val="20"/>
              </w:rPr>
            </w:pPr>
            <w:r>
              <w:rPr>
                <w:noProof/>
                <w:sz w:val="20"/>
              </w:rPr>
              <w:t>18 03 01 02</w:t>
            </w:r>
          </w:p>
        </w:tc>
        <w:tc>
          <w:tcPr>
            <w:tcW w:w="6521" w:type="dxa"/>
            <w:vAlign w:val="center"/>
          </w:tcPr>
          <w:p>
            <w:pPr>
              <w:widowControl w:val="0"/>
              <w:tabs>
                <w:tab w:val="left" w:pos="1350"/>
              </w:tabs>
              <w:spacing w:before="15" w:after="15"/>
              <w:jc w:val="both"/>
              <w:rPr>
                <w:noProof/>
                <w:sz w:val="16"/>
                <w:szCs w:val="16"/>
              </w:rPr>
            </w:pPr>
            <w:r>
              <w:rPr>
                <w:noProof/>
                <w:sz w:val="16"/>
              </w:rPr>
              <w:t>Favoriser la migration légale vers l’Union et promouvoir l’intégration effective des ressortissants de pays tiers, et promouvoir des stratégies de retour équitables et efficaces</w:t>
            </w:r>
          </w:p>
        </w:tc>
        <w:tc>
          <w:tcPr>
            <w:tcW w:w="1559" w:type="dxa"/>
            <w:vAlign w:val="center"/>
          </w:tcPr>
          <w:p>
            <w:pPr>
              <w:widowControl w:val="0"/>
              <w:spacing w:before="15" w:after="15"/>
              <w:jc w:val="right"/>
              <w:rPr>
                <w:noProof/>
                <w:sz w:val="20"/>
                <w:szCs w:val="20"/>
              </w:rPr>
            </w:pPr>
            <w:r>
              <w:rPr>
                <w:noProof/>
                <w:sz w:val="20"/>
              </w:rPr>
              <w:t>-8 000 000</w:t>
            </w:r>
          </w:p>
        </w:tc>
      </w:tr>
      <w:tr>
        <w:tc>
          <w:tcPr>
            <w:tcW w:w="1276" w:type="dxa"/>
            <w:vAlign w:val="center"/>
          </w:tcPr>
          <w:p>
            <w:pPr>
              <w:widowControl w:val="0"/>
              <w:spacing w:before="15" w:after="15"/>
              <w:ind w:right="-113"/>
              <w:jc w:val="both"/>
              <w:rPr>
                <w:noProof/>
                <w:sz w:val="20"/>
                <w:szCs w:val="20"/>
              </w:rPr>
            </w:pPr>
            <w:r>
              <w:rPr>
                <w:noProof/>
                <w:sz w:val="20"/>
              </w:rPr>
              <w:t>18 03 51</w:t>
            </w:r>
          </w:p>
        </w:tc>
        <w:tc>
          <w:tcPr>
            <w:tcW w:w="6521" w:type="dxa"/>
            <w:vAlign w:val="center"/>
          </w:tcPr>
          <w:p>
            <w:pPr>
              <w:widowControl w:val="0"/>
              <w:tabs>
                <w:tab w:val="left" w:pos="1350"/>
              </w:tabs>
              <w:spacing w:before="15" w:after="15"/>
              <w:jc w:val="both"/>
              <w:rPr>
                <w:noProof/>
                <w:sz w:val="16"/>
                <w:szCs w:val="16"/>
              </w:rPr>
            </w:pPr>
            <w:r>
              <w:rPr>
                <w:noProof/>
                <w:sz w:val="16"/>
              </w:rPr>
              <w:t>Achèvement des opérations et des programmes dans le domaine des mesures en matière de retour, de réfugiés et de flux migratoires</w:t>
            </w:r>
          </w:p>
        </w:tc>
        <w:tc>
          <w:tcPr>
            <w:tcW w:w="1559" w:type="dxa"/>
            <w:vAlign w:val="center"/>
          </w:tcPr>
          <w:p>
            <w:pPr>
              <w:widowControl w:val="0"/>
              <w:spacing w:before="15" w:after="15"/>
              <w:jc w:val="right"/>
              <w:rPr>
                <w:noProof/>
                <w:sz w:val="20"/>
                <w:szCs w:val="20"/>
              </w:rPr>
            </w:pPr>
            <w:r>
              <w:rPr>
                <w:noProof/>
                <w:sz w:val="20"/>
              </w:rPr>
              <w:t>-31 500 000</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559" w:type="dxa"/>
            <w:shd w:val="clear" w:color="auto" w:fill="D9D9D9"/>
          </w:tcPr>
          <w:p>
            <w:pPr>
              <w:widowControl w:val="0"/>
              <w:spacing w:before="15" w:after="15"/>
              <w:jc w:val="right"/>
              <w:rPr>
                <w:b/>
                <w:noProof/>
                <w:sz w:val="20"/>
                <w:szCs w:val="20"/>
              </w:rPr>
            </w:pPr>
            <w:r>
              <w:rPr>
                <w:b/>
                <w:noProof/>
                <w:sz w:val="20"/>
              </w:rPr>
              <w:t>-157 500 000</w:t>
            </w:r>
          </w:p>
        </w:tc>
      </w:tr>
    </w:tbl>
    <w:p>
      <w:pPr>
        <w:tabs>
          <w:tab w:val="left" w:pos="851"/>
        </w:tabs>
        <w:spacing w:before="240"/>
        <w:rPr>
          <w:bCs/>
          <w:i/>
          <w:noProof/>
        </w:rPr>
      </w:pPr>
      <w:bookmarkStart w:id="38" w:name="_Toc462410054"/>
      <w:r>
        <w:rPr>
          <w:i/>
          <w:noProof/>
        </w:rPr>
        <w:t xml:space="preserve">2.3.2 </w:t>
      </w:r>
      <w:r>
        <w:rPr>
          <w:noProof/>
        </w:rPr>
        <w:tab/>
      </w:r>
      <w:r>
        <w:rPr>
          <w:i/>
          <w:noProof/>
        </w:rPr>
        <w:t>Fonds pour la sécurité intérieure (FSI)</w:t>
      </w:r>
    </w:p>
    <w:p>
      <w:pPr>
        <w:autoSpaceDE w:val="0"/>
        <w:autoSpaceDN w:val="0"/>
        <w:adjustRightInd w:val="0"/>
        <w:spacing w:before="120" w:after="240"/>
        <w:jc w:val="both"/>
        <w:rPr>
          <w:noProof/>
        </w:rPr>
      </w:pPr>
      <w:r>
        <w:rPr>
          <w:noProof/>
        </w:rPr>
        <w:t>La réduction des crédits de paiement en faveur du FSI découle du retard enregistré dans la mise en œuvre des programmes nationaux (comme expliqué plus haut), ainsi que de l’adoption tardive du nouveau système d’entrée/sortie. Le règlement portant création du système d’entrée/sortie devrait entrer en vigueur en novembre 2017, à la suite de l’accord politique dégagé en juillet. En conséquence, la Commission a l’intention de reporter les crédits d’engagement (40 millions d’EUR) qui sont actuellement en réserve, conformément à l’article 13, paragraphe 2, point b), du règlement financier. Il est proposé de libérer les crédits de paiement correspondants.</w:t>
      </w:r>
    </w:p>
    <w:p>
      <w:pPr>
        <w:rPr>
          <w:noProof/>
        </w:rPr>
      </w:pPr>
      <w:r>
        <w:rPr>
          <w:noProof/>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701"/>
      </w:tblGrid>
      <w:tr>
        <w:tc>
          <w:tcPr>
            <w:tcW w:w="1276" w:type="dxa"/>
            <w:shd w:val="clear" w:color="auto" w:fill="D9D9D9"/>
            <w:vAlign w:val="center"/>
          </w:tcPr>
          <w:p>
            <w:pPr>
              <w:widowControl w:val="0"/>
              <w:spacing w:before="15" w:after="15"/>
              <w:jc w:val="center"/>
              <w:rPr>
                <w:b/>
                <w:noProof/>
                <w:sz w:val="20"/>
                <w:szCs w:val="20"/>
              </w:rPr>
            </w:pPr>
            <w:r>
              <w:rPr>
                <w:b/>
                <w:noProof/>
                <w:sz w:val="20"/>
              </w:rPr>
              <w:t>Ligne budgétaire</w:t>
            </w:r>
          </w:p>
        </w:tc>
        <w:tc>
          <w:tcPr>
            <w:tcW w:w="6521" w:type="dxa"/>
            <w:shd w:val="clear" w:color="auto" w:fill="D9D9D9"/>
            <w:vAlign w:val="center"/>
          </w:tcPr>
          <w:p>
            <w:pPr>
              <w:widowControl w:val="0"/>
              <w:spacing w:before="15" w:after="15"/>
              <w:jc w:val="center"/>
              <w:rPr>
                <w:b/>
                <w:noProof/>
                <w:sz w:val="20"/>
                <w:szCs w:val="20"/>
              </w:rPr>
            </w:pPr>
            <w:r>
              <w:rPr>
                <w:b/>
                <w:noProof/>
                <w:sz w:val="20"/>
              </w:rPr>
              <w:t>Intitulé</w:t>
            </w:r>
          </w:p>
        </w:tc>
        <w:tc>
          <w:tcPr>
            <w:tcW w:w="1701" w:type="dxa"/>
            <w:shd w:val="clear" w:color="auto" w:fill="D9D9D9"/>
            <w:vAlign w:val="center"/>
          </w:tcPr>
          <w:p>
            <w:pPr>
              <w:widowControl w:val="0"/>
              <w:spacing w:before="15" w:after="15"/>
              <w:jc w:val="center"/>
              <w:rPr>
                <w:b/>
                <w:noProof/>
                <w:sz w:val="20"/>
                <w:szCs w:val="20"/>
              </w:rPr>
            </w:pPr>
            <w:r>
              <w:rPr>
                <w:b/>
                <w:noProof/>
                <w:sz w:val="20"/>
              </w:rPr>
              <w:t>Crédits de paiement</w:t>
            </w:r>
          </w:p>
        </w:tc>
      </w:tr>
      <w:tr>
        <w:tc>
          <w:tcPr>
            <w:tcW w:w="1276" w:type="dxa"/>
            <w:vAlign w:val="center"/>
          </w:tcPr>
          <w:p>
            <w:pPr>
              <w:widowControl w:val="0"/>
              <w:spacing w:before="15" w:after="15"/>
              <w:ind w:right="-113"/>
              <w:jc w:val="both"/>
              <w:rPr>
                <w:noProof/>
                <w:sz w:val="20"/>
                <w:szCs w:val="20"/>
              </w:rPr>
            </w:pPr>
            <w:r>
              <w:rPr>
                <w:noProof/>
                <w:sz w:val="20"/>
              </w:rPr>
              <w:t>18 02 01 01</w:t>
            </w:r>
          </w:p>
        </w:tc>
        <w:tc>
          <w:tcPr>
            <w:tcW w:w="6521" w:type="dxa"/>
            <w:vAlign w:val="center"/>
          </w:tcPr>
          <w:p>
            <w:pPr>
              <w:rPr>
                <w:noProof/>
              </w:rPr>
            </w:pPr>
            <w:r>
              <w:rPr>
                <w:noProof/>
                <w:sz w:val="16"/>
              </w:rPr>
              <w:t>Appuyer la gestion des frontières et soutenir une politique commune des visas pour faciliter les voyages effectués de façon légitime</w:t>
            </w:r>
          </w:p>
        </w:tc>
        <w:tc>
          <w:tcPr>
            <w:tcW w:w="1701" w:type="dxa"/>
            <w:vAlign w:val="center"/>
          </w:tcPr>
          <w:p>
            <w:pPr>
              <w:widowControl w:val="0"/>
              <w:spacing w:before="15" w:after="15"/>
              <w:jc w:val="right"/>
              <w:rPr>
                <w:noProof/>
                <w:sz w:val="20"/>
                <w:szCs w:val="20"/>
              </w:rPr>
            </w:pPr>
            <w:r>
              <w:rPr>
                <w:noProof/>
                <w:sz w:val="20"/>
              </w:rPr>
              <w:t>-84 000 000</w:t>
            </w:r>
          </w:p>
        </w:tc>
      </w:tr>
      <w:tr>
        <w:tc>
          <w:tcPr>
            <w:tcW w:w="1276" w:type="dxa"/>
            <w:vAlign w:val="center"/>
          </w:tcPr>
          <w:p>
            <w:pPr>
              <w:widowControl w:val="0"/>
              <w:spacing w:before="15" w:after="15"/>
              <w:ind w:right="-113"/>
              <w:jc w:val="both"/>
              <w:rPr>
                <w:noProof/>
                <w:sz w:val="20"/>
                <w:szCs w:val="20"/>
              </w:rPr>
            </w:pPr>
            <w:r>
              <w:rPr>
                <w:noProof/>
                <w:sz w:val="20"/>
              </w:rPr>
              <w:t>18 02 01 02</w:t>
            </w:r>
          </w:p>
        </w:tc>
        <w:tc>
          <w:tcPr>
            <w:tcW w:w="6521" w:type="dxa"/>
            <w:vAlign w:val="center"/>
          </w:tcPr>
          <w:p>
            <w:pPr>
              <w:rPr>
                <w:noProof/>
              </w:rPr>
            </w:pPr>
            <w:r>
              <w:rPr>
                <w:noProof/>
                <w:sz w:val="16"/>
              </w:rPr>
              <w:t>Prévenir et combattre la criminalité organisée transfrontière et gérer plus efficacement les risques sécuritaires et les crises</w:t>
            </w:r>
          </w:p>
        </w:tc>
        <w:tc>
          <w:tcPr>
            <w:tcW w:w="1701" w:type="dxa"/>
            <w:vAlign w:val="center"/>
          </w:tcPr>
          <w:p>
            <w:pPr>
              <w:widowControl w:val="0"/>
              <w:spacing w:before="15" w:after="15"/>
              <w:jc w:val="right"/>
              <w:rPr>
                <w:noProof/>
                <w:sz w:val="20"/>
                <w:szCs w:val="20"/>
              </w:rPr>
            </w:pPr>
            <w:r>
              <w:rPr>
                <w:noProof/>
                <w:sz w:val="20"/>
              </w:rPr>
              <w:t>-8 700 000</w:t>
            </w:r>
          </w:p>
        </w:tc>
      </w:tr>
      <w:tr>
        <w:tc>
          <w:tcPr>
            <w:tcW w:w="1276" w:type="dxa"/>
            <w:vAlign w:val="center"/>
          </w:tcPr>
          <w:p>
            <w:pPr>
              <w:widowControl w:val="0"/>
              <w:spacing w:before="15" w:after="15"/>
              <w:ind w:right="-113"/>
              <w:jc w:val="both"/>
              <w:rPr>
                <w:noProof/>
                <w:sz w:val="20"/>
                <w:szCs w:val="20"/>
              </w:rPr>
            </w:pPr>
            <w:r>
              <w:rPr>
                <w:noProof/>
                <w:sz w:val="20"/>
              </w:rPr>
              <w:t>18 02 51</w:t>
            </w:r>
          </w:p>
        </w:tc>
        <w:tc>
          <w:tcPr>
            <w:tcW w:w="6521" w:type="dxa"/>
            <w:vAlign w:val="center"/>
          </w:tcPr>
          <w:p>
            <w:pPr>
              <w:rPr>
                <w:noProof/>
              </w:rPr>
            </w:pPr>
            <w:r>
              <w:rPr>
                <w:noProof/>
                <w:sz w:val="16"/>
              </w:rPr>
              <w:t>Achèvement des opérations et programmes dans le domaine des frontières extérieures, de la sécurité et de la protection des libertés</w:t>
            </w:r>
          </w:p>
        </w:tc>
        <w:tc>
          <w:tcPr>
            <w:tcW w:w="1701" w:type="dxa"/>
            <w:vAlign w:val="center"/>
          </w:tcPr>
          <w:p>
            <w:pPr>
              <w:widowControl w:val="0"/>
              <w:spacing w:before="15" w:after="15"/>
              <w:jc w:val="right"/>
              <w:rPr>
                <w:noProof/>
                <w:sz w:val="20"/>
                <w:szCs w:val="20"/>
              </w:rPr>
            </w:pPr>
            <w:r>
              <w:rPr>
                <w:noProof/>
                <w:sz w:val="20"/>
              </w:rPr>
              <w:t>-9 450 000</w:t>
            </w:r>
          </w:p>
        </w:tc>
      </w:tr>
      <w:tr>
        <w:tc>
          <w:tcPr>
            <w:tcW w:w="1276" w:type="dxa"/>
            <w:vAlign w:val="center"/>
          </w:tcPr>
          <w:p>
            <w:pPr>
              <w:widowControl w:val="0"/>
              <w:spacing w:before="15" w:after="15"/>
              <w:ind w:right="-113"/>
              <w:jc w:val="both"/>
              <w:rPr>
                <w:noProof/>
                <w:sz w:val="20"/>
                <w:szCs w:val="20"/>
              </w:rPr>
            </w:pPr>
            <w:r>
              <w:rPr>
                <w:noProof/>
                <w:sz w:val="20"/>
              </w:rPr>
              <w:t>40 02 41</w:t>
            </w:r>
          </w:p>
        </w:tc>
        <w:tc>
          <w:tcPr>
            <w:tcW w:w="6521" w:type="dxa"/>
            <w:vAlign w:val="center"/>
          </w:tcPr>
          <w:p>
            <w:pPr>
              <w:rPr>
                <w:noProof/>
              </w:rPr>
            </w:pPr>
            <w:r>
              <w:rPr>
                <w:noProof/>
                <w:sz w:val="16"/>
              </w:rPr>
              <w:t>Crédits dissociés (</w:t>
            </w:r>
            <w:r>
              <w:rPr>
                <w:i/>
                <w:noProof/>
                <w:sz w:val="16"/>
              </w:rPr>
              <w:t>Réserve pour le poste 18 02 01 03 – Création d’un système d’entrée/sortie (EES) pour l’enregistrement des données relatives aux entrées et aux sorties des ressortissants de pays tiers qui franchissent les frontières extérieures des États membres de l’Union européenne ainsi qu’aux refus d’entrée les concernant</w:t>
            </w:r>
            <w:r>
              <w:rPr>
                <w:noProof/>
                <w:sz w:val="16"/>
              </w:rPr>
              <w:t>)</w:t>
            </w:r>
          </w:p>
        </w:tc>
        <w:tc>
          <w:tcPr>
            <w:tcW w:w="1701" w:type="dxa"/>
            <w:vAlign w:val="center"/>
          </w:tcPr>
          <w:p>
            <w:pPr>
              <w:widowControl w:val="0"/>
              <w:spacing w:before="15" w:after="15"/>
              <w:jc w:val="right"/>
              <w:rPr>
                <w:noProof/>
                <w:sz w:val="20"/>
                <w:szCs w:val="20"/>
                <w:highlight w:val="yellow"/>
              </w:rPr>
            </w:pPr>
            <w:r>
              <w:rPr>
                <w:noProof/>
                <w:sz w:val="20"/>
              </w:rPr>
              <w:t>-28 000 000</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701" w:type="dxa"/>
            <w:shd w:val="clear" w:color="auto" w:fill="D9D9D9"/>
          </w:tcPr>
          <w:p>
            <w:pPr>
              <w:widowControl w:val="0"/>
              <w:spacing w:before="15" w:after="15"/>
              <w:jc w:val="right"/>
              <w:rPr>
                <w:b/>
                <w:noProof/>
                <w:sz w:val="20"/>
                <w:szCs w:val="20"/>
              </w:rPr>
            </w:pPr>
            <w:r>
              <w:rPr>
                <w:b/>
                <w:noProof/>
                <w:sz w:val="20"/>
              </w:rPr>
              <w:t>-130 150 000</w:t>
            </w:r>
          </w:p>
        </w:tc>
      </w:tr>
    </w:tbl>
    <w:p>
      <w:pPr>
        <w:keepNext/>
        <w:tabs>
          <w:tab w:val="left" w:pos="850"/>
        </w:tabs>
        <w:spacing w:before="360" w:after="120"/>
        <w:ind w:left="850" w:hanging="850"/>
        <w:jc w:val="both"/>
        <w:outlineLvl w:val="1"/>
        <w:rPr>
          <w:rFonts w:eastAsia="Calibri"/>
          <w:b/>
          <w:noProof/>
        </w:rPr>
      </w:pPr>
      <w:bookmarkStart w:id="39" w:name="_Toc494994375"/>
      <w:bookmarkStart w:id="40" w:name="_Toc496196489"/>
      <w:r>
        <w:rPr>
          <w:b/>
          <w:noProof/>
        </w:rPr>
        <w:t>2.4</w:t>
      </w:r>
      <w:r>
        <w:rPr>
          <w:noProof/>
        </w:rPr>
        <w:tab/>
      </w:r>
      <w:bookmarkEnd w:id="38"/>
      <w:r>
        <w:rPr>
          <w:b/>
          <w:noProof/>
        </w:rPr>
        <w:t>Rubrique 4 – L'Europe dans le monde</w:t>
      </w:r>
      <w:bookmarkEnd w:id="39"/>
      <w:bookmarkEnd w:id="40"/>
    </w:p>
    <w:bookmarkEnd w:id="24"/>
    <w:bookmarkEnd w:id="25"/>
    <w:p>
      <w:pPr>
        <w:tabs>
          <w:tab w:val="left" w:pos="851"/>
        </w:tabs>
        <w:spacing w:before="240"/>
        <w:rPr>
          <w:bCs/>
          <w:i/>
          <w:noProof/>
        </w:rPr>
      </w:pPr>
      <w:r>
        <w:rPr>
          <w:i/>
          <w:noProof/>
        </w:rPr>
        <w:t xml:space="preserve">2.4.1 </w:t>
      </w:r>
      <w:r>
        <w:rPr>
          <w:noProof/>
        </w:rPr>
        <w:tab/>
      </w:r>
      <w:r>
        <w:rPr>
          <w:i/>
          <w:noProof/>
        </w:rPr>
        <w:t>Instrument d’aide de préadhésion (IAP II)</w:t>
      </w:r>
    </w:p>
    <w:p>
      <w:pPr>
        <w:autoSpaceDE w:val="0"/>
        <w:autoSpaceDN w:val="0"/>
        <w:adjustRightInd w:val="0"/>
        <w:spacing w:before="120" w:after="120"/>
        <w:jc w:val="both"/>
        <w:rPr>
          <w:noProof/>
        </w:rPr>
      </w:pPr>
      <w:r>
        <w:rPr>
          <w:noProof/>
        </w:rPr>
        <w:t>Il est proposé de réduire d’un montant total de 268,1 millions d’EUR les crédits de paiement recensés sur plusieurs lignes IAP. Sur ce montant, environ 113 millions d’EUR sont le résultat de la baisse des besoins en crédits de paiement pour la facilité en faveur des réfugiés en Turquie, qui découle de la complexité des négociations sur certains grands projets d’infrastructure et des délais contractuels qui s’ensuivent. L’excédent restant dans le titre 22 est dû aux retards survenus dans la conclusion ou la mise en œuvre de contrats dans les Balkans occidentaux et en Turquie.</w:t>
      </w:r>
    </w:p>
    <w:p>
      <w:pPr>
        <w:autoSpaceDE w:val="0"/>
        <w:autoSpaceDN w:val="0"/>
        <w:adjustRightInd w:val="0"/>
        <w:spacing w:before="120" w:after="240"/>
        <w:jc w:val="both"/>
        <w:rPr>
          <w:noProof/>
        </w:rPr>
      </w:pPr>
      <w:r>
        <w:rPr>
          <w:noProof/>
        </w:rPr>
        <w:t>En outre, les crédits de paiement sont supérieurs aux besoins révisés relatifs aux actions de coopération transfrontalière relevant du titre 13, essentiellement en raison de la forte baisse dont font état les prévisions actualisées présentées par les pays concernés par rapport aux prévisions qui étaient à la base du budget 2017.</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701"/>
      </w:tblGrid>
      <w:tr>
        <w:trPr>
          <w:tblHeader/>
        </w:trPr>
        <w:tc>
          <w:tcPr>
            <w:tcW w:w="1276" w:type="dxa"/>
            <w:shd w:val="clear" w:color="auto" w:fill="D9D9D9"/>
            <w:vAlign w:val="center"/>
          </w:tcPr>
          <w:p>
            <w:pPr>
              <w:widowControl w:val="0"/>
              <w:spacing w:before="15" w:after="15"/>
              <w:jc w:val="center"/>
              <w:rPr>
                <w:b/>
                <w:noProof/>
                <w:sz w:val="20"/>
                <w:szCs w:val="20"/>
              </w:rPr>
            </w:pPr>
            <w:r>
              <w:rPr>
                <w:b/>
                <w:noProof/>
                <w:sz w:val="20"/>
              </w:rPr>
              <w:t>Ligne budgétaire</w:t>
            </w:r>
          </w:p>
        </w:tc>
        <w:tc>
          <w:tcPr>
            <w:tcW w:w="6521" w:type="dxa"/>
            <w:shd w:val="clear" w:color="auto" w:fill="D9D9D9"/>
            <w:vAlign w:val="center"/>
          </w:tcPr>
          <w:p>
            <w:pPr>
              <w:widowControl w:val="0"/>
              <w:spacing w:before="15" w:after="15"/>
              <w:jc w:val="center"/>
              <w:rPr>
                <w:b/>
                <w:noProof/>
                <w:sz w:val="20"/>
                <w:szCs w:val="20"/>
              </w:rPr>
            </w:pPr>
            <w:r>
              <w:rPr>
                <w:b/>
                <w:noProof/>
                <w:sz w:val="20"/>
              </w:rPr>
              <w:t>Intitulé</w:t>
            </w:r>
          </w:p>
        </w:tc>
        <w:tc>
          <w:tcPr>
            <w:tcW w:w="1701" w:type="dxa"/>
            <w:shd w:val="clear" w:color="auto" w:fill="D9D9D9"/>
            <w:vAlign w:val="center"/>
          </w:tcPr>
          <w:p>
            <w:pPr>
              <w:widowControl w:val="0"/>
              <w:spacing w:before="15" w:after="15"/>
              <w:jc w:val="center"/>
              <w:rPr>
                <w:b/>
                <w:noProof/>
                <w:sz w:val="20"/>
                <w:szCs w:val="20"/>
              </w:rPr>
            </w:pPr>
            <w:r>
              <w:rPr>
                <w:b/>
                <w:noProof/>
                <w:sz w:val="20"/>
              </w:rPr>
              <w:t>Crédits de paiement</w:t>
            </w:r>
          </w:p>
        </w:tc>
      </w:tr>
      <w:tr>
        <w:tc>
          <w:tcPr>
            <w:tcW w:w="1276" w:type="dxa"/>
            <w:vAlign w:val="center"/>
          </w:tcPr>
          <w:p>
            <w:pPr>
              <w:widowControl w:val="0"/>
              <w:spacing w:before="15" w:after="15"/>
              <w:ind w:right="-113"/>
              <w:jc w:val="both"/>
              <w:rPr>
                <w:noProof/>
                <w:sz w:val="20"/>
                <w:szCs w:val="20"/>
              </w:rPr>
            </w:pPr>
            <w:r>
              <w:rPr>
                <w:noProof/>
                <w:sz w:val="20"/>
              </w:rPr>
              <w:t>13 05 02</w:t>
            </w:r>
          </w:p>
        </w:tc>
        <w:tc>
          <w:tcPr>
            <w:tcW w:w="6521" w:type="dxa"/>
            <w:vAlign w:val="center"/>
          </w:tcPr>
          <w:p>
            <w:pPr>
              <w:rPr>
                <w:bCs/>
                <w:iCs/>
                <w:noProof/>
                <w:sz w:val="16"/>
                <w:szCs w:val="16"/>
              </w:rPr>
            </w:pPr>
            <w:r>
              <w:rPr>
                <w:noProof/>
                <w:sz w:val="16"/>
              </w:rPr>
              <w:t>Instrument d’aide de préadhésion (IAP) — Achèvement de la composante du développement régional (2007-2013)</w:t>
            </w:r>
          </w:p>
        </w:tc>
        <w:tc>
          <w:tcPr>
            <w:tcW w:w="1701" w:type="dxa"/>
            <w:vAlign w:val="center"/>
          </w:tcPr>
          <w:p>
            <w:pPr>
              <w:widowControl w:val="0"/>
              <w:spacing w:before="15" w:after="15"/>
              <w:jc w:val="right"/>
              <w:rPr>
                <w:noProof/>
                <w:sz w:val="20"/>
                <w:szCs w:val="20"/>
              </w:rPr>
            </w:pPr>
            <w:r>
              <w:rPr>
                <w:noProof/>
                <w:sz w:val="20"/>
              </w:rPr>
              <w:t>-9 473 967</w:t>
            </w:r>
          </w:p>
        </w:tc>
      </w:tr>
      <w:tr>
        <w:tc>
          <w:tcPr>
            <w:tcW w:w="1276" w:type="dxa"/>
            <w:vAlign w:val="center"/>
          </w:tcPr>
          <w:p>
            <w:pPr>
              <w:widowControl w:val="0"/>
              <w:spacing w:before="15" w:after="15"/>
              <w:ind w:right="-113"/>
              <w:jc w:val="both"/>
              <w:rPr>
                <w:noProof/>
                <w:sz w:val="20"/>
                <w:szCs w:val="20"/>
              </w:rPr>
            </w:pPr>
            <w:r>
              <w:rPr>
                <w:noProof/>
                <w:sz w:val="20"/>
              </w:rPr>
              <w:t>13 05 63 02</w:t>
            </w:r>
          </w:p>
        </w:tc>
        <w:tc>
          <w:tcPr>
            <w:tcW w:w="6521" w:type="dxa"/>
            <w:vAlign w:val="center"/>
          </w:tcPr>
          <w:p>
            <w:pPr>
              <w:rPr>
                <w:bCs/>
                <w:iCs/>
                <w:noProof/>
                <w:sz w:val="16"/>
                <w:szCs w:val="16"/>
              </w:rPr>
            </w:pPr>
            <w:r>
              <w:rPr>
                <w:noProof/>
                <w:sz w:val="16"/>
              </w:rPr>
              <w:t>Coopération transfrontalière (CTF) — Contribution de la rubrique 4</w:t>
            </w:r>
          </w:p>
        </w:tc>
        <w:tc>
          <w:tcPr>
            <w:tcW w:w="1701" w:type="dxa"/>
            <w:vAlign w:val="center"/>
          </w:tcPr>
          <w:p>
            <w:pPr>
              <w:widowControl w:val="0"/>
              <w:spacing w:before="15" w:after="15"/>
              <w:jc w:val="right"/>
              <w:rPr>
                <w:noProof/>
                <w:sz w:val="20"/>
                <w:szCs w:val="20"/>
              </w:rPr>
            </w:pPr>
            <w:r>
              <w:rPr>
                <w:noProof/>
                <w:sz w:val="20"/>
              </w:rPr>
              <w:t>-21 988 054</w:t>
            </w:r>
          </w:p>
        </w:tc>
      </w:tr>
      <w:tr>
        <w:tc>
          <w:tcPr>
            <w:tcW w:w="1276" w:type="dxa"/>
            <w:vAlign w:val="center"/>
          </w:tcPr>
          <w:p>
            <w:pPr>
              <w:widowControl w:val="0"/>
              <w:spacing w:before="15" w:after="15"/>
              <w:ind w:right="-113"/>
              <w:jc w:val="both"/>
              <w:rPr>
                <w:noProof/>
                <w:sz w:val="20"/>
                <w:szCs w:val="20"/>
              </w:rPr>
            </w:pPr>
            <w:r>
              <w:rPr>
                <w:noProof/>
                <w:sz w:val="20"/>
              </w:rPr>
              <w:t>22 02 01 01</w:t>
            </w:r>
          </w:p>
        </w:tc>
        <w:tc>
          <w:tcPr>
            <w:tcW w:w="6521" w:type="dxa"/>
            <w:vAlign w:val="center"/>
          </w:tcPr>
          <w:p>
            <w:pPr>
              <w:rPr>
                <w:bCs/>
                <w:iCs/>
                <w:noProof/>
                <w:sz w:val="16"/>
                <w:szCs w:val="16"/>
              </w:rPr>
            </w:pPr>
            <w:r>
              <w:rPr>
                <w:noProof/>
                <w:sz w:val="16"/>
              </w:rPr>
              <w:t>Soutenir les réformes politiques et l’alignement progressif connexe sur l’acquis de l’Union</w:t>
            </w:r>
          </w:p>
        </w:tc>
        <w:tc>
          <w:tcPr>
            <w:tcW w:w="1701" w:type="dxa"/>
            <w:vAlign w:val="center"/>
          </w:tcPr>
          <w:p>
            <w:pPr>
              <w:widowControl w:val="0"/>
              <w:spacing w:before="15" w:after="15"/>
              <w:jc w:val="right"/>
              <w:rPr>
                <w:noProof/>
                <w:sz w:val="20"/>
                <w:szCs w:val="20"/>
              </w:rPr>
            </w:pPr>
            <w:r>
              <w:rPr>
                <w:noProof/>
                <w:sz w:val="20"/>
              </w:rPr>
              <w:t>-74 886 680</w:t>
            </w:r>
          </w:p>
        </w:tc>
      </w:tr>
      <w:tr>
        <w:tc>
          <w:tcPr>
            <w:tcW w:w="1276" w:type="dxa"/>
            <w:vAlign w:val="center"/>
          </w:tcPr>
          <w:p>
            <w:pPr>
              <w:widowControl w:val="0"/>
              <w:spacing w:before="15" w:after="15"/>
              <w:ind w:right="-113"/>
              <w:jc w:val="both"/>
              <w:rPr>
                <w:noProof/>
                <w:sz w:val="20"/>
                <w:szCs w:val="20"/>
              </w:rPr>
            </w:pPr>
            <w:r>
              <w:rPr>
                <w:noProof/>
                <w:sz w:val="20"/>
              </w:rPr>
              <w:t>22 02 01 02</w:t>
            </w:r>
          </w:p>
        </w:tc>
        <w:tc>
          <w:tcPr>
            <w:tcW w:w="6521" w:type="dxa"/>
            <w:vAlign w:val="center"/>
          </w:tcPr>
          <w:p>
            <w:pPr>
              <w:rPr>
                <w:bCs/>
                <w:iCs/>
                <w:noProof/>
                <w:sz w:val="16"/>
                <w:szCs w:val="16"/>
              </w:rPr>
            </w:pPr>
            <w:r>
              <w:rPr>
                <w:noProof/>
                <w:sz w:val="16"/>
              </w:rPr>
              <w:t>Soutenir le développement économique, social et territorial et l’alignement progressif connexe sur l’acquis de l’Union</w:t>
            </w:r>
          </w:p>
        </w:tc>
        <w:tc>
          <w:tcPr>
            <w:tcW w:w="1701" w:type="dxa"/>
            <w:vAlign w:val="center"/>
          </w:tcPr>
          <w:p>
            <w:pPr>
              <w:widowControl w:val="0"/>
              <w:spacing w:before="15" w:after="15"/>
              <w:jc w:val="right"/>
              <w:rPr>
                <w:noProof/>
                <w:sz w:val="20"/>
                <w:szCs w:val="20"/>
              </w:rPr>
            </w:pPr>
            <w:r>
              <w:rPr>
                <w:noProof/>
                <w:sz w:val="20"/>
              </w:rPr>
              <w:t>-27 107 354</w:t>
            </w:r>
          </w:p>
        </w:tc>
      </w:tr>
      <w:tr>
        <w:tc>
          <w:tcPr>
            <w:tcW w:w="1276" w:type="dxa"/>
            <w:vAlign w:val="center"/>
          </w:tcPr>
          <w:p>
            <w:pPr>
              <w:widowControl w:val="0"/>
              <w:spacing w:before="15" w:after="15"/>
              <w:ind w:right="-113"/>
              <w:jc w:val="both"/>
              <w:rPr>
                <w:noProof/>
                <w:sz w:val="20"/>
                <w:szCs w:val="20"/>
              </w:rPr>
            </w:pPr>
            <w:r>
              <w:rPr>
                <w:noProof/>
                <w:sz w:val="20"/>
              </w:rPr>
              <w:t>22 02 03 01</w:t>
            </w:r>
          </w:p>
        </w:tc>
        <w:tc>
          <w:tcPr>
            <w:tcW w:w="6521" w:type="dxa"/>
            <w:vAlign w:val="center"/>
          </w:tcPr>
          <w:p>
            <w:pPr>
              <w:rPr>
                <w:bCs/>
                <w:iCs/>
                <w:noProof/>
                <w:sz w:val="16"/>
                <w:szCs w:val="16"/>
              </w:rPr>
            </w:pPr>
            <w:r>
              <w:rPr>
                <w:noProof/>
                <w:sz w:val="16"/>
              </w:rPr>
              <w:t>Soutenir les réformes politiques et l’alignement progressif connexe sur l’acquis de l’Union</w:t>
            </w:r>
          </w:p>
        </w:tc>
        <w:tc>
          <w:tcPr>
            <w:tcW w:w="1701" w:type="dxa"/>
            <w:vAlign w:val="center"/>
          </w:tcPr>
          <w:p>
            <w:pPr>
              <w:widowControl w:val="0"/>
              <w:spacing w:before="15" w:after="15"/>
              <w:jc w:val="right"/>
              <w:rPr>
                <w:noProof/>
                <w:sz w:val="20"/>
                <w:szCs w:val="20"/>
              </w:rPr>
            </w:pPr>
            <w:r>
              <w:rPr>
                <w:noProof/>
                <w:sz w:val="20"/>
              </w:rPr>
              <w:t>-25 583 372</w:t>
            </w:r>
          </w:p>
        </w:tc>
      </w:tr>
      <w:tr>
        <w:tc>
          <w:tcPr>
            <w:tcW w:w="1276" w:type="dxa"/>
            <w:vAlign w:val="center"/>
          </w:tcPr>
          <w:p>
            <w:pPr>
              <w:widowControl w:val="0"/>
              <w:spacing w:before="15" w:after="15"/>
              <w:ind w:right="-113"/>
              <w:jc w:val="both"/>
              <w:rPr>
                <w:noProof/>
                <w:sz w:val="20"/>
                <w:szCs w:val="20"/>
              </w:rPr>
            </w:pPr>
            <w:r>
              <w:rPr>
                <w:noProof/>
                <w:sz w:val="20"/>
              </w:rPr>
              <w:t>22 02 04 01</w:t>
            </w:r>
          </w:p>
        </w:tc>
        <w:tc>
          <w:tcPr>
            <w:tcW w:w="6521" w:type="dxa"/>
            <w:vAlign w:val="center"/>
          </w:tcPr>
          <w:p>
            <w:pPr>
              <w:rPr>
                <w:bCs/>
                <w:iCs/>
                <w:noProof/>
                <w:sz w:val="16"/>
                <w:szCs w:val="16"/>
              </w:rPr>
            </w:pPr>
            <w:r>
              <w:rPr>
                <w:noProof/>
                <w:sz w:val="16"/>
              </w:rPr>
              <w:t>Programmes plurinationaux, intégration régionale et coopération territoriale</w:t>
            </w:r>
          </w:p>
        </w:tc>
        <w:tc>
          <w:tcPr>
            <w:tcW w:w="1701" w:type="dxa"/>
            <w:vAlign w:val="center"/>
          </w:tcPr>
          <w:p>
            <w:pPr>
              <w:widowControl w:val="0"/>
              <w:spacing w:before="15" w:after="15"/>
              <w:jc w:val="right"/>
              <w:rPr>
                <w:noProof/>
                <w:sz w:val="20"/>
                <w:szCs w:val="20"/>
              </w:rPr>
            </w:pPr>
            <w:r>
              <w:rPr>
                <w:noProof/>
                <w:sz w:val="20"/>
              </w:rPr>
              <w:t>-94 444 080</w:t>
            </w:r>
          </w:p>
        </w:tc>
      </w:tr>
      <w:tr>
        <w:tc>
          <w:tcPr>
            <w:tcW w:w="1276" w:type="dxa"/>
            <w:vAlign w:val="center"/>
          </w:tcPr>
          <w:p>
            <w:pPr>
              <w:widowControl w:val="0"/>
              <w:spacing w:before="15" w:after="15"/>
              <w:ind w:right="-113"/>
              <w:jc w:val="both"/>
              <w:rPr>
                <w:noProof/>
                <w:sz w:val="20"/>
                <w:szCs w:val="20"/>
              </w:rPr>
            </w:pPr>
            <w:r>
              <w:rPr>
                <w:noProof/>
                <w:sz w:val="20"/>
              </w:rPr>
              <w:t>22 02 51</w:t>
            </w:r>
          </w:p>
        </w:tc>
        <w:tc>
          <w:tcPr>
            <w:tcW w:w="6521" w:type="dxa"/>
            <w:vAlign w:val="center"/>
          </w:tcPr>
          <w:p>
            <w:pPr>
              <w:rPr>
                <w:bCs/>
                <w:iCs/>
                <w:noProof/>
                <w:sz w:val="16"/>
                <w:szCs w:val="16"/>
              </w:rPr>
            </w:pPr>
            <w:r>
              <w:rPr>
                <w:noProof/>
                <w:sz w:val="16"/>
              </w:rPr>
              <w:t>Achèvement de la précédente aide de préadhésion (avant 2014)</w:t>
            </w:r>
          </w:p>
        </w:tc>
        <w:tc>
          <w:tcPr>
            <w:tcW w:w="1701" w:type="dxa"/>
            <w:vAlign w:val="center"/>
          </w:tcPr>
          <w:p>
            <w:pPr>
              <w:widowControl w:val="0"/>
              <w:spacing w:before="15" w:after="15"/>
              <w:jc w:val="right"/>
              <w:rPr>
                <w:noProof/>
                <w:sz w:val="20"/>
                <w:szCs w:val="20"/>
                <w:highlight w:val="yellow"/>
              </w:rPr>
            </w:pPr>
            <w:r>
              <w:rPr>
                <w:noProof/>
                <w:sz w:val="20"/>
              </w:rPr>
              <w:t>-14 617 033</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701" w:type="dxa"/>
            <w:shd w:val="clear" w:color="auto" w:fill="D9D9D9"/>
          </w:tcPr>
          <w:p>
            <w:pPr>
              <w:widowControl w:val="0"/>
              <w:spacing w:before="15" w:after="15"/>
              <w:jc w:val="right"/>
              <w:rPr>
                <w:b/>
                <w:noProof/>
                <w:sz w:val="20"/>
                <w:szCs w:val="20"/>
              </w:rPr>
            </w:pPr>
            <w:r>
              <w:rPr>
                <w:b/>
                <w:noProof/>
                <w:sz w:val="20"/>
              </w:rPr>
              <w:t>-268 100 540</w:t>
            </w:r>
          </w:p>
        </w:tc>
      </w:tr>
    </w:tbl>
    <w:p>
      <w:pPr>
        <w:tabs>
          <w:tab w:val="left" w:pos="851"/>
        </w:tabs>
        <w:spacing w:before="240"/>
        <w:rPr>
          <w:bCs/>
          <w:i/>
          <w:noProof/>
        </w:rPr>
      </w:pPr>
      <w:r>
        <w:rPr>
          <w:i/>
          <w:noProof/>
        </w:rPr>
        <w:t xml:space="preserve">2.4.2 </w:t>
      </w:r>
      <w:r>
        <w:rPr>
          <w:noProof/>
        </w:rPr>
        <w:tab/>
      </w:r>
      <w:r>
        <w:rPr>
          <w:i/>
          <w:noProof/>
        </w:rPr>
        <w:t>Instrument européen de voisinage (IEV)</w:t>
      </w:r>
    </w:p>
    <w:p>
      <w:pPr>
        <w:autoSpaceDE w:val="0"/>
        <w:autoSpaceDN w:val="0"/>
        <w:adjustRightInd w:val="0"/>
        <w:spacing w:before="120" w:after="120"/>
        <w:jc w:val="both"/>
        <w:rPr>
          <w:noProof/>
        </w:rPr>
      </w:pPr>
      <w:r>
        <w:rPr>
          <w:noProof/>
        </w:rPr>
        <w:t>Il est proposé de réduire d’un montant total de 434,1 millions d’EUR les crédits de paiement recensés sur plusieurs lignes IEV. Sur ce montant, la diminution de quelque 300 millions d’EUR s’explique par les retards survenus dans le décaissement de plusieurs tranches de l’appui budgétaire en faveur de l’Égypte, du Maroc, de la République de Moldavie, de l’Arménie et de l’Azerbaïdjan, car les critères convenus pour ce décaissement n’avaient pas été remplis dans les délais.</w:t>
      </w:r>
    </w:p>
    <w:p>
      <w:pPr>
        <w:autoSpaceDE w:val="0"/>
        <w:autoSpaceDN w:val="0"/>
        <w:adjustRightInd w:val="0"/>
        <w:spacing w:before="120" w:after="240"/>
        <w:jc w:val="both"/>
        <w:rPr>
          <w:noProof/>
        </w:rPr>
      </w:pPr>
      <w:r>
        <w:rPr>
          <w:noProof/>
        </w:rPr>
        <w:t>Le restant des crédits de paiement peut être libéré à la suite des difficultés rencontrées dans la mise en œuvre des projets, qui ont entraîné des reports. Par exemple, des problèmes juridiques ainsi que le contexte politique actuel dans la bande de Gaza ont affecté la bonne exécution de plusieurs contrats relevant de la ligne 22 04 01 04. En outre, plusieurs paiements ont été reportés en raison des retards dans la conclusion des accords entre le gouvernement égyptien et les institutions financières internationales dans le cadre d’opérations de financement mixte. Enfin, les paiements découlant de plusieurs contrats ont été reportés parce que des demandes de paiement émanant de contractants ou des pièces justificatives supplémentaires liées à l’une ou l’autre demande de paiement ont été reçues tardivement.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701"/>
      </w:tblGrid>
      <w:tr>
        <w:trPr>
          <w:tblHeader/>
        </w:trPr>
        <w:tc>
          <w:tcPr>
            <w:tcW w:w="1276" w:type="dxa"/>
            <w:shd w:val="clear" w:color="auto" w:fill="D9D9D9"/>
            <w:vAlign w:val="center"/>
          </w:tcPr>
          <w:p>
            <w:pPr>
              <w:widowControl w:val="0"/>
              <w:spacing w:before="15" w:after="15"/>
              <w:rPr>
                <w:b/>
                <w:noProof/>
                <w:sz w:val="20"/>
                <w:szCs w:val="20"/>
              </w:rPr>
            </w:pPr>
            <w:r>
              <w:rPr>
                <w:b/>
                <w:noProof/>
                <w:sz w:val="20"/>
              </w:rPr>
              <w:t>Ligne budgétaire</w:t>
            </w:r>
          </w:p>
        </w:tc>
        <w:tc>
          <w:tcPr>
            <w:tcW w:w="6521" w:type="dxa"/>
            <w:shd w:val="clear" w:color="auto" w:fill="D9D9D9"/>
            <w:vAlign w:val="center"/>
          </w:tcPr>
          <w:p>
            <w:pPr>
              <w:widowControl w:val="0"/>
              <w:spacing w:before="15" w:after="15"/>
              <w:jc w:val="center"/>
              <w:rPr>
                <w:b/>
                <w:noProof/>
                <w:sz w:val="20"/>
                <w:szCs w:val="20"/>
              </w:rPr>
            </w:pPr>
            <w:r>
              <w:rPr>
                <w:b/>
                <w:noProof/>
                <w:sz w:val="20"/>
              </w:rPr>
              <w:t>Intitulé</w:t>
            </w:r>
          </w:p>
        </w:tc>
        <w:tc>
          <w:tcPr>
            <w:tcW w:w="1701" w:type="dxa"/>
            <w:shd w:val="clear" w:color="auto" w:fill="D9D9D9"/>
            <w:vAlign w:val="center"/>
          </w:tcPr>
          <w:p>
            <w:pPr>
              <w:widowControl w:val="0"/>
              <w:spacing w:before="15" w:after="15"/>
              <w:jc w:val="center"/>
              <w:rPr>
                <w:b/>
                <w:noProof/>
                <w:sz w:val="20"/>
                <w:szCs w:val="20"/>
              </w:rPr>
            </w:pPr>
            <w:r>
              <w:rPr>
                <w:b/>
                <w:noProof/>
                <w:sz w:val="20"/>
              </w:rPr>
              <w:t>Crédits de paiement</w:t>
            </w:r>
          </w:p>
        </w:tc>
      </w:tr>
      <w:tr>
        <w:tc>
          <w:tcPr>
            <w:tcW w:w="1276" w:type="dxa"/>
            <w:vAlign w:val="center"/>
          </w:tcPr>
          <w:p>
            <w:pPr>
              <w:widowControl w:val="0"/>
              <w:spacing w:before="15" w:after="15"/>
              <w:ind w:right="-113"/>
              <w:jc w:val="both"/>
              <w:rPr>
                <w:noProof/>
                <w:sz w:val="20"/>
                <w:szCs w:val="20"/>
              </w:rPr>
            </w:pPr>
            <w:r>
              <w:rPr>
                <w:noProof/>
                <w:sz w:val="20"/>
              </w:rPr>
              <w:t>22 04 01 01</w:t>
            </w:r>
          </w:p>
        </w:tc>
        <w:tc>
          <w:tcPr>
            <w:tcW w:w="6521" w:type="dxa"/>
            <w:vAlign w:val="center"/>
          </w:tcPr>
          <w:p>
            <w:pPr>
              <w:rPr>
                <w:bCs/>
                <w:iCs/>
                <w:noProof/>
                <w:sz w:val="16"/>
                <w:szCs w:val="16"/>
              </w:rPr>
            </w:pPr>
            <w:r>
              <w:rPr>
                <w:noProof/>
                <w:sz w:val="16"/>
              </w:rPr>
              <w:t>Pays méditerranéens — Droits de l'homme, bonne gouvernance et mobilité</w:t>
            </w:r>
          </w:p>
        </w:tc>
        <w:tc>
          <w:tcPr>
            <w:tcW w:w="1701" w:type="dxa"/>
            <w:vAlign w:val="center"/>
          </w:tcPr>
          <w:p>
            <w:pPr>
              <w:widowControl w:val="0"/>
              <w:spacing w:before="15" w:after="15"/>
              <w:jc w:val="right"/>
              <w:rPr>
                <w:noProof/>
                <w:sz w:val="20"/>
                <w:szCs w:val="20"/>
              </w:rPr>
            </w:pPr>
            <w:r>
              <w:rPr>
                <w:noProof/>
                <w:sz w:val="20"/>
              </w:rPr>
              <w:t>-6 200 513</w:t>
            </w:r>
          </w:p>
        </w:tc>
      </w:tr>
      <w:tr>
        <w:tc>
          <w:tcPr>
            <w:tcW w:w="1276" w:type="dxa"/>
            <w:vAlign w:val="center"/>
          </w:tcPr>
          <w:p>
            <w:pPr>
              <w:widowControl w:val="0"/>
              <w:spacing w:before="15" w:after="15"/>
              <w:ind w:right="-113"/>
              <w:jc w:val="both"/>
              <w:rPr>
                <w:noProof/>
                <w:sz w:val="20"/>
                <w:szCs w:val="20"/>
              </w:rPr>
            </w:pPr>
            <w:r>
              <w:rPr>
                <w:noProof/>
                <w:sz w:val="20"/>
              </w:rPr>
              <w:t>22 04 01 02</w:t>
            </w:r>
          </w:p>
        </w:tc>
        <w:tc>
          <w:tcPr>
            <w:tcW w:w="6521" w:type="dxa"/>
            <w:vAlign w:val="center"/>
          </w:tcPr>
          <w:p>
            <w:pPr>
              <w:rPr>
                <w:bCs/>
                <w:iCs/>
                <w:noProof/>
                <w:sz w:val="16"/>
                <w:szCs w:val="16"/>
              </w:rPr>
            </w:pPr>
            <w:r>
              <w:rPr>
                <w:noProof/>
                <w:sz w:val="16"/>
              </w:rPr>
              <w:t>Pays méditerranéens — Réduction de la pauvreté et développement durable</w:t>
            </w:r>
          </w:p>
        </w:tc>
        <w:tc>
          <w:tcPr>
            <w:tcW w:w="1701" w:type="dxa"/>
            <w:vAlign w:val="center"/>
          </w:tcPr>
          <w:p>
            <w:pPr>
              <w:widowControl w:val="0"/>
              <w:spacing w:before="15" w:after="15"/>
              <w:jc w:val="right"/>
              <w:rPr>
                <w:noProof/>
                <w:sz w:val="20"/>
                <w:szCs w:val="20"/>
              </w:rPr>
            </w:pPr>
            <w:r>
              <w:rPr>
                <w:noProof/>
                <w:sz w:val="20"/>
              </w:rPr>
              <w:t>-85 959 584</w:t>
            </w:r>
          </w:p>
        </w:tc>
      </w:tr>
      <w:tr>
        <w:tc>
          <w:tcPr>
            <w:tcW w:w="1276" w:type="dxa"/>
            <w:vAlign w:val="center"/>
          </w:tcPr>
          <w:p>
            <w:pPr>
              <w:widowControl w:val="0"/>
              <w:spacing w:before="15" w:after="15"/>
              <w:ind w:right="-113"/>
              <w:jc w:val="both"/>
              <w:rPr>
                <w:noProof/>
                <w:sz w:val="20"/>
                <w:szCs w:val="20"/>
              </w:rPr>
            </w:pPr>
            <w:r>
              <w:rPr>
                <w:noProof/>
                <w:sz w:val="20"/>
              </w:rPr>
              <w:t>22 04 01 04</w:t>
            </w:r>
          </w:p>
        </w:tc>
        <w:tc>
          <w:tcPr>
            <w:tcW w:w="6521" w:type="dxa"/>
            <w:vAlign w:val="center"/>
          </w:tcPr>
          <w:p>
            <w:pPr>
              <w:rPr>
                <w:bCs/>
                <w:iCs/>
                <w:noProof/>
                <w:sz w:val="16"/>
                <w:szCs w:val="16"/>
              </w:rPr>
            </w:pPr>
            <w:r>
              <w:rPr>
                <w:noProof/>
                <w:sz w:val="16"/>
              </w:rPr>
              <w:t>Soutien au processus de paix et aide financière à la Palestine et à l’Office de secours et de travaux des Nations unies pour les réfugiés de Palestine (UNRWA)</w:t>
            </w:r>
          </w:p>
        </w:tc>
        <w:tc>
          <w:tcPr>
            <w:tcW w:w="1701" w:type="dxa"/>
            <w:vAlign w:val="center"/>
          </w:tcPr>
          <w:p>
            <w:pPr>
              <w:widowControl w:val="0"/>
              <w:spacing w:before="15" w:after="15"/>
              <w:jc w:val="right"/>
              <w:rPr>
                <w:noProof/>
                <w:sz w:val="20"/>
                <w:szCs w:val="20"/>
              </w:rPr>
            </w:pPr>
            <w:r>
              <w:rPr>
                <w:noProof/>
                <w:sz w:val="20"/>
              </w:rPr>
              <w:t>-56 028 674</w:t>
            </w:r>
          </w:p>
        </w:tc>
      </w:tr>
      <w:tr>
        <w:tc>
          <w:tcPr>
            <w:tcW w:w="1276" w:type="dxa"/>
            <w:vAlign w:val="center"/>
          </w:tcPr>
          <w:p>
            <w:pPr>
              <w:widowControl w:val="0"/>
              <w:spacing w:before="15" w:after="15"/>
              <w:ind w:right="-113"/>
              <w:jc w:val="both"/>
              <w:rPr>
                <w:noProof/>
                <w:sz w:val="20"/>
                <w:szCs w:val="20"/>
              </w:rPr>
            </w:pPr>
            <w:r>
              <w:rPr>
                <w:noProof/>
                <w:sz w:val="20"/>
              </w:rPr>
              <w:t>22 04 02 01</w:t>
            </w:r>
          </w:p>
        </w:tc>
        <w:tc>
          <w:tcPr>
            <w:tcW w:w="6521" w:type="dxa"/>
            <w:vAlign w:val="center"/>
          </w:tcPr>
          <w:p>
            <w:pPr>
              <w:rPr>
                <w:bCs/>
                <w:iCs/>
                <w:noProof/>
                <w:sz w:val="16"/>
                <w:szCs w:val="16"/>
              </w:rPr>
            </w:pPr>
            <w:r>
              <w:rPr>
                <w:noProof/>
                <w:sz w:val="16"/>
              </w:rPr>
              <w:t>Partenariat oriental — Droits de l'homme, bonne gouvernance et mobilité</w:t>
            </w:r>
          </w:p>
        </w:tc>
        <w:tc>
          <w:tcPr>
            <w:tcW w:w="1701" w:type="dxa"/>
            <w:vAlign w:val="center"/>
          </w:tcPr>
          <w:p>
            <w:pPr>
              <w:widowControl w:val="0"/>
              <w:spacing w:before="15" w:after="15"/>
              <w:jc w:val="right"/>
              <w:rPr>
                <w:noProof/>
                <w:sz w:val="20"/>
                <w:szCs w:val="20"/>
              </w:rPr>
            </w:pPr>
            <w:r>
              <w:rPr>
                <w:noProof/>
                <w:sz w:val="20"/>
              </w:rPr>
              <w:t>-25 995 110</w:t>
            </w:r>
          </w:p>
        </w:tc>
      </w:tr>
      <w:tr>
        <w:tc>
          <w:tcPr>
            <w:tcW w:w="1276" w:type="dxa"/>
            <w:vAlign w:val="center"/>
          </w:tcPr>
          <w:p>
            <w:pPr>
              <w:widowControl w:val="0"/>
              <w:spacing w:before="15" w:after="15"/>
              <w:ind w:right="-113"/>
              <w:jc w:val="both"/>
              <w:rPr>
                <w:noProof/>
                <w:sz w:val="20"/>
                <w:szCs w:val="20"/>
              </w:rPr>
            </w:pPr>
            <w:r>
              <w:rPr>
                <w:noProof/>
                <w:sz w:val="20"/>
              </w:rPr>
              <w:t>22 04 02 02</w:t>
            </w:r>
          </w:p>
        </w:tc>
        <w:tc>
          <w:tcPr>
            <w:tcW w:w="6521" w:type="dxa"/>
            <w:vAlign w:val="center"/>
          </w:tcPr>
          <w:p>
            <w:pPr>
              <w:rPr>
                <w:bCs/>
                <w:iCs/>
                <w:noProof/>
                <w:sz w:val="16"/>
                <w:szCs w:val="16"/>
              </w:rPr>
            </w:pPr>
            <w:r>
              <w:rPr>
                <w:noProof/>
                <w:sz w:val="16"/>
              </w:rPr>
              <w:t>Partenariat oriental — Réduction de la pauvreté et développement durable</w:t>
            </w:r>
          </w:p>
        </w:tc>
        <w:tc>
          <w:tcPr>
            <w:tcW w:w="1701" w:type="dxa"/>
            <w:vAlign w:val="center"/>
          </w:tcPr>
          <w:p>
            <w:pPr>
              <w:widowControl w:val="0"/>
              <w:spacing w:before="15" w:after="15"/>
              <w:jc w:val="right"/>
              <w:rPr>
                <w:noProof/>
                <w:sz w:val="20"/>
                <w:szCs w:val="20"/>
              </w:rPr>
            </w:pPr>
            <w:r>
              <w:rPr>
                <w:noProof/>
                <w:sz w:val="20"/>
              </w:rPr>
              <w:t>-103 090 754</w:t>
            </w:r>
          </w:p>
        </w:tc>
      </w:tr>
      <w:tr>
        <w:tc>
          <w:tcPr>
            <w:tcW w:w="1276" w:type="dxa"/>
            <w:vAlign w:val="center"/>
          </w:tcPr>
          <w:p>
            <w:pPr>
              <w:widowControl w:val="0"/>
              <w:spacing w:before="15" w:after="15"/>
              <w:ind w:right="-113"/>
              <w:jc w:val="both"/>
              <w:rPr>
                <w:noProof/>
                <w:sz w:val="20"/>
                <w:szCs w:val="20"/>
              </w:rPr>
            </w:pPr>
            <w:r>
              <w:rPr>
                <w:noProof/>
                <w:sz w:val="20"/>
              </w:rPr>
              <w:t>22 04 03 03</w:t>
            </w:r>
          </w:p>
        </w:tc>
        <w:tc>
          <w:tcPr>
            <w:tcW w:w="6521" w:type="dxa"/>
            <w:vAlign w:val="center"/>
          </w:tcPr>
          <w:p>
            <w:pPr>
              <w:rPr>
                <w:bCs/>
                <w:iCs/>
                <w:noProof/>
                <w:sz w:val="16"/>
                <w:szCs w:val="16"/>
              </w:rPr>
            </w:pPr>
            <w:r>
              <w:rPr>
                <w:noProof/>
                <w:sz w:val="16"/>
              </w:rPr>
              <w:t>Soutien à d’autres coopérations plurinationales dans les pays relevant du voisinage — Programme-cadre</w:t>
            </w:r>
          </w:p>
        </w:tc>
        <w:tc>
          <w:tcPr>
            <w:tcW w:w="1701" w:type="dxa"/>
            <w:vAlign w:val="center"/>
          </w:tcPr>
          <w:p>
            <w:pPr>
              <w:widowControl w:val="0"/>
              <w:spacing w:before="15" w:after="15"/>
              <w:jc w:val="right"/>
              <w:rPr>
                <w:noProof/>
                <w:sz w:val="20"/>
                <w:szCs w:val="20"/>
              </w:rPr>
            </w:pPr>
            <w:r>
              <w:rPr>
                <w:noProof/>
                <w:sz w:val="20"/>
              </w:rPr>
              <w:t>-58 339 566</w:t>
            </w:r>
          </w:p>
        </w:tc>
      </w:tr>
      <w:tr>
        <w:tc>
          <w:tcPr>
            <w:tcW w:w="1276" w:type="dxa"/>
            <w:vAlign w:val="center"/>
          </w:tcPr>
          <w:p>
            <w:pPr>
              <w:widowControl w:val="0"/>
              <w:spacing w:before="15" w:after="15"/>
              <w:ind w:right="-113"/>
              <w:jc w:val="both"/>
              <w:rPr>
                <w:noProof/>
                <w:sz w:val="20"/>
                <w:szCs w:val="20"/>
              </w:rPr>
            </w:pPr>
            <w:r>
              <w:rPr>
                <w:noProof/>
                <w:sz w:val="20"/>
              </w:rPr>
              <w:t>22 04 03 04</w:t>
            </w:r>
          </w:p>
        </w:tc>
        <w:tc>
          <w:tcPr>
            <w:tcW w:w="6521" w:type="dxa"/>
            <w:vAlign w:val="center"/>
          </w:tcPr>
          <w:p>
            <w:pPr>
              <w:rPr>
                <w:bCs/>
                <w:iCs/>
                <w:noProof/>
                <w:sz w:val="16"/>
                <w:szCs w:val="16"/>
              </w:rPr>
            </w:pPr>
            <w:r>
              <w:rPr>
                <w:noProof/>
                <w:sz w:val="16"/>
              </w:rPr>
              <w:t>Autres coopérations plurinationales dans les pays relevant du voisinage — Mesures d’appui</w:t>
            </w:r>
          </w:p>
        </w:tc>
        <w:tc>
          <w:tcPr>
            <w:tcW w:w="1701" w:type="dxa"/>
            <w:vAlign w:val="center"/>
          </w:tcPr>
          <w:p>
            <w:pPr>
              <w:widowControl w:val="0"/>
              <w:spacing w:before="15" w:after="15"/>
              <w:jc w:val="right"/>
              <w:rPr>
                <w:noProof/>
                <w:sz w:val="20"/>
                <w:szCs w:val="20"/>
              </w:rPr>
            </w:pPr>
            <w:r>
              <w:rPr>
                <w:noProof/>
                <w:sz w:val="20"/>
              </w:rPr>
              <w:t>-1 239 476</w:t>
            </w:r>
          </w:p>
        </w:tc>
      </w:tr>
      <w:tr>
        <w:tc>
          <w:tcPr>
            <w:tcW w:w="1276" w:type="dxa"/>
            <w:vAlign w:val="center"/>
          </w:tcPr>
          <w:p>
            <w:pPr>
              <w:widowControl w:val="0"/>
              <w:spacing w:before="15" w:after="15"/>
              <w:ind w:right="-113"/>
              <w:jc w:val="both"/>
              <w:rPr>
                <w:noProof/>
                <w:sz w:val="20"/>
                <w:szCs w:val="20"/>
              </w:rPr>
            </w:pPr>
            <w:r>
              <w:rPr>
                <w:noProof/>
                <w:sz w:val="20"/>
              </w:rPr>
              <w:t>22 04 51</w:t>
            </w:r>
          </w:p>
        </w:tc>
        <w:tc>
          <w:tcPr>
            <w:tcW w:w="6521" w:type="dxa"/>
            <w:vAlign w:val="center"/>
          </w:tcPr>
          <w:p>
            <w:pPr>
              <w:rPr>
                <w:noProof/>
              </w:rPr>
            </w:pPr>
            <w:r>
              <w:rPr>
                <w:noProof/>
                <w:sz w:val="16"/>
              </w:rPr>
              <w:t>Achèvement des actions dans le domaine de la politique européenne de voisinage et des relations avec la Russie (avant 2014)</w:t>
            </w:r>
          </w:p>
        </w:tc>
        <w:tc>
          <w:tcPr>
            <w:tcW w:w="1701" w:type="dxa"/>
            <w:vAlign w:val="center"/>
          </w:tcPr>
          <w:p>
            <w:pPr>
              <w:widowControl w:val="0"/>
              <w:spacing w:before="15" w:after="15"/>
              <w:jc w:val="right"/>
              <w:rPr>
                <w:noProof/>
                <w:sz w:val="20"/>
                <w:szCs w:val="20"/>
                <w:highlight w:val="yellow"/>
              </w:rPr>
            </w:pPr>
            <w:r>
              <w:rPr>
                <w:noProof/>
                <w:sz w:val="20"/>
              </w:rPr>
              <w:t>-97 282 992</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701" w:type="dxa"/>
            <w:shd w:val="clear" w:color="auto" w:fill="D9D9D9"/>
          </w:tcPr>
          <w:p>
            <w:pPr>
              <w:widowControl w:val="0"/>
              <w:spacing w:before="15" w:after="15"/>
              <w:jc w:val="right"/>
              <w:rPr>
                <w:b/>
                <w:noProof/>
                <w:sz w:val="20"/>
                <w:szCs w:val="20"/>
              </w:rPr>
            </w:pPr>
            <w:r>
              <w:rPr>
                <w:b/>
                <w:noProof/>
                <w:sz w:val="20"/>
              </w:rPr>
              <w:t>-434 136 669</w:t>
            </w:r>
          </w:p>
        </w:tc>
      </w:tr>
    </w:tbl>
    <w:p>
      <w:pPr>
        <w:keepNext/>
        <w:tabs>
          <w:tab w:val="left" w:pos="850"/>
        </w:tabs>
        <w:spacing w:before="360" w:after="120"/>
        <w:ind w:left="850" w:hanging="850"/>
        <w:jc w:val="both"/>
        <w:outlineLvl w:val="1"/>
        <w:rPr>
          <w:rFonts w:eastAsia="Calibri"/>
          <w:b/>
          <w:noProof/>
        </w:rPr>
      </w:pPr>
      <w:bookmarkStart w:id="41" w:name="_Toc494994376"/>
      <w:bookmarkStart w:id="42" w:name="_Toc496196490"/>
      <w:r>
        <w:rPr>
          <w:b/>
          <w:noProof/>
        </w:rPr>
        <w:t>2.5</w:t>
      </w:r>
      <w:r>
        <w:rPr>
          <w:noProof/>
        </w:rPr>
        <w:tab/>
      </w:r>
      <w:r>
        <w:rPr>
          <w:b/>
          <w:noProof/>
        </w:rPr>
        <w:t>Fonds de solidarité de l'Union européenne (FSUE)</w:t>
      </w:r>
      <w:bookmarkEnd w:id="41"/>
      <w:bookmarkEnd w:id="42"/>
    </w:p>
    <w:p>
      <w:pPr>
        <w:autoSpaceDE w:val="0"/>
        <w:autoSpaceDN w:val="0"/>
        <w:adjustRightInd w:val="0"/>
        <w:spacing w:before="120" w:after="240"/>
        <w:jc w:val="both"/>
        <w:rPr>
          <w:noProof/>
        </w:rPr>
      </w:pPr>
      <w:r>
        <w:rPr>
          <w:noProof/>
        </w:rPr>
        <w:t>En 2017, il n’y a pas eu de demande de préfinancement au titre du FSUE, de sorte que la totalité du montant, soit 50 millions d’EUR, inscrit dans le budget 2017 à cette fin à l’époque de son adoption reste disponible. À ce stade, la Commission propose de conserver un montant de 4 millions d’EUR pour l’article 13 06 01 afin de faire face à toute demande inattendue. Par conséquent, une somme de 46 millions d’EUR, tant en crédits d’engagement qu’en crédits de paiement, peut être libérée.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rPr>
              <w:t>Ligne budgétaire</w:t>
            </w:r>
          </w:p>
        </w:tc>
        <w:tc>
          <w:tcPr>
            <w:tcW w:w="4961" w:type="dxa"/>
            <w:shd w:val="clear" w:color="auto" w:fill="D9D9D9"/>
            <w:vAlign w:val="center"/>
          </w:tcPr>
          <w:p>
            <w:pPr>
              <w:widowControl w:val="0"/>
              <w:spacing w:before="15" w:after="15"/>
              <w:jc w:val="center"/>
              <w:rPr>
                <w:b/>
                <w:noProof/>
                <w:sz w:val="20"/>
                <w:szCs w:val="20"/>
              </w:rPr>
            </w:pPr>
            <w:r>
              <w:rPr>
                <w:b/>
                <w:noProof/>
                <w:sz w:val="20"/>
              </w:rPr>
              <w:t>Intitulé</w:t>
            </w:r>
          </w:p>
        </w:tc>
        <w:tc>
          <w:tcPr>
            <w:tcW w:w="1701" w:type="dxa"/>
            <w:shd w:val="clear" w:color="auto" w:fill="D9D9D9"/>
            <w:vAlign w:val="center"/>
          </w:tcPr>
          <w:p>
            <w:pPr>
              <w:widowControl w:val="0"/>
              <w:spacing w:before="15" w:after="15"/>
              <w:jc w:val="center"/>
              <w:rPr>
                <w:b/>
                <w:noProof/>
                <w:sz w:val="20"/>
                <w:szCs w:val="20"/>
              </w:rPr>
            </w:pPr>
            <w:r>
              <w:rPr>
                <w:b/>
                <w:noProof/>
                <w:sz w:val="20"/>
              </w:rPr>
              <w:t>Crédits d'engagement</w:t>
            </w:r>
          </w:p>
        </w:tc>
        <w:tc>
          <w:tcPr>
            <w:tcW w:w="1701" w:type="dxa"/>
            <w:shd w:val="clear" w:color="auto" w:fill="D9D9D9"/>
            <w:vAlign w:val="center"/>
          </w:tcPr>
          <w:p>
            <w:pPr>
              <w:widowControl w:val="0"/>
              <w:spacing w:before="15" w:after="15"/>
              <w:jc w:val="center"/>
              <w:rPr>
                <w:b/>
                <w:noProof/>
                <w:sz w:val="20"/>
                <w:szCs w:val="20"/>
              </w:rPr>
            </w:pPr>
            <w:r>
              <w:rPr>
                <w:b/>
                <w:noProof/>
                <w:sz w:val="20"/>
              </w:rPr>
              <w:t>Crédits de paiement</w:t>
            </w:r>
          </w:p>
        </w:tc>
      </w:tr>
      <w:tr>
        <w:tc>
          <w:tcPr>
            <w:tcW w:w="1276" w:type="dxa"/>
            <w:vAlign w:val="center"/>
          </w:tcPr>
          <w:p>
            <w:pPr>
              <w:widowControl w:val="0"/>
              <w:spacing w:before="15" w:after="15"/>
              <w:ind w:right="-113"/>
              <w:jc w:val="both"/>
              <w:rPr>
                <w:noProof/>
                <w:sz w:val="20"/>
                <w:szCs w:val="20"/>
              </w:rPr>
            </w:pPr>
            <w:r>
              <w:rPr>
                <w:noProof/>
                <w:sz w:val="20"/>
              </w:rPr>
              <w:t>13 06 01</w:t>
            </w:r>
          </w:p>
        </w:tc>
        <w:tc>
          <w:tcPr>
            <w:tcW w:w="4961" w:type="dxa"/>
            <w:vAlign w:val="center"/>
          </w:tcPr>
          <w:p>
            <w:pPr>
              <w:widowControl w:val="0"/>
              <w:tabs>
                <w:tab w:val="left" w:pos="1350"/>
              </w:tabs>
              <w:spacing w:before="15" w:after="15"/>
              <w:jc w:val="both"/>
              <w:rPr>
                <w:noProof/>
                <w:sz w:val="16"/>
                <w:szCs w:val="16"/>
              </w:rPr>
            </w:pPr>
            <w:r>
              <w:rPr>
                <w:noProof/>
                <w:sz w:val="16"/>
              </w:rPr>
              <w:t>Assistance aux États membres en cas de catastrophe naturelle majeure ayant de graves répercussions sur les conditions de vie, l’environnement naturel et l’économie</w:t>
            </w:r>
          </w:p>
        </w:tc>
        <w:tc>
          <w:tcPr>
            <w:tcW w:w="1701" w:type="dxa"/>
            <w:vAlign w:val="center"/>
          </w:tcPr>
          <w:p>
            <w:pPr>
              <w:widowControl w:val="0"/>
              <w:spacing w:before="15" w:after="15"/>
              <w:jc w:val="right"/>
              <w:rPr>
                <w:noProof/>
                <w:sz w:val="20"/>
                <w:szCs w:val="20"/>
              </w:rPr>
            </w:pPr>
            <w:r>
              <w:rPr>
                <w:noProof/>
                <w:sz w:val="20"/>
              </w:rPr>
              <w:t>-46 000 000</w:t>
            </w:r>
          </w:p>
        </w:tc>
        <w:tc>
          <w:tcPr>
            <w:tcW w:w="1701" w:type="dxa"/>
            <w:vAlign w:val="center"/>
          </w:tcPr>
          <w:p>
            <w:pPr>
              <w:widowControl w:val="0"/>
              <w:spacing w:before="15" w:after="15"/>
              <w:jc w:val="right"/>
              <w:rPr>
                <w:noProof/>
                <w:sz w:val="20"/>
                <w:szCs w:val="20"/>
              </w:rPr>
            </w:pPr>
            <w:r>
              <w:rPr>
                <w:noProof/>
                <w:sz w:val="20"/>
              </w:rPr>
              <w:t>-46 000 000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701" w:type="dxa"/>
            <w:shd w:val="clear" w:color="auto" w:fill="D9D9D9"/>
          </w:tcPr>
          <w:p>
            <w:pPr>
              <w:widowControl w:val="0"/>
              <w:spacing w:before="15" w:after="15"/>
              <w:jc w:val="right"/>
              <w:rPr>
                <w:b/>
                <w:noProof/>
                <w:sz w:val="20"/>
                <w:szCs w:val="20"/>
              </w:rPr>
            </w:pPr>
            <w:r>
              <w:rPr>
                <w:b/>
                <w:noProof/>
                <w:sz w:val="20"/>
              </w:rPr>
              <w:t>-46 000 000</w:t>
            </w:r>
          </w:p>
        </w:tc>
        <w:tc>
          <w:tcPr>
            <w:tcW w:w="1701" w:type="dxa"/>
            <w:shd w:val="clear" w:color="auto" w:fill="D9D9D9"/>
          </w:tcPr>
          <w:p>
            <w:pPr>
              <w:widowControl w:val="0"/>
              <w:spacing w:before="15" w:after="15"/>
              <w:jc w:val="right"/>
              <w:rPr>
                <w:b/>
                <w:noProof/>
                <w:sz w:val="20"/>
                <w:szCs w:val="20"/>
              </w:rPr>
            </w:pPr>
            <w:r>
              <w:rPr>
                <w:b/>
                <w:noProof/>
                <w:sz w:val="20"/>
              </w:rPr>
              <w:t>-46 000 000</w:t>
            </w:r>
          </w:p>
        </w:tc>
      </w:tr>
    </w:tbl>
    <w:p>
      <w:pPr>
        <w:keepNext/>
        <w:tabs>
          <w:tab w:val="left" w:pos="850"/>
        </w:tabs>
        <w:spacing w:before="240" w:after="120"/>
        <w:ind w:left="851" w:hanging="851"/>
        <w:jc w:val="both"/>
        <w:outlineLvl w:val="0"/>
        <w:rPr>
          <w:noProof/>
        </w:rPr>
      </w:pPr>
      <w:bookmarkStart w:id="43" w:name="_Toc494994377"/>
      <w:bookmarkStart w:id="44" w:name="_Toc496196491"/>
      <w:bookmarkEnd w:id="2"/>
      <w:bookmarkEnd w:id="3"/>
      <w:bookmarkEnd w:id="4"/>
      <w:bookmarkEnd w:id="5"/>
      <w:bookmarkEnd w:id="6"/>
      <w:bookmarkEnd w:id="7"/>
      <w:bookmarkEnd w:id="13"/>
      <w:bookmarkEnd w:id="14"/>
      <w:bookmarkEnd w:id="15"/>
      <w:bookmarkEnd w:id="16"/>
      <w:r>
        <w:rPr>
          <w:b/>
          <w:smallCaps/>
          <w:noProof/>
        </w:rPr>
        <w:t>3.</w:t>
      </w:r>
      <w:r>
        <w:rPr>
          <w:noProof/>
        </w:rPr>
        <w:tab/>
      </w:r>
      <w:r>
        <w:rPr>
          <w:b/>
          <w:smallCaps/>
          <w:noProof/>
        </w:rPr>
        <w:t>Actualisation des recettes</w:t>
      </w:r>
      <w:bookmarkEnd w:id="43"/>
      <w:bookmarkEnd w:id="44"/>
      <w:r>
        <w:rPr>
          <w:b/>
          <w:smallCaps/>
          <w:noProof/>
        </w:rPr>
        <w:t xml:space="preserve"> </w:t>
      </w:r>
    </w:p>
    <w:p>
      <w:pPr>
        <w:keepNext/>
        <w:tabs>
          <w:tab w:val="left" w:pos="850"/>
        </w:tabs>
        <w:spacing w:before="360" w:after="120"/>
        <w:ind w:left="850" w:hanging="850"/>
        <w:jc w:val="both"/>
        <w:outlineLvl w:val="1"/>
        <w:rPr>
          <w:rFonts w:eastAsia="Calibri"/>
          <w:b/>
          <w:noProof/>
        </w:rPr>
      </w:pPr>
      <w:bookmarkStart w:id="45" w:name="_Toc462410058"/>
      <w:bookmarkStart w:id="46" w:name="_Toc494994378"/>
      <w:bookmarkStart w:id="47" w:name="_Toc496196492"/>
      <w:r>
        <w:rPr>
          <w:b/>
          <w:noProof/>
        </w:rPr>
        <w:t>3.1</w:t>
      </w:r>
      <w:r>
        <w:rPr>
          <w:noProof/>
        </w:rPr>
        <w:tab/>
      </w:r>
      <w:r>
        <w:rPr>
          <w:b/>
          <w:noProof/>
        </w:rPr>
        <w:t>Incidence globale du PBR n° 6/2017 sur la répartition, entre États membres, de l’ensemble des versements de ressources propres</w:t>
      </w:r>
      <w:bookmarkEnd w:id="45"/>
      <w:bookmarkEnd w:id="46"/>
      <w:bookmarkEnd w:id="47"/>
    </w:p>
    <w:p>
      <w:pPr>
        <w:spacing w:before="120" w:after="120"/>
        <w:jc w:val="both"/>
        <w:rPr>
          <w:noProof/>
        </w:rPr>
      </w:pPr>
      <w:r>
        <w:rPr>
          <w:noProof/>
        </w:rPr>
        <w:t>Étant donné qu’il réduit les crédits de paiement du budget 2017, le présent PBR aura une incidence sur le montant total à verser par les États membres en faveur de ce budget. Trois ajustements dans le volet des recettes du budget doivent également être pris en considération. Le premier ajustement consiste en une actualisation des estimations en ce qui concerne les RPT (ressources propres traditionnelles) ainsi que les ressources TVA (taxe sur la valeur ajoutée) et RNB (revenu national brut), compte tenu de prévisions économiques plus récentes. Les deuxième et troisième ajustements dans le volet des recettes concernent la mise à jour de la correction britannique et le niveau des amendes pour infraction aux règles de concurrence qui a été définitivement fixé à la fin septembre 2017. Ces trois ajustements sont présentés aux sections 3.2, 3.3 et 3.4 ci-dessous.</w:t>
      </w:r>
    </w:p>
    <w:p>
      <w:pPr>
        <w:spacing w:before="120" w:after="120"/>
        <w:jc w:val="both"/>
        <w:rPr>
          <w:noProof/>
        </w:rPr>
      </w:pPr>
      <w:r>
        <w:rPr>
          <w:noProof/>
        </w:rPr>
        <w:t>L’incidence globale des ajustements des dépenses et des recettes du présent PBR est présentée dans le tableau récapitulatif ci-dessous. Ce tableau indique également la répartition, entre États membres, de l’ensemble des versements de ressources propres tels qu’ils figurent dans le budget 2017, tels qu’ils ont été modifiés à la suite du budget rectificatif (BR) n° 2/2017</w:t>
      </w:r>
      <w:r>
        <w:rPr>
          <w:noProof/>
          <w:vertAlign w:val="superscript"/>
        </w:rPr>
        <w:footnoteReference w:id="12"/>
      </w:r>
      <w:r>
        <w:rPr>
          <w:noProof/>
        </w:rPr>
        <w:t>, et enfin tels qu’ils sont inscrits dans le présent PBR.</w:t>
      </w:r>
    </w:p>
    <w:p>
      <w:pPr>
        <w:jc w:val="center"/>
        <w:rPr>
          <w:b/>
          <w:noProof/>
        </w:rPr>
      </w:pPr>
      <w:r>
        <w:rPr>
          <w:b/>
          <w:noProof/>
        </w:rPr>
        <w:t xml:space="preserve">Répartition de l’ensemble des versements de ressources propres par État membre </w:t>
      </w:r>
      <w:r>
        <w:rPr>
          <w:b/>
          <w:noProof/>
        </w:rPr>
        <w:br/>
        <w:t>(</w:t>
      </w:r>
      <w:r>
        <w:rPr>
          <w:b/>
          <w:i/>
          <w:noProof/>
        </w:rPr>
        <w:t>en Mio EUR</w:t>
      </w:r>
      <w:r>
        <w:rPr>
          <w:b/>
          <w:noProof/>
        </w:rPr>
        <w:t>)</w:t>
      </w:r>
    </w:p>
    <w:p>
      <w:pPr>
        <w:rPr>
          <w:b/>
          <w:noProof/>
        </w:rPr>
      </w:pPr>
    </w:p>
    <w:tbl>
      <w:tblPr>
        <w:tblW w:w="5440" w:type="dxa"/>
        <w:jc w:val="center"/>
        <w:tblLook w:val="04A0" w:firstRow="1" w:lastRow="0" w:firstColumn="1" w:lastColumn="0" w:noHBand="0" w:noVBand="1"/>
      </w:tblPr>
      <w:tblGrid>
        <w:gridCol w:w="960"/>
        <w:gridCol w:w="1460"/>
        <w:gridCol w:w="1520"/>
        <w:gridCol w:w="1500"/>
      </w:tblGrid>
      <w:tr>
        <w:trPr>
          <w:trHeight w:val="230"/>
          <w:tblHeader/>
          <w:jc w:val="center"/>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pPr>
              <w:jc w:val="center"/>
              <w:rPr>
                <w:b/>
                <w:bCs/>
                <w:noProof/>
                <w:color w:val="000000"/>
                <w:sz w:val="20"/>
                <w:szCs w:val="20"/>
              </w:rPr>
            </w:pPr>
          </w:p>
        </w:tc>
        <w:tc>
          <w:tcPr>
            <w:tcW w:w="146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szCs w:val="20"/>
              </w:rPr>
            </w:pPr>
            <w:r>
              <w:rPr>
                <w:b/>
                <w:noProof/>
                <w:color w:val="000000"/>
                <w:sz w:val="20"/>
              </w:rPr>
              <w:t>Budget 2017</w:t>
            </w:r>
          </w:p>
        </w:tc>
        <w:tc>
          <w:tcPr>
            <w:tcW w:w="152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szCs w:val="20"/>
              </w:rPr>
            </w:pPr>
            <w:r>
              <w:rPr>
                <w:b/>
                <w:noProof/>
                <w:color w:val="000000"/>
                <w:sz w:val="20"/>
              </w:rPr>
              <w:t>BR 2/2017</w:t>
            </w:r>
          </w:p>
        </w:tc>
        <w:tc>
          <w:tcPr>
            <w:tcW w:w="150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szCs w:val="20"/>
              </w:rPr>
            </w:pPr>
            <w:r>
              <w:rPr>
                <w:b/>
                <w:noProof/>
                <w:color w:val="000000"/>
                <w:sz w:val="20"/>
              </w:rPr>
              <w:t>PBR 6/2017</w:t>
            </w:r>
          </w:p>
        </w:tc>
      </w:tr>
      <w:tr>
        <w:trPr>
          <w:trHeight w:val="230"/>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szCs w:val="20"/>
              </w:rPr>
            </w:pPr>
          </w:p>
        </w:tc>
        <w:tc>
          <w:tcPr>
            <w:tcW w:w="146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szCs w:val="20"/>
              </w:rPr>
            </w:pPr>
          </w:p>
        </w:tc>
        <w:tc>
          <w:tcPr>
            <w:tcW w:w="152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szCs w:val="20"/>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szCs w:val="20"/>
              </w:rPr>
            </w:pPr>
          </w:p>
        </w:tc>
      </w:tr>
      <w:tr>
        <w:trPr>
          <w:trHeight w:val="20"/>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szCs w:val="20"/>
              </w:rPr>
            </w:pPr>
          </w:p>
        </w:tc>
        <w:tc>
          <w:tcPr>
            <w:tcW w:w="146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rPr>
              <w:t>(1)</w:t>
            </w:r>
          </w:p>
        </w:tc>
        <w:tc>
          <w:tcPr>
            <w:tcW w:w="152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rPr>
              <w:t>(2)</w:t>
            </w:r>
          </w:p>
        </w:tc>
        <w:tc>
          <w:tcPr>
            <w:tcW w:w="150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rPr>
              <w:t>(3)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BE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5 593,8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5 412,4</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5 232,8</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BG</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437,1</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418,4</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425,3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CZ</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1 591,4</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1 523,0</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1 459,0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DK</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2 562,8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2 441,6</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2 234,4</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DE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27 133,2</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25 759,2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23 823,1</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EE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210,4</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201,3</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187,8</w:t>
            </w:r>
          </w:p>
        </w:tc>
      </w:tr>
      <w:tr>
        <w:trPr>
          <w:trHeight w:val="2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IE</w:t>
            </w:r>
          </w:p>
        </w:tc>
        <w:tc>
          <w:tcPr>
            <w:tcW w:w="146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1 966,4</w:t>
            </w:r>
          </w:p>
        </w:tc>
        <w:tc>
          <w:tcPr>
            <w:tcW w:w="152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1 881,3</w:t>
            </w:r>
          </w:p>
        </w:tc>
        <w:tc>
          <w:tcPr>
            <w:tcW w:w="1500" w:type="dxa"/>
            <w:tcBorders>
              <w:top w:val="single" w:sz="4" w:space="0" w:color="auto"/>
              <w:left w:val="nil"/>
              <w:bottom w:val="nil"/>
              <w:right w:val="single" w:sz="4" w:space="0" w:color="auto"/>
            </w:tcBorders>
            <w:shd w:val="clear" w:color="auto" w:fill="auto"/>
            <w:noWrap/>
          </w:tcPr>
          <w:p>
            <w:pPr>
              <w:jc w:val="right"/>
              <w:rPr>
                <w:noProof/>
                <w:sz w:val="20"/>
                <w:szCs w:val="20"/>
              </w:rPr>
            </w:pPr>
            <w:r>
              <w:rPr>
                <w:noProof/>
                <w:sz w:val="20"/>
              </w:rPr>
              <w:t>1 870,7</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EL</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1 618,8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1 543,1</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1 431,7</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ES</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10 802,0</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10 319,7</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9 768,3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FR</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20 461,9</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19 494,2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18 167,2</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HR</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427,8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408,7</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386,2</w:t>
            </w:r>
          </w:p>
        </w:tc>
      </w:tr>
      <w:tr>
        <w:trPr>
          <w:trHeight w:val="2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szCs w:val="20"/>
              </w:rPr>
            </w:pPr>
            <w:r>
              <w:rPr>
                <w:b/>
                <w:noProof/>
                <w:color w:val="000000"/>
                <w:sz w:val="20"/>
              </w:rPr>
              <w:t>IT</w:t>
            </w:r>
          </w:p>
        </w:tc>
        <w:tc>
          <w:tcPr>
            <w:tcW w:w="146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rPr>
              <w:t>15 373,8</w:t>
            </w:r>
          </w:p>
        </w:tc>
        <w:tc>
          <w:tcPr>
            <w:tcW w:w="152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rPr>
              <w:t>14 662,3</w:t>
            </w:r>
          </w:p>
        </w:tc>
        <w:tc>
          <w:tcPr>
            <w:tcW w:w="1500" w:type="dxa"/>
            <w:tcBorders>
              <w:top w:val="nil"/>
              <w:left w:val="nil"/>
              <w:bottom w:val="single" w:sz="4" w:space="0" w:color="auto"/>
              <w:right w:val="single" w:sz="4" w:space="0" w:color="auto"/>
            </w:tcBorders>
            <w:shd w:val="clear" w:color="auto" w:fill="auto"/>
            <w:noWrap/>
          </w:tcPr>
          <w:p>
            <w:pPr>
              <w:jc w:val="right"/>
              <w:rPr>
                <w:noProof/>
                <w:sz w:val="20"/>
                <w:szCs w:val="20"/>
              </w:rPr>
            </w:pPr>
            <w:r>
              <w:rPr>
                <w:noProof/>
                <w:sz w:val="20"/>
              </w:rPr>
              <w:t>13 770,2</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CY</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165,6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158,2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151,1</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LV</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250,1</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238,8</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226,0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LT</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401,6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385,2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356,0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LU</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318,6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303,5</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294,4</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HU</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1 072,0</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1 023,9</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965,5</w:t>
            </w:r>
          </w:p>
        </w:tc>
      </w:tr>
      <w:tr>
        <w:trPr>
          <w:trHeight w:val="2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MT</w:t>
            </w:r>
          </w:p>
        </w:tc>
        <w:tc>
          <w:tcPr>
            <w:tcW w:w="146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92,9</w:t>
            </w:r>
          </w:p>
        </w:tc>
        <w:tc>
          <w:tcPr>
            <w:tcW w:w="152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88,9</w:t>
            </w:r>
          </w:p>
        </w:tc>
        <w:tc>
          <w:tcPr>
            <w:tcW w:w="1500" w:type="dxa"/>
            <w:tcBorders>
              <w:top w:val="single" w:sz="4" w:space="0" w:color="auto"/>
              <w:left w:val="nil"/>
              <w:bottom w:val="nil"/>
              <w:right w:val="single" w:sz="4" w:space="0" w:color="auto"/>
            </w:tcBorders>
            <w:shd w:val="clear" w:color="auto" w:fill="auto"/>
            <w:noWrap/>
          </w:tcPr>
          <w:p>
            <w:pPr>
              <w:jc w:val="right"/>
              <w:rPr>
                <w:noProof/>
                <w:sz w:val="20"/>
                <w:szCs w:val="20"/>
              </w:rPr>
            </w:pPr>
            <w:r>
              <w:rPr>
                <w:noProof/>
                <w:sz w:val="20"/>
              </w:rPr>
              <w:t>84,0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NL</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6 764,9</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6 464,0</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5 941,6</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AT</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2 943,7</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2 795,1</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2 634,8</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PL</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4 102,9</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3 923,0</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3 613,0</w:t>
            </w:r>
          </w:p>
        </w:tc>
      </w:tr>
      <w:tr>
        <w:trPr>
          <w:trHeight w:val="2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szCs w:val="20"/>
              </w:rPr>
            </w:pPr>
            <w:r>
              <w:rPr>
                <w:b/>
                <w:noProof/>
                <w:color w:val="000000"/>
                <w:sz w:val="20"/>
              </w:rPr>
              <w:t>PT</w:t>
            </w:r>
          </w:p>
        </w:tc>
        <w:tc>
          <w:tcPr>
            <w:tcW w:w="146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rPr>
              <w:t>1 671,7</w:t>
            </w:r>
          </w:p>
        </w:tc>
        <w:tc>
          <w:tcPr>
            <w:tcW w:w="152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rPr>
              <w:t>1 593,7</w:t>
            </w:r>
          </w:p>
        </w:tc>
        <w:tc>
          <w:tcPr>
            <w:tcW w:w="1500" w:type="dxa"/>
            <w:tcBorders>
              <w:top w:val="nil"/>
              <w:left w:val="nil"/>
              <w:bottom w:val="single" w:sz="4" w:space="0" w:color="auto"/>
              <w:right w:val="single" w:sz="4" w:space="0" w:color="auto"/>
            </w:tcBorders>
            <w:shd w:val="clear" w:color="auto" w:fill="auto"/>
            <w:noWrap/>
          </w:tcPr>
          <w:p>
            <w:pPr>
              <w:jc w:val="right"/>
              <w:rPr>
                <w:noProof/>
                <w:sz w:val="20"/>
                <w:szCs w:val="20"/>
              </w:rPr>
            </w:pPr>
            <w:r>
              <w:rPr>
                <w:noProof/>
                <w:sz w:val="20"/>
              </w:rPr>
              <w:t>1 504,4</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RO</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1 512,7</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1 439,2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1 357,0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SI</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402,1</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385,3</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363,2</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SK</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733,7</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 xml:space="preserve"> 699,9</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662,7</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FI</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1 881,4</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1 791,2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1 707,6</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SE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3 899,8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3 686,8</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3 218,3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noProof/>
                <w:color w:val="000000"/>
                <w:sz w:val="20"/>
              </w:rPr>
              <w:t>UK</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17 324,6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rPr>
              <w:t>16 271,7</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rPr>
              <w:t>13 647,6</w:t>
            </w:r>
          </w:p>
        </w:tc>
      </w:tr>
      <w:tr>
        <w:trPr>
          <w:trHeight w:val="20"/>
          <w:jc w:val="center"/>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pPr>
              <w:jc w:val="center"/>
              <w:rPr>
                <w:b/>
                <w:bCs/>
                <w:noProof/>
                <w:color w:val="000000"/>
                <w:sz w:val="20"/>
                <w:szCs w:val="20"/>
              </w:rPr>
            </w:pPr>
            <w:r>
              <w:rPr>
                <w:b/>
                <w:noProof/>
                <w:color w:val="000000"/>
                <w:sz w:val="20"/>
              </w:rPr>
              <w:t>EU</w:t>
            </w:r>
          </w:p>
        </w:tc>
        <w:tc>
          <w:tcPr>
            <w:tcW w:w="1460" w:type="dxa"/>
            <w:tcBorders>
              <w:top w:val="single" w:sz="4" w:space="0" w:color="auto"/>
              <w:left w:val="nil"/>
              <w:bottom w:val="single" w:sz="8" w:space="0" w:color="auto"/>
              <w:right w:val="single" w:sz="4" w:space="0" w:color="auto"/>
            </w:tcBorders>
            <w:shd w:val="clear" w:color="auto" w:fill="auto"/>
            <w:vAlign w:val="center"/>
          </w:tcPr>
          <w:p>
            <w:pPr>
              <w:jc w:val="right"/>
              <w:rPr>
                <w:b/>
                <w:bCs/>
                <w:noProof/>
                <w:sz w:val="20"/>
                <w:szCs w:val="20"/>
              </w:rPr>
            </w:pPr>
            <w:r>
              <w:rPr>
                <w:b/>
                <w:noProof/>
                <w:sz w:val="20"/>
              </w:rPr>
              <w:t>131 718,0</w:t>
            </w:r>
          </w:p>
        </w:tc>
        <w:tc>
          <w:tcPr>
            <w:tcW w:w="1520" w:type="dxa"/>
            <w:tcBorders>
              <w:top w:val="single" w:sz="4" w:space="0" w:color="auto"/>
              <w:left w:val="nil"/>
              <w:bottom w:val="single" w:sz="8" w:space="0" w:color="auto"/>
              <w:right w:val="single" w:sz="4" w:space="0" w:color="auto"/>
            </w:tcBorders>
            <w:shd w:val="clear" w:color="auto" w:fill="auto"/>
            <w:vAlign w:val="center"/>
          </w:tcPr>
          <w:p>
            <w:pPr>
              <w:jc w:val="right"/>
              <w:rPr>
                <w:b/>
                <w:noProof/>
                <w:sz w:val="20"/>
                <w:szCs w:val="20"/>
              </w:rPr>
            </w:pPr>
            <w:r>
              <w:rPr>
                <w:b/>
                <w:noProof/>
                <w:sz w:val="20"/>
              </w:rPr>
              <w:t>125 313,4</w:t>
            </w:r>
          </w:p>
        </w:tc>
        <w:tc>
          <w:tcPr>
            <w:tcW w:w="1500" w:type="dxa"/>
            <w:tcBorders>
              <w:top w:val="single" w:sz="4" w:space="0" w:color="auto"/>
              <w:left w:val="nil"/>
              <w:bottom w:val="single" w:sz="8" w:space="0" w:color="auto"/>
              <w:right w:val="single" w:sz="4" w:space="0" w:color="auto"/>
            </w:tcBorders>
            <w:shd w:val="clear" w:color="auto" w:fill="auto"/>
            <w:vAlign w:val="center"/>
          </w:tcPr>
          <w:p>
            <w:pPr>
              <w:jc w:val="right"/>
              <w:rPr>
                <w:b/>
                <w:bCs/>
                <w:noProof/>
                <w:sz w:val="20"/>
                <w:szCs w:val="20"/>
              </w:rPr>
            </w:pPr>
            <w:r>
              <w:rPr>
                <w:b/>
                <w:noProof/>
                <w:sz w:val="20"/>
              </w:rPr>
              <w:t>115 483,8</w:t>
            </w:r>
          </w:p>
        </w:tc>
      </w:tr>
    </w:tbl>
    <w:p>
      <w:pPr>
        <w:keepNext/>
        <w:tabs>
          <w:tab w:val="left" w:pos="850"/>
        </w:tabs>
        <w:spacing w:before="360" w:after="120"/>
        <w:ind w:left="850" w:hanging="850"/>
        <w:jc w:val="both"/>
        <w:outlineLvl w:val="1"/>
        <w:rPr>
          <w:rFonts w:eastAsia="Calibri"/>
          <w:b/>
          <w:noProof/>
        </w:rPr>
      </w:pPr>
      <w:bookmarkStart w:id="48" w:name="_Toc462410059"/>
      <w:bookmarkStart w:id="49" w:name="_Toc494994379"/>
      <w:bookmarkStart w:id="50" w:name="_Toc496196493"/>
      <w:r>
        <w:rPr>
          <w:b/>
          <w:noProof/>
        </w:rPr>
        <w:t>3.2</w:t>
      </w:r>
      <w:r>
        <w:rPr>
          <w:noProof/>
        </w:rPr>
        <w:tab/>
      </w:r>
      <w:r>
        <w:rPr>
          <w:b/>
          <w:noProof/>
        </w:rPr>
        <w:t>Révision des prévisions relatives aux RPT et aux assiettes TVA et RNB</w:t>
      </w:r>
      <w:bookmarkEnd w:id="48"/>
      <w:bookmarkEnd w:id="49"/>
      <w:bookmarkEnd w:id="50"/>
    </w:p>
    <w:p>
      <w:pPr>
        <w:spacing w:before="120" w:after="120"/>
        <w:jc w:val="both"/>
        <w:rPr>
          <w:noProof/>
        </w:rPr>
      </w:pPr>
      <w:bookmarkStart w:id="51" w:name="_Toc421699312"/>
      <w:bookmarkStart w:id="52" w:name="_Toc461544621"/>
      <w:bookmarkStart w:id="53" w:name="_Toc462410060"/>
      <w:bookmarkStart w:id="54" w:name="_Toc390436796"/>
      <w:bookmarkStart w:id="55" w:name="_Toc420941901"/>
      <w:bookmarkStart w:id="56" w:name="_Toc294673193"/>
      <w:bookmarkStart w:id="57" w:name="_Toc357005413"/>
      <w:bookmarkStart w:id="58" w:name="_Toc358885561"/>
      <w:r>
        <w:rPr>
          <w:noProof/>
        </w:rPr>
        <w:t>Conformément aux pratiques établies, la Commission propose de réviser le financement du budget sur la base de prévisions économiques plus récentes, adoptées au cours d’une réunion du comité consultatif des ressources propres (CCRP).</w:t>
      </w:r>
    </w:p>
    <w:p>
      <w:pPr>
        <w:spacing w:before="120" w:after="120"/>
        <w:jc w:val="both"/>
        <w:rPr>
          <w:noProof/>
        </w:rPr>
      </w:pPr>
      <w:r>
        <w:rPr>
          <w:noProof/>
        </w:rPr>
        <w:t>Cette révision porte sur les prévisions relatives aux ressources propres traditionnelles à verser au budget en 2017, ainsi que sur les prévisions relatives aux assiettes de la TVA et du RNB de 2017. Les prévisions figurant dans le budget 2017 ont été établies lors de la 166</w:t>
      </w:r>
      <w:r>
        <w:rPr>
          <w:noProof/>
          <w:vertAlign w:val="superscript"/>
        </w:rPr>
        <w:t>e</w:t>
      </w:r>
      <w:r>
        <w:rPr>
          <w:noProof/>
        </w:rPr>
        <w:t> réunion du CCRP, qui s’est tenue le 18 mai 2016. Les prévisions révisées prises en compte dans le présent PBR ont été adoptées lors de la 169</w:t>
      </w:r>
      <w:r>
        <w:rPr>
          <w:noProof/>
          <w:vertAlign w:val="superscript"/>
        </w:rPr>
        <w:t>e </w:t>
      </w:r>
      <w:r>
        <w:rPr>
          <w:noProof/>
        </w:rPr>
        <w:t>réunion du CCRP, le 19 mai 2017. L’utilisation de prévisions actualisées des ressources propres rend plus précise la détermination des prévisions de recettes et, partant, des versements demandés aux États membres pendant l’exercice budgétaire.</w:t>
      </w:r>
    </w:p>
    <w:p>
      <w:pPr>
        <w:spacing w:before="120" w:after="120"/>
        <w:jc w:val="both"/>
        <w:rPr>
          <w:noProof/>
        </w:rPr>
      </w:pPr>
      <w:r>
        <w:rPr>
          <w:noProof/>
        </w:rPr>
        <w:t>Par rapport aux prévisions arrêtées en mai 2016, les prévisions adoptées en mai 2017 ont été révisées comme suit</w:t>
      </w:r>
      <w:r>
        <w:rPr>
          <w:noProof/>
          <w:vertAlign w:val="superscript"/>
        </w:rPr>
        <w:footnoteReference w:id="13"/>
      </w:r>
      <w:r>
        <w:rPr>
          <w:noProof/>
        </w:rPr>
        <w:t>:</w:t>
      </w:r>
    </w:p>
    <w:p>
      <w:pPr>
        <w:numPr>
          <w:ilvl w:val="0"/>
          <w:numId w:val="2"/>
        </w:numPr>
        <w:spacing w:before="120" w:after="120"/>
        <w:jc w:val="both"/>
        <w:rPr>
          <w:noProof/>
        </w:rPr>
      </w:pPr>
      <w:r>
        <w:rPr>
          <w:noProof/>
        </w:rPr>
        <w:t>le total des RPT nettes pour 2017 est désormais estimé à 20 507,3 millions d’EUR (après déduction des 20 % de frais de perception), ce qui représente une diminution de -4,47 % par rapport aux prévisions figurant dans le budget 2017, qui étaient de 21 467,0 millions d’EUR. La Commission a comparé les résultats de la méthode traditionnelle appliquée par le CCRP pour les prévisions (sur la base des prévisions macroéconomiques du printemps 2017) avec ceux de l’extrapolation fondée sur les dernières données disponibles en matière de perception des droits de douane (janvier-avril 2017). Étant donné que l’écart entre les deux méthodes était relativement important (1 220 milliards d’EUR), les prévisions en matière de RPT actualisées suivant la méthode traditionnelle du CCRP sont intégralement ajustées aux prévisions découlant de la méthode d’extrapolation;</w:t>
      </w:r>
    </w:p>
    <w:p>
      <w:pPr>
        <w:numPr>
          <w:ilvl w:val="0"/>
          <w:numId w:val="2"/>
        </w:numPr>
        <w:spacing w:before="120" w:after="120"/>
        <w:jc w:val="both"/>
        <w:rPr>
          <w:noProof/>
        </w:rPr>
      </w:pPr>
      <w:r>
        <w:rPr>
          <w:noProof/>
        </w:rPr>
        <w:t xml:space="preserve">l’assiette TVA totale non écrêtée de l’UE pour 2017 est désormais estimée à 6 487 607,8 millions d’EUR, ce qui représente une augmentation de +0,16 % par rapport aux prévisions de mai 2016, qui s’étaient établies à 6 477 447,9 millions d’EUR. L’assiette TVA totale </w:t>
      </w:r>
      <w:r>
        <w:rPr>
          <w:i/>
          <w:noProof/>
        </w:rPr>
        <w:t>écrêtée</w:t>
      </w:r>
      <w:r>
        <w:rPr>
          <w:noProof/>
        </w:rPr>
        <w:t xml:space="preserve"> de l’UE pour 2017</w:t>
      </w:r>
      <w:r>
        <w:rPr>
          <w:noProof/>
          <w:vertAlign w:val="superscript"/>
        </w:rPr>
        <w:footnoteReference w:id="14"/>
      </w:r>
      <w:r>
        <w:rPr>
          <w:noProof/>
        </w:rPr>
        <w:t xml:space="preserve"> est estimée à 6 468 770,4 millions d’EUR, ce qui représente une augmentation de +0,15 % par rapport aux prévisions de mai 2016, qui s’étaient établies à 6 459 187,15 millions d’EUR;</w:t>
      </w:r>
    </w:p>
    <w:p>
      <w:pPr>
        <w:numPr>
          <w:ilvl w:val="0"/>
          <w:numId w:val="2"/>
        </w:numPr>
        <w:spacing w:before="120" w:after="120"/>
        <w:jc w:val="both"/>
        <w:rPr>
          <w:noProof/>
        </w:rPr>
      </w:pPr>
      <w:r>
        <w:rPr>
          <w:noProof/>
        </w:rPr>
        <w:t>l’assiette RNB totale de l’UE pour 2017 est estimée à 15 177 843,6 millions d’EUR, ce qui constitue une baisse (-1,51 %) par rapport aux prévisions de mai 2016, qui étaient de 15 410 553,3 millions d’EUR.</w:t>
      </w:r>
    </w:p>
    <w:p>
      <w:pPr>
        <w:jc w:val="both"/>
        <w:rPr>
          <w:noProof/>
        </w:rPr>
      </w:pPr>
      <w:r>
        <w:rPr>
          <w:noProof/>
        </w:rPr>
        <w:t>Les taux de change du 30 décembre 2016 ont été utilisés pour convertir en euros les prévisions des assiettes TVA et RNB libellées en monnaie nationale (pour les neuf États membres qui ne font pas partie de la zone euro). On évite ainsi des distorsions, puisque ce sont ces taux qui servent à convertir en monnaie nationale les paiements budgétisés de ressources propres exprimés en euros lorsque les montants sont prélevés (conformément aux dispositions de l’article 10 </w:t>
      </w:r>
      <w:r>
        <w:rPr>
          <w:i/>
          <w:noProof/>
        </w:rPr>
        <w:t>bis</w:t>
      </w:r>
      <w:r>
        <w:rPr>
          <w:noProof/>
        </w:rPr>
        <w:t>, paragraphe 1, du règlement nº 609/2014 du Conseil).</w:t>
      </w:r>
    </w:p>
    <w:p>
      <w:pPr>
        <w:spacing w:before="120" w:after="120"/>
        <w:jc w:val="both"/>
        <w:rPr>
          <w:noProof/>
        </w:rPr>
      </w:pPr>
      <w:r>
        <w:rPr>
          <w:noProof/>
        </w:rPr>
        <w:t>Les prévisions révisées des RPT, des assiettes TVA non écrêtées et des assiettes RNB pour 2017, telles qu’adoptées le 19 mai 2017 lors de la 169</w:t>
      </w:r>
      <w:r>
        <w:rPr>
          <w:noProof/>
          <w:vertAlign w:val="superscript"/>
        </w:rPr>
        <w:t>e </w:t>
      </w:r>
      <w:r>
        <w:rPr>
          <w:noProof/>
        </w:rPr>
        <w:t>réunion du CCRP, sont exposées dans le tableau ci-après:</w:t>
      </w:r>
    </w:p>
    <w:p>
      <w:pPr>
        <w:rPr>
          <w:noProof/>
        </w:rPr>
      </w:pPr>
      <w:r>
        <w:rPr>
          <w:noProof/>
        </w:rPr>
        <w:br w:type="page"/>
      </w:r>
    </w:p>
    <w:p>
      <w:pPr>
        <w:keepNext/>
        <w:jc w:val="center"/>
        <w:rPr>
          <w:b/>
          <w:i/>
          <w:noProof/>
        </w:rPr>
      </w:pPr>
      <w:r>
        <w:rPr>
          <w:b/>
          <w:noProof/>
        </w:rPr>
        <w:t>Prévisions révisées des RPT et des assiettes TVA et RNB pour 2017 (</w:t>
      </w:r>
      <w:r>
        <w:rPr>
          <w:b/>
          <w:i/>
          <w:noProof/>
        </w:rPr>
        <w:t>en Mio EUR</w:t>
      </w:r>
      <w:r>
        <w:rPr>
          <w:b/>
          <w:noProof/>
        </w:rPr>
        <w:t>)</w:t>
      </w:r>
    </w:p>
    <w:tbl>
      <w:tblPr>
        <w:tblW w:w="0" w:type="auto"/>
        <w:jc w:val="center"/>
        <w:tblLayout w:type="fixed"/>
        <w:tblLook w:val="0000" w:firstRow="0" w:lastRow="0" w:firstColumn="0" w:lastColumn="0" w:noHBand="0" w:noVBand="0"/>
      </w:tblPr>
      <w:tblGrid>
        <w:gridCol w:w="829"/>
        <w:gridCol w:w="1404"/>
        <w:gridCol w:w="1404"/>
        <w:gridCol w:w="1404"/>
        <w:gridCol w:w="1404"/>
        <w:gridCol w:w="1404"/>
      </w:tblGrid>
      <w:tr>
        <w:trPr>
          <w:trHeight w:val="742"/>
          <w:tblHeader/>
          <w:jc w:val="center"/>
        </w:trPr>
        <w:tc>
          <w:tcPr>
            <w:tcW w:w="829" w:type="dxa"/>
            <w:tcBorders>
              <w:bottom w:val="single" w:sz="12" w:space="0" w:color="auto"/>
              <w:right w:val="single" w:sz="12" w:space="0" w:color="000000"/>
            </w:tcBorders>
          </w:tcPr>
          <w:p>
            <w:pPr>
              <w:keepNext/>
              <w:autoSpaceDE w:val="0"/>
              <w:autoSpaceDN w:val="0"/>
              <w:adjustRightInd w:val="0"/>
              <w:jc w:val="right"/>
              <w:rPr>
                <w:b/>
                <w:bCs/>
                <w:noProof/>
                <w:color w:val="000000"/>
                <w:sz w:val="20"/>
              </w:rPr>
            </w:pPr>
            <w:bookmarkStart w:id="59" w:name="OLE_LINK1"/>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Cotisations</w:t>
            </w:r>
          </w:p>
          <w:p>
            <w:pPr>
              <w:keepNext/>
              <w:autoSpaceDE w:val="0"/>
              <w:autoSpaceDN w:val="0"/>
              <w:adjustRightInd w:val="0"/>
              <w:jc w:val="center"/>
              <w:rPr>
                <w:b/>
                <w:bCs/>
                <w:noProof/>
                <w:color w:val="000000"/>
                <w:sz w:val="20"/>
              </w:rPr>
            </w:pPr>
            <w:r>
              <w:rPr>
                <w:b/>
                <w:noProof/>
                <w:color w:val="000000"/>
                <w:sz w:val="20"/>
              </w:rPr>
              <w:t>«sucre»</w:t>
            </w:r>
          </w:p>
          <w:p>
            <w:pPr>
              <w:keepNext/>
              <w:autoSpaceDE w:val="0"/>
              <w:autoSpaceDN w:val="0"/>
              <w:adjustRightInd w:val="0"/>
              <w:jc w:val="center"/>
              <w:rPr>
                <w:b/>
                <w:bCs/>
                <w:noProof/>
                <w:color w:val="000000"/>
                <w:sz w:val="20"/>
              </w:rPr>
            </w:pPr>
            <w:r>
              <w:rPr>
                <w:b/>
                <w:i/>
                <w:noProof/>
                <w:color w:val="000000"/>
                <w:sz w:val="20"/>
              </w:rPr>
              <w:t xml:space="preserve">(80 %)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Droits de douane</w:t>
            </w:r>
          </w:p>
          <w:p>
            <w:pPr>
              <w:keepNext/>
              <w:autoSpaceDE w:val="0"/>
              <w:autoSpaceDN w:val="0"/>
              <w:adjustRightInd w:val="0"/>
              <w:jc w:val="center"/>
              <w:rPr>
                <w:b/>
                <w:bCs/>
                <w:i/>
                <w:iCs/>
                <w:noProof/>
                <w:color w:val="000000"/>
                <w:sz w:val="20"/>
              </w:rPr>
            </w:pPr>
            <w:r>
              <w:rPr>
                <w:b/>
                <w:i/>
                <w:noProof/>
                <w:color w:val="000000"/>
                <w:sz w:val="20"/>
              </w:rPr>
              <w:t>(80 %)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Assiettes TVA non écrêtées</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Assiettes RNB</w:t>
            </w:r>
          </w:p>
        </w:tc>
        <w:tc>
          <w:tcPr>
            <w:tcW w:w="1404" w:type="dxa"/>
            <w:tcBorders>
              <w:top w:val="single" w:sz="12" w:space="0" w:color="auto"/>
              <w:left w:val="single" w:sz="2" w:space="0" w:color="000000"/>
              <w:bottom w:val="single" w:sz="12" w:space="0" w:color="auto"/>
              <w:right w:val="single" w:sz="12" w:space="0" w:color="auto"/>
            </w:tcBorders>
            <w:shd w:val="clear" w:color="auto" w:fill="E0E0E0"/>
            <w:vAlign w:val="center"/>
          </w:tcPr>
          <w:p>
            <w:pPr>
              <w:keepNext/>
              <w:autoSpaceDE w:val="0"/>
              <w:autoSpaceDN w:val="0"/>
              <w:adjustRightInd w:val="0"/>
              <w:jc w:val="center"/>
              <w:rPr>
                <w:b/>
                <w:bCs/>
                <w:i/>
                <w:iCs/>
                <w:noProof/>
                <w:color w:val="000000"/>
                <w:sz w:val="20"/>
              </w:rPr>
            </w:pPr>
            <w:r>
              <w:rPr>
                <w:b/>
                <w:i/>
                <w:noProof/>
                <w:color w:val="000000"/>
                <w:sz w:val="20"/>
              </w:rPr>
              <w:t>Assiettes TVA</w:t>
            </w:r>
          </w:p>
          <w:p>
            <w:pPr>
              <w:keepNext/>
              <w:autoSpaceDE w:val="0"/>
              <w:autoSpaceDN w:val="0"/>
              <w:adjustRightInd w:val="0"/>
              <w:jc w:val="center"/>
              <w:rPr>
                <w:b/>
                <w:bCs/>
                <w:i/>
                <w:iCs/>
                <w:noProof/>
                <w:color w:val="000000"/>
                <w:sz w:val="20"/>
              </w:rPr>
            </w:pPr>
            <w:r>
              <w:rPr>
                <w:b/>
                <w:i/>
                <w:noProof/>
                <w:color w:val="000000"/>
                <w:sz w:val="20"/>
              </w:rPr>
              <w:t>écrêtées</w:t>
            </w:r>
            <w:r>
              <w:rPr>
                <w:b/>
                <w:i/>
                <w:noProof/>
                <w:color w:val="000000"/>
                <w:sz w:val="20"/>
                <w:vertAlign w:val="superscript"/>
              </w:rPr>
              <w:footnoteReference w:id="15"/>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BE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7,0</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 xml:space="preserve">2 180,8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181 702,0</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 xml:space="preserve">430 857,3 </w:t>
            </w:r>
          </w:p>
        </w:tc>
        <w:tc>
          <w:tcPr>
            <w:tcW w:w="1404" w:type="dxa"/>
            <w:tcBorders>
              <w:top w:val="single" w:sz="12" w:space="0" w:color="auto"/>
              <w:left w:val="single" w:sz="2" w:space="0" w:color="000000"/>
              <w:bottom w:val="single" w:sz="2" w:space="0" w:color="000000"/>
              <w:right w:val="single" w:sz="12" w:space="0" w:color="auto"/>
            </w:tcBorders>
            <w:shd w:val="clear" w:color="auto" w:fill="auto"/>
            <w:vAlign w:val="center"/>
          </w:tcPr>
          <w:p>
            <w:pPr>
              <w:ind w:left="20"/>
              <w:contextualSpacing/>
              <w:jc w:val="right"/>
              <w:rPr>
                <w:noProof/>
                <w:color w:val="000000"/>
                <w:sz w:val="20"/>
              </w:rPr>
            </w:pPr>
            <w:r>
              <w:rPr>
                <w:noProof/>
                <w:color w:val="000000"/>
                <w:sz w:val="20"/>
              </w:rPr>
              <w:t xml:space="preserve">181 702,0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BG</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0,4</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 xml:space="preserve">74,3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23 169,3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48 254,9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23 169,3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CZ</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3,6</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253,9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69 591,7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170 821,6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69 591,7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DK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3,6</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333,1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109 543,6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294 073,0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109 543,6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DE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28,1</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4 214,7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1 344 582,5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3 292 895,8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1 344 582,5 </w:t>
            </w:r>
          </w:p>
        </w:tc>
      </w:tr>
      <w:tr>
        <w:trPr>
          <w:trHeight w:val="247"/>
          <w:jc w:val="center"/>
        </w:trPr>
        <w:tc>
          <w:tcPr>
            <w:tcW w:w="829" w:type="dxa"/>
            <w:tcBorders>
              <w:top w:val="single" w:sz="2" w:space="0" w:color="000000"/>
              <w:left w:val="single" w:sz="12" w:space="0" w:color="auto"/>
              <w:bottom w:val="single" w:sz="2"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EE</w:t>
            </w:r>
          </w:p>
        </w:tc>
        <w:tc>
          <w:tcPr>
            <w:tcW w:w="1404" w:type="dxa"/>
            <w:tcBorders>
              <w:top w:val="single" w:sz="2" w:space="0" w:color="000000"/>
              <w:left w:val="single" w:sz="2" w:space="0" w:color="000000"/>
              <w:bottom w:val="single" w:sz="2" w:space="0" w:color="auto"/>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rPr>
            </w:pPr>
            <w:r>
              <w:rPr>
                <w:noProof/>
                <w:color w:val="000000"/>
                <w:sz w:val="20"/>
              </w:rPr>
              <w:t xml:space="preserve">29,1 </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rPr>
            </w:pPr>
            <w:r>
              <w:rPr>
                <w:noProof/>
                <w:color w:val="000000"/>
                <w:sz w:val="20"/>
              </w:rPr>
              <w:t xml:space="preserve">11 013,6 </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rPr>
            </w:pPr>
            <w:r>
              <w:rPr>
                <w:noProof/>
                <w:color w:val="000000"/>
                <w:sz w:val="20"/>
              </w:rPr>
              <w:t xml:space="preserve">21 710,8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10 855,4 </w:t>
            </w:r>
          </w:p>
        </w:tc>
      </w:tr>
      <w:tr>
        <w:trPr>
          <w:trHeight w:val="247"/>
          <w:jc w:val="center"/>
        </w:trPr>
        <w:tc>
          <w:tcPr>
            <w:tcW w:w="829" w:type="dxa"/>
            <w:tcBorders>
              <w:top w:val="single" w:sz="2"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IE</w:t>
            </w:r>
          </w:p>
        </w:tc>
        <w:tc>
          <w:tcPr>
            <w:tcW w:w="1404" w:type="dxa"/>
            <w:tcBorders>
              <w:top w:val="single" w:sz="2"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277,1 </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82 328,0 </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231 429,7 </w:t>
            </w:r>
          </w:p>
        </w:tc>
        <w:tc>
          <w:tcPr>
            <w:tcW w:w="1404" w:type="dxa"/>
            <w:tcBorders>
              <w:top w:val="single" w:sz="2" w:space="0" w:color="000000"/>
              <w:left w:val="single" w:sz="2" w:space="0" w:color="000000"/>
              <w:bottom w:val="single" w:sz="2" w:space="0" w:color="auto"/>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82 328,0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EL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1,5</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156,9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72 702,4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181 726,6 </w:t>
            </w:r>
          </w:p>
        </w:tc>
        <w:tc>
          <w:tcPr>
            <w:tcW w:w="1404" w:type="dxa"/>
            <w:tcBorders>
              <w:top w:val="single" w:sz="2" w:space="0" w:color="auto"/>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72 702,4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ES</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5,0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1 521,4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511 216,1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1 157 887,3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511 216,1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FR</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33,0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1 599,0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1 016 719,6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2 324 154,3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1 016 719,6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HR</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1,9</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45,8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28 337,3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46 300,3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23 150,2 </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IT</w:t>
            </w:r>
          </w:p>
        </w:tc>
        <w:tc>
          <w:tcPr>
            <w:tcW w:w="1404" w:type="dxa"/>
            <w:tcBorders>
              <w:top w:val="single" w:sz="2" w:space="0" w:color="000000"/>
              <w:left w:val="single" w:sz="2" w:space="0" w:color="000000"/>
              <w:bottom w:val="single" w:sz="4" w:space="0" w:color="auto"/>
              <w:right w:val="single" w:sz="2" w:space="0" w:color="000000"/>
            </w:tcBorders>
            <w:vAlign w:val="center"/>
          </w:tcPr>
          <w:p>
            <w:pPr>
              <w:ind w:left="20"/>
              <w:contextualSpacing/>
              <w:jc w:val="right"/>
              <w:rPr>
                <w:noProof/>
                <w:color w:val="000000"/>
                <w:sz w:val="20"/>
              </w:rPr>
            </w:pPr>
            <w:r>
              <w:rPr>
                <w:noProof/>
                <w:color w:val="000000"/>
                <w:sz w:val="20"/>
              </w:rPr>
              <w:t>5,0</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1 910,7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649 635,8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1 705 264,7 </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649 635,8 </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CY</w:t>
            </w:r>
          </w:p>
        </w:tc>
        <w:tc>
          <w:tcPr>
            <w:tcW w:w="1404" w:type="dxa"/>
            <w:tcBorders>
              <w:top w:val="single" w:sz="4"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20,3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12 082,5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17 909,5 </w:t>
            </w:r>
          </w:p>
        </w:tc>
        <w:tc>
          <w:tcPr>
            <w:tcW w:w="1404" w:type="dxa"/>
            <w:tcBorders>
              <w:top w:val="single" w:sz="4" w:space="0" w:color="auto"/>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8 954,8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LV</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40,7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10 662,9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26 452,1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10 662,9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LT</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0,9</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77,0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16 556,7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39 240,8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16 556,7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LU</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19,5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26 940,4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37 268,3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18 634,2 </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HU</w:t>
            </w:r>
          </w:p>
        </w:tc>
        <w:tc>
          <w:tcPr>
            <w:tcW w:w="1404" w:type="dxa"/>
            <w:tcBorders>
              <w:top w:val="single" w:sz="2" w:space="0" w:color="000000"/>
              <w:left w:val="single" w:sz="2" w:space="0" w:color="000000"/>
              <w:bottom w:val="single" w:sz="4" w:space="0" w:color="auto"/>
              <w:right w:val="single" w:sz="2" w:space="0" w:color="000000"/>
            </w:tcBorders>
            <w:vAlign w:val="center"/>
          </w:tcPr>
          <w:p>
            <w:pPr>
              <w:ind w:left="20"/>
              <w:contextualSpacing/>
              <w:jc w:val="right"/>
              <w:rPr>
                <w:noProof/>
                <w:color w:val="000000"/>
                <w:sz w:val="20"/>
              </w:rPr>
            </w:pPr>
            <w:r>
              <w:rPr>
                <w:noProof/>
                <w:color w:val="000000"/>
                <w:sz w:val="20"/>
              </w:rPr>
              <w:t>2,2</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140,1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48 357,0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116 824,7 </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48 357,0 </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MT</w:t>
            </w:r>
          </w:p>
        </w:tc>
        <w:tc>
          <w:tcPr>
            <w:tcW w:w="1404" w:type="dxa"/>
            <w:tcBorders>
              <w:top w:val="single" w:sz="4"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11,9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6 757,1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9 843,1 </w:t>
            </w:r>
          </w:p>
        </w:tc>
        <w:tc>
          <w:tcPr>
            <w:tcW w:w="1404" w:type="dxa"/>
            <w:tcBorders>
              <w:top w:val="single" w:sz="4" w:space="0" w:color="auto"/>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4 921,6</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NL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7,7</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2 433,2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304 311,3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712 882,7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304 311,3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AT</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3,4</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204,1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168 078,0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360 646,5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168 078,0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PL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13,7</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608,6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179 446,7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422 847,6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179 446,7 </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PT</w:t>
            </w:r>
          </w:p>
        </w:tc>
        <w:tc>
          <w:tcPr>
            <w:tcW w:w="1404" w:type="dxa"/>
            <w:tcBorders>
              <w:top w:val="dotted" w:sz="6"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0,2</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138,3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93 756,3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187 067,6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93 533,8 </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RO</w:t>
            </w:r>
          </w:p>
        </w:tc>
        <w:tc>
          <w:tcPr>
            <w:tcW w:w="1404" w:type="dxa"/>
            <w:tcBorders>
              <w:top w:val="dotted" w:sz="6"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1,0</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148,0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63 769,3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174 951,6 </w:t>
            </w:r>
          </w:p>
        </w:tc>
        <w:tc>
          <w:tcPr>
            <w:tcW w:w="1404" w:type="dxa"/>
            <w:tcBorders>
              <w:top w:val="dotted" w:sz="6" w:space="0" w:color="auto"/>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63 769,3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SI</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67,6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19 185,3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40 910,3 </w:t>
            </w:r>
          </w:p>
        </w:tc>
        <w:tc>
          <w:tcPr>
            <w:tcW w:w="1404" w:type="dxa"/>
            <w:tcBorders>
              <w:top w:val="single" w:sz="2" w:space="0" w:color="000000"/>
              <w:left w:val="single" w:sz="2" w:space="0" w:color="000000"/>
              <w:bottom w:val="single" w:sz="2" w:space="0" w:color="000000"/>
              <w:right w:val="single" w:sz="12" w:space="0" w:color="auto"/>
            </w:tcBorders>
            <w:shd w:val="clear" w:color="C0C0C0" w:fill="auto"/>
            <w:vAlign w:val="center"/>
          </w:tcPr>
          <w:p>
            <w:pPr>
              <w:contextualSpacing/>
              <w:jc w:val="right"/>
              <w:rPr>
                <w:noProof/>
                <w:color w:val="000000"/>
                <w:sz w:val="20"/>
              </w:rPr>
            </w:pPr>
            <w:r>
              <w:rPr>
                <w:noProof/>
                <w:color w:val="000000"/>
                <w:sz w:val="20"/>
              </w:rPr>
              <w:t xml:space="preserve">19 185,3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SK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1,4</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95,7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28 850,4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82 304,9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28 850,4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FI</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0,8</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140,5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94 101,7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220 743,3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94 101,7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SE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2,8</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497,4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208 548,1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488 888,5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208 548,1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UK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10,10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3 134,5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1 105 662,2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2 333 685,8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1 105 662,2 </w:t>
            </w:r>
          </w:p>
        </w:tc>
      </w:tr>
      <w:tr>
        <w:trPr>
          <w:trHeight w:val="276"/>
          <w:jc w:val="center"/>
        </w:trPr>
        <w:tc>
          <w:tcPr>
            <w:tcW w:w="829" w:type="dxa"/>
            <w:tcBorders>
              <w:top w:val="single" w:sz="12" w:space="0" w:color="auto"/>
              <w:left w:val="single" w:sz="12" w:space="0" w:color="auto"/>
              <w:bottom w:val="single" w:sz="12"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UE-28</w:t>
            </w:r>
          </w:p>
        </w:tc>
        <w:tc>
          <w:tcPr>
            <w:tcW w:w="1404" w:type="dxa"/>
            <w:tcBorders>
              <w:top w:val="single" w:sz="12" w:space="0" w:color="auto"/>
              <w:left w:val="single" w:sz="2" w:space="0" w:color="000000"/>
              <w:bottom w:val="single" w:sz="12" w:space="0" w:color="auto"/>
              <w:right w:val="single" w:sz="2" w:space="0" w:color="000000"/>
            </w:tcBorders>
            <w:vAlign w:val="center"/>
          </w:tcPr>
          <w:p>
            <w:pPr>
              <w:ind w:left="20"/>
              <w:contextualSpacing/>
              <w:jc w:val="right"/>
              <w:rPr>
                <w:b/>
                <w:bCs/>
                <w:noProof/>
                <w:color w:val="000000"/>
                <w:sz w:val="20"/>
              </w:rPr>
            </w:pPr>
            <w:r>
              <w:rPr>
                <w:b/>
                <w:noProof/>
                <w:color w:val="000000"/>
                <w:sz w:val="20"/>
              </w:rPr>
              <w:t>133,3</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rPr>
            </w:pPr>
            <w:r>
              <w:rPr>
                <w:b/>
                <w:noProof/>
                <w:color w:val="000000"/>
                <w:sz w:val="20"/>
              </w:rPr>
              <w:t xml:space="preserve">20 374,0 </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rPr>
            </w:pPr>
            <w:r>
              <w:rPr>
                <w:b/>
                <w:noProof/>
                <w:color w:val="000000"/>
                <w:sz w:val="20"/>
              </w:rPr>
              <w:t xml:space="preserve">6 487 607,8 </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rPr>
            </w:pPr>
            <w:r>
              <w:rPr>
                <w:b/>
                <w:noProof/>
                <w:color w:val="000000"/>
                <w:sz w:val="20"/>
              </w:rPr>
              <w:t xml:space="preserve">15 177 843,6 </w:t>
            </w:r>
          </w:p>
        </w:tc>
        <w:tc>
          <w:tcPr>
            <w:tcW w:w="1404" w:type="dxa"/>
            <w:tcBorders>
              <w:top w:val="single" w:sz="12" w:space="0" w:color="auto"/>
              <w:left w:val="single" w:sz="2" w:space="0" w:color="000000"/>
              <w:bottom w:val="single" w:sz="12" w:space="0" w:color="auto"/>
              <w:right w:val="single" w:sz="12" w:space="0" w:color="auto"/>
            </w:tcBorders>
            <w:vAlign w:val="center"/>
          </w:tcPr>
          <w:p>
            <w:pPr>
              <w:contextualSpacing/>
              <w:jc w:val="right"/>
              <w:rPr>
                <w:b/>
                <w:bCs/>
                <w:noProof/>
                <w:color w:val="000000"/>
                <w:sz w:val="20"/>
              </w:rPr>
            </w:pPr>
            <w:r>
              <w:rPr>
                <w:b/>
                <w:noProof/>
                <w:color w:val="000000"/>
                <w:sz w:val="20"/>
              </w:rPr>
              <w:t xml:space="preserve">6 468 770,4 </w:t>
            </w:r>
          </w:p>
        </w:tc>
      </w:tr>
    </w:tbl>
    <w:p>
      <w:pPr>
        <w:keepNext/>
        <w:tabs>
          <w:tab w:val="left" w:pos="850"/>
        </w:tabs>
        <w:spacing w:before="360" w:after="120"/>
        <w:ind w:left="850" w:hanging="850"/>
        <w:jc w:val="both"/>
        <w:outlineLvl w:val="1"/>
        <w:rPr>
          <w:rFonts w:eastAsia="Calibri"/>
          <w:b/>
          <w:noProof/>
        </w:rPr>
      </w:pPr>
      <w:bookmarkStart w:id="60" w:name="_Toc494994380"/>
      <w:bookmarkStart w:id="61" w:name="_Toc496196494"/>
      <w:bookmarkEnd w:id="59"/>
      <w:r>
        <w:rPr>
          <w:b/>
          <w:noProof/>
        </w:rPr>
        <w:t>3.3</w:t>
      </w:r>
      <w:r>
        <w:rPr>
          <w:noProof/>
        </w:rPr>
        <w:tab/>
      </w:r>
      <w:r>
        <w:rPr>
          <w:b/>
          <w:noProof/>
        </w:rPr>
        <w:t>Correction britannique 2016 et 2013</w:t>
      </w:r>
      <w:bookmarkEnd w:id="51"/>
      <w:bookmarkEnd w:id="52"/>
      <w:bookmarkEnd w:id="53"/>
      <w:bookmarkEnd w:id="60"/>
      <w:bookmarkEnd w:id="61"/>
    </w:p>
    <w:p>
      <w:pPr>
        <w:tabs>
          <w:tab w:val="left" w:pos="850"/>
        </w:tabs>
        <w:rPr>
          <w:bCs/>
          <w:i/>
          <w:noProof/>
        </w:rPr>
      </w:pPr>
      <w:bookmarkStart w:id="62" w:name="_Toc294673194"/>
      <w:bookmarkStart w:id="63" w:name="_Toc357005414"/>
      <w:bookmarkStart w:id="64" w:name="_Toc390436797"/>
      <w:bookmarkStart w:id="65" w:name="_Toc420941902"/>
      <w:bookmarkStart w:id="66" w:name="_Toc461544622"/>
      <w:bookmarkEnd w:id="54"/>
      <w:bookmarkEnd w:id="55"/>
      <w:r>
        <w:rPr>
          <w:i/>
          <w:noProof/>
        </w:rPr>
        <w:t>3.3.1</w:t>
      </w:r>
      <w:r>
        <w:rPr>
          <w:noProof/>
        </w:rPr>
        <w:tab/>
      </w:r>
      <w:r>
        <w:rPr>
          <w:i/>
          <w:noProof/>
        </w:rPr>
        <w:t>Introduction</w:t>
      </w:r>
      <w:bookmarkEnd w:id="62"/>
      <w:bookmarkEnd w:id="63"/>
      <w:bookmarkEnd w:id="64"/>
      <w:bookmarkEnd w:id="65"/>
      <w:bookmarkEnd w:id="66"/>
    </w:p>
    <w:p>
      <w:pPr>
        <w:spacing w:before="120" w:after="120"/>
        <w:jc w:val="both"/>
        <w:rPr>
          <w:noProof/>
        </w:rPr>
      </w:pPr>
      <w:r>
        <w:rPr>
          <w:noProof/>
        </w:rPr>
        <w:t>La correction des déséquilibres budgétaires en faveur du Royaume-Uni (correction britannique) qu’il convient de budgétiser dans le présent PBR concerne deux exercices: 2013 et 2016.</w:t>
      </w:r>
    </w:p>
    <w:p>
      <w:pPr>
        <w:jc w:val="both"/>
        <w:rPr>
          <w:noProof/>
        </w:rPr>
      </w:pPr>
      <w:r>
        <w:rPr>
          <w:noProof/>
        </w:rPr>
        <w:t>La correction britannique pour 2013 relève des dispositions de la décision 2007/436/CE, Euratom du Conseil relative au système des ressources propres des Communautés européennes</w:t>
      </w:r>
      <w:r>
        <w:rPr>
          <w:noProof/>
          <w:vertAlign w:val="superscript"/>
        </w:rPr>
        <w:footnoteReference w:id="16"/>
      </w:r>
      <w:r>
        <w:rPr>
          <w:noProof/>
        </w:rPr>
        <w:t xml:space="preserve"> et du document de travail qui l’accompagne, le </w:t>
      </w:r>
      <w:r>
        <w:rPr>
          <w:i/>
          <w:noProof/>
        </w:rPr>
        <w:t>Mode de calcul de 2007</w:t>
      </w:r>
      <w:r>
        <w:rPr>
          <w:noProof/>
          <w:vertAlign w:val="superscript"/>
        </w:rPr>
        <w:footnoteReference w:id="17"/>
      </w:r>
      <w:r>
        <w:rPr>
          <w:noProof/>
        </w:rPr>
        <w:t xml:space="preserve">. Conformément aux dispositions de cette décision, les «gains exceptionnels» nets du Royaume-Uni résultant de l’augmentation, à partir de 2001, du pourcentage de RPT retenu par les États membres à titre de compensation pour leurs frais de perception sont neutralisés, et les dépenses réparties sont ajustées du montant total des dépenses réparties dans les États membres qui ont adhéré à l’UE après le 30 avril 2004, sauf pour les paiements agricoles directs et les dépenses liées au marché ainsi que la partie des dépenses de développement rural provenant de la section «Garantie» du FEOGA. </w:t>
      </w:r>
    </w:p>
    <w:p>
      <w:pPr>
        <w:jc w:val="both"/>
        <w:rPr>
          <w:noProof/>
        </w:rPr>
      </w:pPr>
      <w:r>
        <w:rPr>
          <w:noProof/>
        </w:rPr>
        <w:t>La correction britannique pour 2016 relève des dispositions de la décision 2014/335/UE, Euratom du Conseil relative au système des ressources propres de l’Union européenne</w:t>
      </w:r>
      <w:r>
        <w:rPr>
          <w:rStyle w:val="FootnoteReference"/>
          <w:noProof/>
        </w:rPr>
        <w:footnoteReference w:id="18"/>
      </w:r>
      <w:r>
        <w:rPr>
          <w:noProof/>
        </w:rPr>
        <w:t xml:space="preserve"> et du document de travail qui l’accompagne, le </w:t>
      </w:r>
      <w:r>
        <w:rPr>
          <w:i/>
          <w:noProof/>
        </w:rPr>
        <w:t>Mode de calcul de 2014</w:t>
      </w:r>
      <w:r>
        <w:rPr>
          <w:noProof/>
          <w:vertAlign w:val="superscript"/>
        </w:rPr>
        <w:footnoteReference w:id="19"/>
      </w:r>
      <w:r>
        <w:rPr>
          <w:noProof/>
        </w:rPr>
        <w:t xml:space="preserve">. Conformément aux dispositions de cette décision, les «gains exceptionnels» nets du Royaume-Uni résultant de l’augmentation, à partir de 2001, du pourcentage de RPT retenu par les États membres à titre de compensation pour leurs frais de perception sont neutralisés (compte tenu des frais de perception de 20 %), et les dépenses réparties sont ajustées du montant total des dépenses réparties dans les États membres qui ont adhéré à l’UE après le 30 avril 2004, sauf pour les paiements agricoles directs et les dépenses liées au marché ainsi que la partie des dépenses de développement rural provenant de la section «Garantie» du FEOGA. </w:t>
      </w:r>
    </w:p>
    <w:p>
      <w:pPr>
        <w:spacing w:before="120" w:after="120"/>
        <w:jc w:val="both"/>
        <w:rPr>
          <w:noProof/>
        </w:rPr>
      </w:pPr>
      <w:r>
        <w:rPr>
          <w:noProof/>
        </w:rPr>
        <w:t>En outre, la part de l’Autriche, de l’Allemagne, des Pays-Bas et de la Suède dans le financement de la correction britannique est ramenée à un quart par rapport à leur part normale pour les corrections de 2013 et de 2016. Cette réduction est financée par les autres États membres, à l’exclusion du Royaume-Uni.</w:t>
      </w:r>
    </w:p>
    <w:p>
      <w:pPr>
        <w:spacing w:before="120" w:after="120"/>
        <w:jc w:val="both"/>
        <w:rPr>
          <w:noProof/>
        </w:rPr>
      </w:pPr>
      <w:r>
        <w:rPr>
          <w:noProof/>
        </w:rPr>
        <w:t xml:space="preserve">La différence entre le </w:t>
      </w:r>
      <w:r>
        <w:rPr>
          <w:i/>
          <w:noProof/>
        </w:rPr>
        <w:t>montant définitif de la correction britannique pour 2013</w:t>
      </w:r>
      <w:r>
        <w:rPr>
          <w:noProof/>
        </w:rPr>
        <w:t xml:space="preserve"> et le montant budgétisé précédemment (</w:t>
      </w:r>
      <w:r>
        <w:rPr>
          <w:i/>
          <w:noProof/>
        </w:rPr>
        <w:t>deuxième mise à jour</w:t>
      </w:r>
      <w:r>
        <w:rPr>
          <w:noProof/>
        </w:rPr>
        <w:t xml:space="preserve"> dans le BR nº 5/2016) est inscrite au chapitre 35 du présent PBR. </w:t>
      </w:r>
    </w:p>
    <w:p>
      <w:pPr>
        <w:spacing w:before="120" w:after="120"/>
        <w:jc w:val="both"/>
        <w:rPr>
          <w:noProof/>
        </w:rPr>
      </w:pPr>
      <w:r>
        <w:rPr>
          <w:noProof/>
        </w:rPr>
        <w:t xml:space="preserve">La différence entre la </w:t>
      </w:r>
      <w:r>
        <w:rPr>
          <w:i/>
          <w:noProof/>
        </w:rPr>
        <w:t>première mise à jour de la correction britannique pour 2016</w:t>
      </w:r>
      <w:r>
        <w:rPr>
          <w:noProof/>
        </w:rPr>
        <w:t xml:space="preserve"> et le montant budgétisé précédemment (</w:t>
      </w:r>
      <w:r>
        <w:rPr>
          <w:i/>
          <w:noProof/>
        </w:rPr>
        <w:t>montant provisoire</w:t>
      </w:r>
      <w:r>
        <w:rPr>
          <w:noProof/>
        </w:rPr>
        <w:t xml:space="preserve"> figurant dans le budget 2017) est inscrite au chapitre 15 du présent PBR.</w:t>
      </w:r>
    </w:p>
    <w:p>
      <w:pPr>
        <w:tabs>
          <w:tab w:val="left" w:pos="850"/>
        </w:tabs>
        <w:rPr>
          <w:bCs/>
          <w:i/>
          <w:noProof/>
        </w:rPr>
      </w:pPr>
      <w:bookmarkStart w:id="67" w:name="_Toc231879704"/>
      <w:bookmarkStart w:id="68" w:name="_Toc293417236"/>
      <w:bookmarkStart w:id="69" w:name="_Toc294673195"/>
      <w:bookmarkStart w:id="70" w:name="_Toc357005415"/>
      <w:bookmarkStart w:id="71" w:name="_Toc390436798"/>
      <w:bookmarkStart w:id="72" w:name="_Toc420941903"/>
      <w:bookmarkStart w:id="73" w:name="_Toc461544623"/>
      <w:bookmarkStart w:id="74" w:name="_Toc462410061"/>
      <w:bookmarkEnd w:id="56"/>
      <w:bookmarkEnd w:id="57"/>
      <w:bookmarkEnd w:id="58"/>
      <w:r>
        <w:rPr>
          <w:i/>
          <w:noProof/>
        </w:rPr>
        <w:t>3.3.2</w:t>
      </w:r>
      <w:r>
        <w:rPr>
          <w:noProof/>
        </w:rPr>
        <w:tab/>
      </w:r>
      <w:r>
        <w:rPr>
          <w:i/>
          <w:noProof/>
        </w:rPr>
        <w:t>Calcul des corrections</w:t>
      </w:r>
      <w:bookmarkEnd w:id="67"/>
      <w:bookmarkEnd w:id="68"/>
      <w:bookmarkEnd w:id="69"/>
      <w:bookmarkEnd w:id="70"/>
      <w:bookmarkEnd w:id="71"/>
      <w:bookmarkEnd w:id="72"/>
      <w:bookmarkEnd w:id="73"/>
    </w:p>
    <w:p>
      <w:pPr>
        <w:spacing w:before="120" w:after="120"/>
        <w:jc w:val="both"/>
        <w:rPr>
          <w:noProof/>
        </w:rPr>
      </w:pPr>
      <w:r>
        <w:rPr>
          <w:noProof/>
        </w:rPr>
        <w:t xml:space="preserve">Dans le présent PBR sont introduits le calcul et le financement de la </w:t>
      </w:r>
      <w:r>
        <w:rPr>
          <w:i/>
          <w:noProof/>
        </w:rPr>
        <w:t>première mise à jour</w:t>
      </w:r>
      <w:r>
        <w:rPr>
          <w:noProof/>
        </w:rPr>
        <w:t xml:space="preserve"> de la correction britannique </w:t>
      </w:r>
      <w:r>
        <w:rPr>
          <w:i/>
          <w:noProof/>
        </w:rPr>
        <w:t>pour 2016</w:t>
      </w:r>
      <w:r>
        <w:rPr>
          <w:noProof/>
        </w:rPr>
        <w:t xml:space="preserve"> ainsi que du </w:t>
      </w:r>
      <w:r>
        <w:rPr>
          <w:i/>
          <w:noProof/>
        </w:rPr>
        <w:t>montant définitif</w:t>
      </w:r>
      <w:r>
        <w:rPr>
          <w:noProof/>
        </w:rPr>
        <w:t xml:space="preserve"> de la correction britannique </w:t>
      </w:r>
      <w:r>
        <w:rPr>
          <w:i/>
          <w:noProof/>
        </w:rPr>
        <w:t>pour 2013</w:t>
      </w:r>
      <w:r>
        <w:rPr>
          <w:noProof/>
        </w:rPr>
        <w:t>.</w:t>
      </w:r>
    </w:p>
    <w:p>
      <w:pPr>
        <w:spacing w:before="120" w:after="120"/>
        <w:jc w:val="both"/>
        <w:rPr>
          <w:noProof/>
        </w:rPr>
      </w:pPr>
      <w:r>
        <w:rPr>
          <w:noProof/>
        </w:rPr>
        <w:t xml:space="preserve">La mise à jour des corrections pour 2013 et 2016 résulte essentiellement de la mise à jour des assiettes TVA et RNB communiquées par les États membres à l’automne 2016. La mise à jour de la correction pour 2016 tient également compte des dépenses réparties de 2016. </w:t>
      </w:r>
    </w:p>
    <w:p>
      <w:pPr>
        <w:rPr>
          <w:bCs/>
          <w:noProof/>
          <w:szCs w:val="28"/>
          <w:u w:val="single"/>
        </w:rPr>
      </w:pPr>
      <w:bookmarkStart w:id="75" w:name="_Toc231879705"/>
      <w:r>
        <w:rPr>
          <w:noProof/>
          <w:u w:val="single"/>
        </w:rPr>
        <w:t>3.3.2.1</w:t>
      </w:r>
      <w:r>
        <w:rPr>
          <w:noProof/>
          <w:u w:val="single"/>
        </w:rPr>
        <w:tab/>
        <w:t>Correction britannique 2016</w:t>
      </w:r>
    </w:p>
    <w:bookmarkEnd w:id="75"/>
    <w:p>
      <w:pPr>
        <w:spacing w:before="120" w:after="120"/>
        <w:jc w:val="both"/>
        <w:rPr>
          <w:noProof/>
        </w:rPr>
      </w:pPr>
      <w:r>
        <w:rPr>
          <w:noProof/>
        </w:rPr>
        <w:t xml:space="preserve">Le tableau ci-après résume les différences entre le </w:t>
      </w:r>
      <w:r>
        <w:rPr>
          <w:i/>
          <w:noProof/>
        </w:rPr>
        <w:t>montant provisoire</w:t>
      </w:r>
      <w:r>
        <w:rPr>
          <w:noProof/>
        </w:rPr>
        <w:t xml:space="preserve"> de la correction britannique pour 2016 figurant dans le budget 2017 et la </w:t>
      </w:r>
      <w:r>
        <w:rPr>
          <w:i/>
          <w:noProof/>
        </w:rPr>
        <w:t>première mise à jour</w:t>
      </w:r>
      <w:r>
        <w:rPr>
          <w:noProof/>
        </w:rPr>
        <w:t xml:space="preserve"> de la correction pour 2016 à inscrire dans le présent PBR.</w:t>
      </w:r>
    </w:p>
    <w:p>
      <w:pPr>
        <w:rPr>
          <w:noProof/>
        </w:rPr>
      </w:pPr>
      <w:r>
        <w:rPr>
          <w:noProof/>
        </w:rPr>
        <w:br w:type="page"/>
      </w:r>
    </w:p>
    <w:tbl>
      <w:tblPr>
        <w:tblW w:w="9135" w:type="dxa"/>
        <w:jc w:val="center"/>
        <w:tblLayout w:type="fixed"/>
        <w:tblLook w:val="0000" w:firstRow="0" w:lastRow="0" w:firstColumn="0" w:lastColumn="0" w:noHBand="0" w:noVBand="0"/>
      </w:tblPr>
      <w:tblGrid>
        <w:gridCol w:w="550"/>
        <w:gridCol w:w="3185"/>
        <w:gridCol w:w="1800"/>
        <w:gridCol w:w="1800"/>
        <w:gridCol w:w="1800"/>
      </w:tblGrid>
      <w:tr>
        <w:trPr>
          <w:trHeight w:val="727"/>
          <w:tblHeader/>
          <w:jc w:val="center"/>
        </w:trPr>
        <w:tc>
          <w:tcPr>
            <w:tcW w:w="550" w:type="dxa"/>
            <w:vMerge w:val="restart"/>
            <w:tcBorders>
              <w:top w:val="nil"/>
              <w:left w:val="nil"/>
              <w:bottom w:val="double" w:sz="6" w:space="0" w:color="auto"/>
              <w:right w:val="nil"/>
            </w:tcBorders>
            <w:shd w:val="clear" w:color="auto" w:fill="auto"/>
            <w:noWrap/>
            <w:vAlign w:val="bottom"/>
          </w:tcPr>
          <w:p>
            <w:pPr>
              <w:jc w:val="center"/>
              <w:rPr>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jc w:val="center"/>
              <w:rPr>
                <w:b/>
                <w:noProof/>
                <w:color w:val="000000"/>
              </w:rPr>
            </w:pPr>
            <w:r>
              <w:rPr>
                <w:b/>
                <w:noProof/>
                <w:color w:val="000000"/>
              </w:rPr>
              <w:t>Correction britannique 2016</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Correction britannique 2016</w:t>
            </w:r>
          </w:p>
          <w:p>
            <w:pPr>
              <w:autoSpaceDE w:val="0"/>
              <w:autoSpaceDN w:val="0"/>
              <w:adjustRightInd w:val="0"/>
              <w:jc w:val="center"/>
              <w:rPr>
                <w:noProof/>
                <w:color w:val="000000"/>
                <w:sz w:val="20"/>
              </w:rPr>
            </w:pPr>
            <w:r>
              <w:rPr>
                <w:b/>
                <w:noProof/>
                <w:color w:val="000000"/>
                <w:sz w:val="20"/>
              </w:rPr>
              <w:t>MONTANT PROVISOIRE</w:t>
            </w:r>
          </w:p>
          <w:p>
            <w:pPr>
              <w:autoSpaceDE w:val="0"/>
              <w:autoSpaceDN w:val="0"/>
              <w:adjustRightInd w:val="0"/>
              <w:jc w:val="center"/>
              <w:rPr>
                <w:b/>
                <w:noProof/>
                <w:color w:val="000000"/>
                <w:sz w:val="20"/>
              </w:rPr>
            </w:pPr>
            <w:r>
              <w:rPr>
                <w:b/>
                <w:noProof/>
                <w:color w:val="000000"/>
                <w:sz w:val="20"/>
              </w:rPr>
              <w:t>Budget 2017</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Correction britannique 2016</w:t>
            </w:r>
          </w:p>
          <w:p>
            <w:pPr>
              <w:autoSpaceDE w:val="0"/>
              <w:autoSpaceDN w:val="0"/>
              <w:adjustRightInd w:val="0"/>
              <w:jc w:val="center"/>
              <w:rPr>
                <w:b/>
                <w:bCs/>
                <w:noProof/>
                <w:color w:val="000000"/>
                <w:sz w:val="20"/>
              </w:rPr>
            </w:pPr>
            <w:r>
              <w:rPr>
                <w:b/>
                <w:noProof/>
                <w:color w:val="000000"/>
                <w:sz w:val="20"/>
              </w:rPr>
              <w:t>1</w:t>
            </w:r>
            <w:r>
              <w:rPr>
                <w:b/>
                <w:noProof/>
                <w:color w:val="000000"/>
                <w:sz w:val="20"/>
                <w:vertAlign w:val="superscript"/>
              </w:rPr>
              <w:t>re</w:t>
            </w:r>
            <w:r>
              <w:rPr>
                <w:b/>
                <w:noProof/>
                <w:color w:val="000000"/>
                <w:sz w:val="20"/>
              </w:rPr>
              <w:t xml:space="preserve"> MISE À JOUR</w:t>
            </w:r>
          </w:p>
          <w:p>
            <w:pPr>
              <w:autoSpaceDE w:val="0"/>
              <w:autoSpaceDN w:val="0"/>
              <w:adjustRightInd w:val="0"/>
              <w:jc w:val="center"/>
              <w:rPr>
                <w:b/>
                <w:noProof/>
                <w:color w:val="000000"/>
                <w:sz w:val="20"/>
              </w:rPr>
            </w:pPr>
            <w:r>
              <w:rPr>
                <w:b/>
                <w:noProof/>
                <w:color w:val="000000"/>
                <w:sz w:val="20"/>
              </w:rPr>
              <w:t>PBR 6/2017</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jc w:val="center"/>
              <w:rPr>
                <w:b/>
                <w:i/>
                <w:noProof/>
                <w:color w:val="000000"/>
                <w:sz w:val="20"/>
              </w:rPr>
            </w:pPr>
            <w:r>
              <w:rPr>
                <w:b/>
                <w:i/>
                <w:noProof/>
                <w:color w:val="000000"/>
                <w:sz w:val="20"/>
              </w:rPr>
              <w:t>Différence</w:t>
            </w:r>
          </w:p>
        </w:tc>
      </w:tr>
      <w:tr>
        <w:trPr>
          <w:jc w:val="center"/>
        </w:trPr>
        <w:tc>
          <w:tcPr>
            <w:tcW w:w="550" w:type="dxa"/>
            <w:vMerge/>
            <w:tcBorders>
              <w:bottom w:val="double" w:sz="6" w:space="0" w:color="auto"/>
              <w:right w:val="nil"/>
            </w:tcBorders>
            <w:shd w:val="clear" w:color="auto" w:fill="auto"/>
            <w:noWrap/>
            <w:vAlign w:val="center"/>
          </w:tcPr>
          <w:p>
            <w:pPr>
              <w:jc w:val="center"/>
              <w:rPr>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Part du Royaume-Uni dans l’assiette TVA non écrêtée</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18,0077 %</w:t>
            </w:r>
          </w:p>
        </w:tc>
        <w:tc>
          <w:tcPr>
            <w:tcW w:w="180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17,5900 %</w:t>
            </w:r>
          </w:p>
        </w:tc>
        <w:tc>
          <w:tcPr>
            <w:tcW w:w="180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-0,4177 %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Part du Royaume-Uni dans le total des dépenses réparties, ajusté des dépenses liées à l’élargissement</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7,2983 %</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7,6814 %</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+0,3832 %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10,7095 %</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9,9086 %</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-0,8009 %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des dépenses réparties</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129 383 323 229</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117 477 286 403</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- 11 906 036 826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liées à l'élargissement</w:t>
            </w:r>
            <w:r>
              <w:rPr>
                <w:noProof/>
                <w:sz w:val="20"/>
              </w:rPr>
              <w:br/>
              <w:t>= (5a) + (5b)</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34 414 600 712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25 506 896 869</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- 8 907 703 843</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de préadhésion</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liées à l’article 4, paragraphe 1, point g)</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34 414 600 712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25 506 896 869</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- 8 907 703 843</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des dépenses réparties, ajusté des dépenses liées à l’élargissement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94 968 722 517</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91 970 389 534</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- 2 998 332 984</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Montant initial de la correction britannique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6 712 622 123</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6 014 542 348</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- 698 079 776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Avantage du Royaume-Uni</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1 524 007 149</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1 128 635 343</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- 395 371 806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Correction de base en faveur du Royaume-Uni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5 188 614 974</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4 885 907 005</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- 302 707 970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Gains exceptionnels provenant des RPT</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- 49 835 714</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- 46 683 873</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+ 3 151 841</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Correction britannique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5 238 450 688</w:t>
            </w:r>
          </w:p>
        </w:tc>
        <w:tc>
          <w:tcPr>
            <w:tcW w:w="180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4 932 590 878</w:t>
            </w:r>
          </w:p>
        </w:tc>
        <w:tc>
          <w:tcPr>
            <w:tcW w:w="180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- 305 859 810</w:t>
            </w:r>
          </w:p>
        </w:tc>
      </w:tr>
    </w:tbl>
    <w:p>
      <w:pPr>
        <w:tabs>
          <w:tab w:val="num" w:pos="851"/>
        </w:tabs>
        <w:spacing w:before="120" w:after="120"/>
        <w:jc w:val="both"/>
        <w:rPr>
          <w:noProof/>
        </w:rPr>
      </w:pPr>
      <w:r>
        <w:rPr>
          <w:noProof/>
        </w:rPr>
        <w:t xml:space="preserve">La </w:t>
      </w:r>
      <w:r>
        <w:rPr>
          <w:i/>
          <w:noProof/>
        </w:rPr>
        <w:t>première mise à jour</w:t>
      </w:r>
      <w:r>
        <w:rPr>
          <w:noProof/>
        </w:rPr>
        <w:t xml:space="preserve"> de la correction britannique pour 2016 est inférieure de quelque 306 millions d’EUR au </w:t>
      </w:r>
      <w:r>
        <w:rPr>
          <w:i/>
          <w:noProof/>
        </w:rPr>
        <w:t>montant provisoire</w:t>
      </w:r>
      <w:r>
        <w:rPr>
          <w:noProof/>
        </w:rPr>
        <w:t xml:space="preserve"> de la correction pour 2016 figurant dans le budget 2017.</w:t>
      </w:r>
    </w:p>
    <w:p>
      <w:pPr>
        <w:tabs>
          <w:tab w:val="left" w:pos="851"/>
        </w:tabs>
        <w:rPr>
          <w:bCs/>
          <w:noProof/>
          <w:szCs w:val="28"/>
          <w:u w:val="single"/>
        </w:rPr>
      </w:pPr>
      <w:r>
        <w:rPr>
          <w:noProof/>
          <w:u w:val="single"/>
        </w:rPr>
        <w:t>3.3.2.2</w:t>
      </w:r>
      <w:r>
        <w:rPr>
          <w:noProof/>
          <w:u w:val="single"/>
        </w:rPr>
        <w:tab/>
        <w:t>Correction britannique 2013</w:t>
      </w:r>
    </w:p>
    <w:p>
      <w:pPr>
        <w:spacing w:before="120" w:after="120"/>
        <w:jc w:val="both"/>
        <w:rPr>
          <w:noProof/>
        </w:rPr>
      </w:pPr>
      <w:r>
        <w:rPr>
          <w:noProof/>
        </w:rPr>
        <w:t xml:space="preserve">Le tableau ci-après résume les différences entre la </w:t>
      </w:r>
      <w:r>
        <w:rPr>
          <w:i/>
          <w:noProof/>
        </w:rPr>
        <w:t>deuxième mise à jour</w:t>
      </w:r>
      <w:r>
        <w:rPr>
          <w:noProof/>
        </w:rPr>
        <w:t xml:space="preserve"> de la correction britannique pour 2013 figurant dans le BR nº 5/2016 et le </w:t>
      </w:r>
      <w:r>
        <w:rPr>
          <w:i/>
          <w:noProof/>
        </w:rPr>
        <w:t>montant définitif</w:t>
      </w:r>
      <w:r>
        <w:rPr>
          <w:noProof/>
        </w:rPr>
        <w:t xml:space="preserve"> de la correction pour 2013 à inscrire dans le présent PBR.</w:t>
      </w:r>
    </w:p>
    <w:p>
      <w:pPr>
        <w:rPr>
          <w:noProof/>
        </w:rPr>
      </w:pPr>
    </w:p>
    <w:p>
      <w:pPr>
        <w:rPr>
          <w:noProof/>
        </w:rPr>
      </w:pPr>
      <w:r>
        <w:rPr>
          <w:noProof/>
        </w:rPr>
        <w:br w:type="page"/>
      </w:r>
    </w:p>
    <w:tbl>
      <w:tblPr>
        <w:tblW w:w="9135" w:type="dxa"/>
        <w:jc w:val="center"/>
        <w:tblLayout w:type="fixed"/>
        <w:tblLook w:val="0000" w:firstRow="0" w:lastRow="0" w:firstColumn="0" w:lastColumn="0" w:noHBand="0" w:noVBand="0"/>
      </w:tblPr>
      <w:tblGrid>
        <w:gridCol w:w="550"/>
        <w:gridCol w:w="3185"/>
        <w:gridCol w:w="1800"/>
        <w:gridCol w:w="1680"/>
        <w:gridCol w:w="1920"/>
      </w:tblGrid>
      <w:tr>
        <w:trPr>
          <w:trHeight w:val="831"/>
          <w:tblHeader/>
          <w:jc w:val="center"/>
        </w:trPr>
        <w:tc>
          <w:tcPr>
            <w:tcW w:w="550" w:type="dxa"/>
            <w:tcBorders>
              <w:top w:val="nil"/>
              <w:left w:val="nil"/>
              <w:right w:val="nil"/>
            </w:tcBorders>
            <w:shd w:val="clear" w:color="auto" w:fill="auto"/>
            <w:noWrap/>
            <w:vAlign w:val="bottom"/>
          </w:tcPr>
          <w:p>
            <w:pPr>
              <w:rPr>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jc w:val="center"/>
              <w:rPr>
                <w:b/>
                <w:noProof/>
                <w:color w:val="000000"/>
              </w:rPr>
            </w:pPr>
            <w:r>
              <w:rPr>
                <w:b/>
                <w:noProof/>
                <w:color w:val="000000"/>
              </w:rPr>
              <w:t>Correction britannique 2013</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b/>
                <w:bCs/>
                <w:noProof/>
                <w:sz w:val="20"/>
              </w:rPr>
            </w:pPr>
            <w:r>
              <w:rPr>
                <w:b/>
                <w:noProof/>
                <w:sz w:val="20"/>
              </w:rPr>
              <w:t>Correction britannique 2013</w:t>
            </w:r>
            <w:r>
              <w:rPr>
                <w:b/>
                <w:bCs/>
                <w:noProof/>
                <w:sz w:val="20"/>
              </w:rPr>
              <w:br/>
            </w:r>
            <w:r>
              <w:rPr>
                <w:b/>
                <w:noProof/>
                <w:sz w:val="20"/>
              </w:rPr>
              <w:t>2</w:t>
            </w:r>
            <w:r>
              <w:rPr>
                <w:b/>
                <w:noProof/>
                <w:sz w:val="20"/>
                <w:vertAlign w:val="superscript"/>
              </w:rPr>
              <w:t>e</w:t>
            </w:r>
            <w:r>
              <w:rPr>
                <w:b/>
                <w:noProof/>
                <w:sz w:val="20"/>
              </w:rPr>
              <w:t xml:space="preserve"> MISE À JOUR </w:t>
            </w:r>
            <w:r>
              <w:rPr>
                <w:b/>
                <w:bCs/>
                <w:noProof/>
                <w:sz w:val="20"/>
              </w:rPr>
              <w:br/>
            </w:r>
            <w:r>
              <w:rPr>
                <w:b/>
                <w:noProof/>
                <w:sz w:val="20"/>
              </w:rPr>
              <w:t>BR 5/2016</w:t>
            </w:r>
          </w:p>
        </w:tc>
        <w:tc>
          <w:tcPr>
            <w:tcW w:w="1680" w:type="dxa"/>
            <w:tcBorders>
              <w:top w:val="double" w:sz="6" w:space="0" w:color="auto"/>
              <w:left w:val="nil"/>
              <w:bottom w:val="double" w:sz="6" w:space="0" w:color="auto"/>
              <w:right w:val="double" w:sz="6" w:space="0" w:color="auto"/>
            </w:tcBorders>
            <w:shd w:val="clear" w:color="auto" w:fill="E0E0E0"/>
            <w:vAlign w:val="center"/>
          </w:tcPr>
          <w:p>
            <w:pPr>
              <w:jc w:val="center"/>
              <w:rPr>
                <w:b/>
                <w:bCs/>
                <w:noProof/>
                <w:sz w:val="20"/>
              </w:rPr>
            </w:pPr>
            <w:r>
              <w:rPr>
                <w:b/>
                <w:noProof/>
                <w:sz w:val="20"/>
              </w:rPr>
              <w:t>Correction britannique 2013</w:t>
            </w:r>
            <w:r>
              <w:rPr>
                <w:b/>
                <w:bCs/>
                <w:noProof/>
                <w:sz w:val="20"/>
              </w:rPr>
              <w:br/>
            </w:r>
            <w:r>
              <w:rPr>
                <w:b/>
                <w:noProof/>
                <w:sz w:val="20"/>
              </w:rPr>
              <w:t>MONTANT DÉFINITIF</w:t>
            </w:r>
            <w:r>
              <w:rPr>
                <w:b/>
                <w:bCs/>
                <w:noProof/>
                <w:sz w:val="20"/>
              </w:rPr>
              <w:br/>
            </w:r>
            <w:r>
              <w:rPr>
                <w:b/>
                <w:noProof/>
                <w:sz w:val="20"/>
              </w:rPr>
              <w:t>PBR 6/2017</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rPr>
            </w:pPr>
            <w:r>
              <w:rPr>
                <w:b/>
                <w:i/>
                <w:noProof/>
                <w:sz w:val="20"/>
              </w:rPr>
              <w:t>Différence</w:t>
            </w:r>
          </w:p>
        </w:tc>
      </w:tr>
      <w:tr>
        <w:trPr>
          <w:jc w:val="center"/>
        </w:trPr>
        <w:tc>
          <w:tcPr>
            <w:tcW w:w="550" w:type="dxa"/>
            <w:tcBorders>
              <w:bottom w:val="double" w:sz="6" w:space="0" w:color="auto"/>
              <w:right w:val="nil"/>
            </w:tcBorders>
            <w:shd w:val="clear" w:color="auto" w:fill="auto"/>
            <w:noWrap/>
            <w:vAlign w:val="center"/>
          </w:tcPr>
          <w:p>
            <w:pPr>
              <w:jc w:val="center"/>
              <w:rPr>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68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92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Part du Royaume-Uni dans l’assiette TVA non écrêtée</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16,0378 %</w:t>
            </w:r>
          </w:p>
        </w:tc>
        <w:tc>
          <w:tcPr>
            <w:tcW w:w="168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16,2955 %</w:t>
            </w:r>
          </w:p>
        </w:tc>
        <w:tc>
          <w:tcPr>
            <w:tcW w:w="192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+ 0,2577 %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Part du Royaume-Uni dans le total des dépenses réparties, ajusté des dépenses liées à l’élargissement</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6,0959 %</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6,0959 %</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+ 0,0000 %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9,9418 %</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10,1996 %</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+ 0,2577 %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des dépenses réparties</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134 745 129 775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134 745 129 775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liées à l'élargissement</w:t>
            </w:r>
            <w:r>
              <w:rPr>
                <w:noProof/>
                <w:sz w:val="20"/>
              </w:rPr>
              <w:br/>
              <w:t>= (5a) + (5b)</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31 288 595 815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31 288 595 815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de préadhésion</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liées à l’article 4, paragraphe 1, point g)</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31 288 595 815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31 288 595 815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rPr>
                <w:noProof/>
                <w:color w:val="000000"/>
                <w:sz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des dépenses réparties, ajusté des dépenses liées à l’élargissement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103 456 533 960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103 456 533 960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Montant initial de la correction britannique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6 788 418 578</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6 964 389 260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+ 175 970 682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Avantage du Royaume-Uni</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846 456 483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931 944 129</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+ 85 487 646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Correction de base en faveur du Royaume-Uni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5 941 962 095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6 032 445 131</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+90 483 036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Gains exceptionnels provenant des RPT</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18 914 477</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10 994 751</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- 7 919 725</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Correction britannique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5 923 047 619</w:t>
            </w:r>
          </w:p>
        </w:tc>
        <w:tc>
          <w:tcPr>
            <w:tcW w:w="168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6 021 450 379</w:t>
            </w:r>
          </w:p>
        </w:tc>
        <w:tc>
          <w:tcPr>
            <w:tcW w:w="192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+98 402 760</w:t>
            </w:r>
          </w:p>
        </w:tc>
      </w:tr>
    </w:tbl>
    <w:p>
      <w:pPr>
        <w:spacing w:before="120" w:after="120"/>
        <w:jc w:val="both"/>
        <w:rPr>
          <w:noProof/>
        </w:rPr>
      </w:pPr>
      <w:r>
        <w:rPr>
          <w:noProof/>
        </w:rPr>
        <w:t xml:space="preserve">Le </w:t>
      </w:r>
      <w:r>
        <w:rPr>
          <w:i/>
          <w:noProof/>
        </w:rPr>
        <w:t>montant définitif</w:t>
      </w:r>
      <w:r>
        <w:rPr>
          <w:noProof/>
        </w:rPr>
        <w:t xml:space="preserve"> de la correction britannique pour 2013 est supérieur de 98 millions d’EUR à la </w:t>
      </w:r>
      <w:r>
        <w:rPr>
          <w:i/>
          <w:noProof/>
        </w:rPr>
        <w:t>deuxième mise à jour</w:t>
      </w:r>
      <w:r>
        <w:rPr>
          <w:noProof/>
        </w:rPr>
        <w:t xml:space="preserve"> de la correction britannique pour 2013 figurant dans le BR nº 5/2016, essentiellement en raison des mises à jour des assiettes TVA et RNB communiquées par les États membres à l’automne 2016.</w:t>
      </w:r>
    </w:p>
    <w:p>
      <w:pPr>
        <w:tabs>
          <w:tab w:val="left" w:pos="850"/>
        </w:tabs>
        <w:spacing w:after="120"/>
        <w:ind w:left="851" w:hanging="851"/>
        <w:rPr>
          <w:bCs/>
          <w:i/>
          <w:noProof/>
        </w:rPr>
      </w:pPr>
      <w:bookmarkStart w:id="76" w:name="_Toc231879708"/>
      <w:bookmarkStart w:id="77" w:name="_Toc293417237"/>
      <w:bookmarkStart w:id="78" w:name="_Toc294673196"/>
      <w:bookmarkStart w:id="79" w:name="_Toc357005416"/>
      <w:bookmarkStart w:id="80" w:name="_Toc390436799"/>
      <w:bookmarkStart w:id="81" w:name="_Toc420941904"/>
      <w:bookmarkStart w:id="82" w:name="_Toc461544624"/>
      <w:r>
        <w:rPr>
          <w:i/>
          <w:noProof/>
        </w:rPr>
        <w:t>3.3.3</w:t>
      </w:r>
      <w:r>
        <w:rPr>
          <w:noProof/>
        </w:rPr>
        <w:tab/>
      </w:r>
      <w:r>
        <w:rPr>
          <w:i/>
          <w:noProof/>
        </w:rPr>
        <w:t>Inscription dans le PBR nº 6/2017 de la première mise à jour de la correction britannique pour 2016 et du montant définitif de la correction britannique pour 2013</w:t>
      </w:r>
      <w:bookmarkEnd w:id="76"/>
      <w:bookmarkEnd w:id="77"/>
      <w:bookmarkEnd w:id="78"/>
      <w:bookmarkEnd w:id="79"/>
      <w:bookmarkEnd w:id="80"/>
      <w:bookmarkEnd w:id="81"/>
      <w:bookmarkEnd w:id="82"/>
      <w:r>
        <w:rPr>
          <w:i/>
          <w:noProof/>
        </w:rPr>
        <w:t xml:space="preserve"> </w:t>
      </w:r>
    </w:p>
    <w:p>
      <w:pPr>
        <w:tabs>
          <w:tab w:val="left" w:pos="851"/>
        </w:tabs>
        <w:rPr>
          <w:bCs/>
          <w:noProof/>
          <w:szCs w:val="28"/>
          <w:u w:val="single"/>
        </w:rPr>
      </w:pPr>
      <w:bookmarkStart w:id="83" w:name="_Toc231879709"/>
      <w:r>
        <w:rPr>
          <w:noProof/>
          <w:u w:val="single"/>
        </w:rPr>
        <w:t>3.3.3.1</w:t>
      </w:r>
      <w:r>
        <w:rPr>
          <w:noProof/>
          <w:u w:val="single"/>
        </w:rPr>
        <w:tab/>
        <w:t>Correction britannique pour 2013 (chapitre 35)</w:t>
      </w:r>
    </w:p>
    <w:p>
      <w:pPr>
        <w:spacing w:before="120" w:after="120"/>
        <w:jc w:val="both"/>
        <w:rPr>
          <w:noProof/>
        </w:rPr>
      </w:pPr>
      <w:r>
        <w:rPr>
          <w:noProof/>
        </w:rPr>
        <w:t xml:space="preserve">Le montant de la correction britannique à budgétiser au chapitre 35 du présent PBR est la différence entre le </w:t>
      </w:r>
      <w:r>
        <w:rPr>
          <w:i/>
          <w:noProof/>
        </w:rPr>
        <w:t>montant définitif</w:t>
      </w:r>
      <w:r>
        <w:rPr>
          <w:noProof/>
        </w:rPr>
        <w:t xml:space="preserve"> de la correction britannique pour 2013 (soit 6 021 450 379 EUR) et la </w:t>
      </w:r>
      <w:r>
        <w:rPr>
          <w:i/>
          <w:noProof/>
        </w:rPr>
        <w:t>deuxième mise à jour</w:t>
      </w:r>
      <w:r>
        <w:rPr>
          <w:noProof/>
        </w:rPr>
        <w:t xml:space="preserve"> de la correction britannique pour 2013 (soit un montant de 5 923 047 619 EUR inscrit dans le BR n° 5/2016), qui s’élève à 98 402 760 EUR.</w:t>
      </w:r>
    </w:p>
    <w:p>
      <w:pPr>
        <w:spacing w:before="120" w:after="240"/>
        <w:jc w:val="both"/>
        <w:rPr>
          <w:noProof/>
        </w:rPr>
      </w:pPr>
      <w:r>
        <w:rPr>
          <w:noProof/>
        </w:rPr>
        <w:t>Ce montant doit être financé en fonction des assiettes RNB 2013 révisées telles qu’elles étaient connues à la fin de 2016. La budgétisation de ce montant au chapitre 35 est récapitulée ci-dessous:</w:t>
      </w:r>
    </w:p>
    <w:p>
      <w:pPr>
        <w:rPr>
          <w:noProof/>
        </w:rPr>
      </w:pPr>
      <w:r>
        <w:rPr>
          <w:noProof/>
        </w:rPr>
        <w:br w:type="page"/>
      </w: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rPr>
            </w:pPr>
            <w:r>
              <w:rPr>
                <w:b/>
                <w:noProof/>
                <w:sz w:val="20"/>
              </w:rPr>
              <w:t>Correction britannique pour 2013 – chapitre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3 427 431</w:t>
            </w:r>
          </w:p>
        </w:tc>
        <w:tc>
          <w:tcPr>
            <w:tcW w:w="809" w:type="dxa"/>
            <w:tcBorders>
              <w:top w:val="nil"/>
              <w:left w:val="nil"/>
              <w:bottom w:val="nil"/>
              <w:right w:val="nil"/>
            </w:tcBorders>
            <w:shd w:val="clear" w:color="auto" w:fill="auto"/>
            <w:noWrap/>
          </w:tcPr>
          <w:p>
            <w:pPr>
              <w:jc w:val="center"/>
              <w:rPr>
                <w:b/>
                <w:noProof/>
                <w:sz w:val="20"/>
              </w:rPr>
            </w:pPr>
            <w:r>
              <w:rPr>
                <w:b/>
                <w:noProof/>
                <w:sz w:val="20"/>
              </w:rPr>
              <w:t>LU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2 999 679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BG</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1 515 290</w:t>
            </w:r>
          </w:p>
        </w:tc>
        <w:tc>
          <w:tcPr>
            <w:tcW w:w="809" w:type="dxa"/>
            <w:tcBorders>
              <w:top w:val="nil"/>
              <w:left w:val="nil"/>
              <w:bottom w:val="nil"/>
              <w:right w:val="nil"/>
            </w:tcBorders>
            <w:shd w:val="clear" w:color="auto" w:fill="auto"/>
            <w:noWrap/>
          </w:tcPr>
          <w:p>
            <w:pPr>
              <w:jc w:val="center"/>
              <w:rPr>
                <w:b/>
                <w:noProof/>
                <w:sz w:val="20"/>
              </w:rPr>
            </w:pPr>
            <w:r>
              <w:rPr>
                <w:b/>
                <w:noProof/>
                <w:sz w:val="20"/>
              </w:rPr>
              <w:t>HU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1 214 768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CZ</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2 998 256</w:t>
            </w:r>
          </w:p>
        </w:tc>
        <w:tc>
          <w:tcPr>
            <w:tcW w:w="809" w:type="dxa"/>
            <w:tcBorders>
              <w:top w:val="nil"/>
              <w:left w:val="nil"/>
              <w:bottom w:val="nil"/>
              <w:right w:val="nil"/>
            </w:tcBorders>
            <w:shd w:val="clear" w:color="auto" w:fill="auto"/>
            <w:noWrap/>
          </w:tcPr>
          <w:p>
            <w:pPr>
              <w:jc w:val="center"/>
              <w:rPr>
                <w:b/>
                <w:noProof/>
                <w:sz w:val="20"/>
              </w:rPr>
            </w:pPr>
            <w:r>
              <w:rPr>
                <w:b/>
                <w:noProof/>
                <w:sz w:val="20"/>
              </w:rPr>
              <w:t>MT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320 388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DK</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6 889 492</w:t>
            </w:r>
          </w:p>
        </w:tc>
        <w:tc>
          <w:tcPr>
            <w:tcW w:w="809" w:type="dxa"/>
            <w:tcBorders>
              <w:top w:val="nil"/>
              <w:left w:val="nil"/>
              <w:bottom w:val="nil"/>
              <w:right w:val="nil"/>
            </w:tcBorders>
            <w:shd w:val="clear" w:color="auto" w:fill="auto"/>
            <w:noWrap/>
          </w:tcPr>
          <w:p>
            <w:pPr>
              <w:jc w:val="center"/>
              <w:rPr>
                <w:b/>
                <w:noProof/>
                <w:sz w:val="20"/>
              </w:rPr>
            </w:pPr>
            <w:r>
              <w:rPr>
                <w:b/>
                <w:noProof/>
                <w:sz w:val="20"/>
              </w:rPr>
              <w:t>NL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1 151 037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8 754 255</w:t>
            </w:r>
          </w:p>
        </w:tc>
        <w:tc>
          <w:tcPr>
            <w:tcW w:w="809" w:type="dxa"/>
            <w:tcBorders>
              <w:top w:val="nil"/>
              <w:left w:val="nil"/>
              <w:bottom w:val="nil"/>
              <w:right w:val="nil"/>
            </w:tcBorders>
            <w:shd w:val="clear" w:color="auto" w:fill="auto"/>
            <w:noWrap/>
          </w:tcPr>
          <w:p>
            <w:pPr>
              <w:jc w:val="center"/>
              <w:rPr>
                <w:b/>
                <w:noProof/>
                <w:sz w:val="20"/>
              </w:rPr>
            </w:pPr>
            <w:r>
              <w:rPr>
                <w:b/>
                <w:noProof/>
                <w:sz w:val="20"/>
              </w:rPr>
              <w:t>AT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418 805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EE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368 634</w:t>
            </w:r>
          </w:p>
        </w:tc>
        <w:tc>
          <w:tcPr>
            <w:tcW w:w="809" w:type="dxa"/>
            <w:tcBorders>
              <w:top w:val="nil"/>
              <w:left w:val="nil"/>
              <w:bottom w:val="nil"/>
              <w:right w:val="nil"/>
            </w:tcBorders>
            <w:shd w:val="clear" w:color="auto" w:fill="auto"/>
            <w:noWrap/>
          </w:tcPr>
          <w:p>
            <w:pPr>
              <w:jc w:val="center"/>
              <w:rPr>
                <w:b/>
                <w:noProof/>
                <w:sz w:val="20"/>
              </w:rPr>
            </w:pPr>
            <w:r>
              <w:rPr>
                <w:b/>
                <w:noProof/>
                <w:sz w:val="20"/>
              </w:rPr>
              <w:t>PL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2 257 310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IE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5 640 096</w:t>
            </w:r>
          </w:p>
        </w:tc>
        <w:tc>
          <w:tcPr>
            <w:tcW w:w="809" w:type="dxa"/>
            <w:tcBorders>
              <w:top w:val="nil"/>
              <w:left w:val="nil"/>
              <w:bottom w:val="nil"/>
              <w:right w:val="nil"/>
            </w:tcBorders>
            <w:shd w:val="clear" w:color="auto" w:fill="auto"/>
            <w:noWrap/>
          </w:tcPr>
          <w:p>
            <w:pPr>
              <w:jc w:val="center"/>
              <w:rPr>
                <w:b/>
                <w:noProof/>
                <w:sz w:val="20"/>
              </w:rPr>
            </w:pPr>
            <w:r>
              <w:rPr>
                <w:b/>
                <w:noProof/>
                <w:sz w:val="20"/>
              </w:rPr>
              <w:t>PT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1 399 728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EL</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2 191 253</w:t>
            </w:r>
          </w:p>
        </w:tc>
        <w:tc>
          <w:tcPr>
            <w:tcW w:w="809" w:type="dxa"/>
            <w:tcBorders>
              <w:top w:val="nil"/>
              <w:left w:val="nil"/>
              <w:bottom w:val="nil"/>
              <w:right w:val="nil"/>
            </w:tcBorders>
            <w:shd w:val="clear" w:color="auto" w:fill="auto"/>
            <w:noWrap/>
          </w:tcPr>
          <w:p>
            <w:pPr>
              <w:jc w:val="center"/>
              <w:rPr>
                <w:b/>
                <w:noProof/>
                <w:sz w:val="20"/>
              </w:rPr>
            </w:pPr>
            <w:r>
              <w:rPr>
                <w:b/>
                <w:noProof/>
                <w:sz w:val="20"/>
              </w:rPr>
              <w:t>RO</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2 993 513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ES</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- 651 779</w:t>
            </w:r>
          </w:p>
        </w:tc>
        <w:tc>
          <w:tcPr>
            <w:tcW w:w="809" w:type="dxa"/>
            <w:tcBorders>
              <w:top w:val="nil"/>
              <w:left w:val="nil"/>
              <w:bottom w:val="nil"/>
              <w:right w:val="nil"/>
            </w:tcBorders>
            <w:shd w:val="clear" w:color="auto" w:fill="auto"/>
            <w:noWrap/>
          </w:tcPr>
          <w:p>
            <w:pPr>
              <w:jc w:val="center"/>
              <w:rPr>
                <w:b/>
                <w:noProof/>
                <w:sz w:val="20"/>
              </w:rPr>
            </w:pPr>
            <w:r>
              <w:rPr>
                <w:b/>
                <w:noProof/>
                <w:sz w:val="20"/>
              </w:rPr>
              <w:t>SI</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916 682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FR</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18 525 521</w:t>
            </w:r>
          </w:p>
        </w:tc>
        <w:tc>
          <w:tcPr>
            <w:tcW w:w="809" w:type="dxa"/>
            <w:tcBorders>
              <w:top w:val="nil"/>
              <w:left w:val="nil"/>
              <w:bottom w:val="nil"/>
              <w:right w:val="nil"/>
            </w:tcBorders>
            <w:shd w:val="clear" w:color="auto" w:fill="auto"/>
            <w:noWrap/>
          </w:tcPr>
          <w:p>
            <w:pPr>
              <w:jc w:val="center"/>
              <w:rPr>
                <w:b/>
                <w:noProof/>
                <w:sz w:val="20"/>
              </w:rPr>
            </w:pPr>
            <w:r>
              <w:rPr>
                <w:b/>
                <w:noProof/>
                <w:sz w:val="20"/>
              </w:rPr>
              <w:t>SK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2 214 808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HR</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824 776</w:t>
            </w:r>
          </w:p>
        </w:tc>
        <w:tc>
          <w:tcPr>
            <w:tcW w:w="809" w:type="dxa"/>
            <w:tcBorders>
              <w:top w:val="nil"/>
              <w:left w:val="nil"/>
              <w:bottom w:val="nil"/>
              <w:right w:val="nil"/>
            </w:tcBorders>
            <w:shd w:val="clear" w:color="auto" w:fill="auto"/>
            <w:noWrap/>
          </w:tcPr>
          <w:p>
            <w:pPr>
              <w:jc w:val="center"/>
              <w:rPr>
                <w:b/>
                <w:noProof/>
                <w:sz w:val="20"/>
              </w:rPr>
            </w:pPr>
            <w:r>
              <w:rPr>
                <w:b/>
                <w:noProof/>
                <w:sz w:val="20"/>
              </w:rPr>
              <w:t>FI</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4 965 839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IT</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25 072 902</w:t>
            </w:r>
          </w:p>
        </w:tc>
        <w:tc>
          <w:tcPr>
            <w:tcW w:w="809" w:type="dxa"/>
            <w:tcBorders>
              <w:top w:val="nil"/>
              <w:left w:val="nil"/>
              <w:bottom w:val="nil"/>
              <w:right w:val="nil"/>
            </w:tcBorders>
            <w:shd w:val="clear" w:color="auto" w:fill="auto"/>
            <w:noWrap/>
          </w:tcPr>
          <w:p>
            <w:pPr>
              <w:jc w:val="center"/>
              <w:rPr>
                <w:b/>
                <w:noProof/>
                <w:sz w:val="20"/>
              </w:rPr>
            </w:pPr>
            <w:r>
              <w:rPr>
                <w:b/>
                <w:noProof/>
                <w:sz w:val="20"/>
              </w:rPr>
              <w:t>SE</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565 841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CY</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228 695</w:t>
            </w:r>
          </w:p>
        </w:tc>
        <w:tc>
          <w:tcPr>
            <w:tcW w:w="809" w:type="dxa"/>
            <w:tcBorders>
              <w:top w:val="nil"/>
              <w:left w:val="nil"/>
              <w:bottom w:val="nil"/>
              <w:right w:val="nil"/>
            </w:tcBorders>
            <w:shd w:val="clear" w:color="auto" w:fill="auto"/>
            <w:noWrap/>
          </w:tcPr>
          <w:p>
            <w:pPr>
              <w:jc w:val="center"/>
              <w:rPr>
                <w:b/>
                <w:noProof/>
                <w:sz w:val="20"/>
              </w:rPr>
            </w:pPr>
          </w:p>
        </w:tc>
        <w:tc>
          <w:tcPr>
            <w:tcW w:w="1479" w:type="dxa"/>
            <w:tcBorders>
              <w:top w:val="nil"/>
              <w:left w:val="nil"/>
              <w:bottom w:val="nil"/>
              <w:right w:val="single" w:sz="8" w:space="0" w:color="auto"/>
            </w:tcBorders>
            <w:shd w:val="clear" w:color="auto" w:fill="auto"/>
            <w:noWrap/>
            <w:vAlign w:val="center"/>
          </w:tcPr>
          <w:p>
            <w:pPr>
              <w:jc w:val="right"/>
              <w:rPr>
                <w:noProof/>
                <w:sz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LV</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81 908</w:t>
            </w:r>
          </w:p>
        </w:tc>
        <w:tc>
          <w:tcPr>
            <w:tcW w:w="809" w:type="dxa"/>
            <w:tcBorders>
              <w:top w:val="nil"/>
              <w:left w:val="nil"/>
              <w:bottom w:val="nil"/>
              <w:right w:val="nil"/>
            </w:tcBorders>
            <w:shd w:val="clear" w:color="auto" w:fill="auto"/>
            <w:noWrap/>
          </w:tcPr>
          <w:p>
            <w:pPr>
              <w:jc w:val="center"/>
              <w:rPr>
                <w:b/>
                <w:noProof/>
                <w:sz w:val="20"/>
              </w:rPr>
            </w:pPr>
            <w:r>
              <w:rPr>
                <w:b/>
                <w:noProof/>
                <w:sz w:val="20"/>
              </w:rPr>
              <w:t>UK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- 98 402 760</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383" w:type="dxa"/>
            <w:tcBorders>
              <w:top w:val="nil"/>
              <w:left w:val="nil"/>
              <w:bottom w:val="single" w:sz="8" w:space="0" w:color="auto"/>
              <w:right w:val="nil"/>
            </w:tcBorders>
            <w:shd w:val="clear" w:color="auto" w:fill="auto"/>
            <w:noWrap/>
            <w:vAlign w:val="center"/>
          </w:tcPr>
          <w:p>
            <w:pPr>
              <w:jc w:val="right"/>
              <w:rPr>
                <w:noProof/>
                <w:sz w:val="20"/>
              </w:rPr>
            </w:pPr>
            <w:r>
              <w:rPr>
                <w:noProof/>
                <w:sz w:val="20"/>
              </w:rPr>
              <w:t>1 117 632</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rPr>
            </w:pPr>
            <w:r>
              <w:rPr>
                <w:b/>
                <w:noProof/>
                <w:sz w:val="20"/>
              </w:rPr>
              <w:t>Total</w:t>
            </w:r>
          </w:p>
        </w:tc>
        <w:tc>
          <w:tcPr>
            <w:tcW w:w="1479" w:type="dxa"/>
            <w:tcBorders>
              <w:top w:val="single" w:sz="8" w:space="0" w:color="auto"/>
              <w:left w:val="nil"/>
              <w:bottom w:val="single" w:sz="8" w:space="0" w:color="auto"/>
              <w:right w:val="single" w:sz="8" w:space="0" w:color="auto"/>
            </w:tcBorders>
            <w:shd w:val="clear" w:color="auto" w:fill="auto"/>
            <w:noWrap/>
          </w:tcPr>
          <w:p>
            <w:pPr>
              <w:jc w:val="right"/>
              <w:rPr>
                <w:b/>
                <w:noProof/>
                <w:sz w:val="20"/>
              </w:rPr>
            </w:pPr>
            <w:r>
              <w:rPr>
                <w:b/>
                <w:noProof/>
                <w:sz w:val="20"/>
              </w:rPr>
              <w:t>0</w:t>
            </w:r>
          </w:p>
        </w:tc>
      </w:tr>
    </w:tbl>
    <w:p>
      <w:pPr>
        <w:tabs>
          <w:tab w:val="left" w:pos="851"/>
        </w:tabs>
        <w:rPr>
          <w:bCs/>
          <w:noProof/>
          <w:szCs w:val="28"/>
          <w:u w:val="single"/>
        </w:rPr>
      </w:pPr>
    </w:p>
    <w:p>
      <w:pPr>
        <w:tabs>
          <w:tab w:val="left" w:pos="851"/>
        </w:tabs>
        <w:rPr>
          <w:bCs/>
          <w:noProof/>
          <w:szCs w:val="28"/>
          <w:u w:val="single"/>
        </w:rPr>
      </w:pPr>
      <w:r>
        <w:rPr>
          <w:noProof/>
          <w:u w:val="single"/>
        </w:rPr>
        <w:t>3.3.3.2</w:t>
      </w:r>
      <w:r>
        <w:rPr>
          <w:noProof/>
          <w:u w:val="single"/>
        </w:rPr>
        <w:tab/>
        <w:t>Correction britannique pour 2016 (chapitre 15)</w:t>
      </w:r>
    </w:p>
    <w:bookmarkEnd w:id="83"/>
    <w:p>
      <w:pPr>
        <w:spacing w:before="120" w:after="120"/>
        <w:jc w:val="both"/>
        <w:rPr>
          <w:noProof/>
        </w:rPr>
      </w:pPr>
      <w:r>
        <w:rPr>
          <w:noProof/>
        </w:rPr>
        <w:t>La</w:t>
      </w:r>
      <w:r>
        <w:rPr>
          <w:i/>
          <w:noProof/>
        </w:rPr>
        <w:t xml:space="preserve"> première mise à jour</w:t>
      </w:r>
      <w:r>
        <w:rPr>
          <w:noProof/>
        </w:rPr>
        <w:t xml:space="preserve"> de la correction britannique pour 2016 correspond à 4 932 590 878 EUR et est inférieure de 305 859 810 millions d’EUR au montant inscrit dans le budget 2017 (5 238 450 688 EUR).</w:t>
      </w:r>
    </w:p>
    <w:p>
      <w:pPr>
        <w:spacing w:before="120" w:after="240"/>
        <w:jc w:val="both"/>
        <w:rPr>
          <w:noProof/>
        </w:rPr>
      </w:pPr>
      <w:r>
        <w:rPr>
          <w:noProof/>
        </w:rPr>
        <w:t>Ce montant doit être financé en fonction des assiettes RNB 2017 révisées du présent PBR. La budgétisation de ce montant au chapitre 15 est récapitulée ci-dessous:</w:t>
      </w:r>
    </w:p>
    <w:tbl>
      <w:tblPr>
        <w:tblW w:w="4540" w:type="dxa"/>
        <w:jc w:val="center"/>
        <w:tblLook w:val="0000" w:firstRow="0" w:lastRow="0" w:firstColumn="0" w:lastColumn="0" w:noHBand="0" w:noVBand="0"/>
      </w:tblPr>
      <w:tblGrid>
        <w:gridCol w:w="549"/>
        <w:gridCol w:w="1666"/>
        <w:gridCol w:w="793"/>
        <w:gridCol w:w="1532"/>
      </w:tblGrid>
      <w:tr>
        <w:trPr>
          <w:jc w:val="center"/>
        </w:trPr>
        <w:tc>
          <w:tcPr>
            <w:tcW w:w="454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jc w:val="center"/>
              <w:rPr>
                <w:b/>
                <w:bCs/>
                <w:noProof/>
                <w:sz w:val="20"/>
              </w:rPr>
            </w:pPr>
            <w:r>
              <w:rPr>
                <w:b/>
                <w:noProof/>
                <w:sz w:val="20"/>
              </w:rPr>
              <w:t>Correction britannique pour 2016 – chapitre 15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BE</w:t>
            </w:r>
          </w:p>
        </w:tc>
        <w:tc>
          <w:tcPr>
            <w:tcW w:w="1666" w:type="dxa"/>
            <w:tcBorders>
              <w:top w:val="nil"/>
              <w:left w:val="nil"/>
              <w:bottom w:val="nil"/>
              <w:right w:val="nil"/>
            </w:tcBorders>
            <w:shd w:val="clear" w:color="auto" w:fill="auto"/>
            <w:noWrap/>
          </w:tcPr>
          <w:p>
            <w:pPr>
              <w:jc w:val="right"/>
              <w:rPr>
                <w:noProof/>
                <w:sz w:val="20"/>
                <w:highlight w:val="yellow"/>
              </w:rPr>
            </w:pPr>
            <w:r>
              <w:rPr>
                <w:noProof/>
                <w:sz w:val="20"/>
              </w:rPr>
              <w:t>240 885 677</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LU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20 836 132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BG</w:t>
            </w:r>
          </w:p>
        </w:tc>
        <w:tc>
          <w:tcPr>
            <w:tcW w:w="1666" w:type="dxa"/>
            <w:tcBorders>
              <w:top w:val="nil"/>
              <w:left w:val="nil"/>
              <w:bottom w:val="nil"/>
              <w:right w:val="nil"/>
            </w:tcBorders>
            <w:shd w:val="clear" w:color="auto" w:fill="auto"/>
            <w:noWrap/>
          </w:tcPr>
          <w:p>
            <w:pPr>
              <w:jc w:val="right"/>
              <w:rPr>
                <w:noProof/>
                <w:sz w:val="20"/>
              </w:rPr>
            </w:pPr>
            <w:r>
              <w:rPr>
                <w:noProof/>
                <w:sz w:val="20"/>
              </w:rPr>
              <w:t xml:space="preserve"> 26 978 571</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HU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65 314 890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CZ</w:t>
            </w:r>
          </w:p>
        </w:tc>
        <w:tc>
          <w:tcPr>
            <w:tcW w:w="1666" w:type="dxa"/>
            <w:tcBorders>
              <w:top w:val="nil"/>
              <w:left w:val="nil"/>
              <w:bottom w:val="nil"/>
              <w:right w:val="nil"/>
            </w:tcBorders>
            <w:shd w:val="clear" w:color="auto" w:fill="auto"/>
            <w:noWrap/>
          </w:tcPr>
          <w:p>
            <w:pPr>
              <w:jc w:val="right"/>
              <w:rPr>
                <w:noProof/>
                <w:sz w:val="20"/>
              </w:rPr>
            </w:pPr>
            <w:r>
              <w:rPr>
                <w:noProof/>
                <w:sz w:val="20"/>
              </w:rPr>
              <w:t>95 503 724</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MT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5 503 126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DK</w:t>
            </w:r>
          </w:p>
        </w:tc>
        <w:tc>
          <w:tcPr>
            <w:tcW w:w="1666" w:type="dxa"/>
            <w:tcBorders>
              <w:top w:val="nil"/>
              <w:left w:val="nil"/>
              <w:bottom w:val="nil"/>
              <w:right w:val="nil"/>
            </w:tcBorders>
            <w:shd w:val="clear" w:color="auto" w:fill="auto"/>
            <w:noWrap/>
          </w:tcPr>
          <w:p>
            <w:pPr>
              <w:jc w:val="right"/>
              <w:rPr>
                <w:noProof/>
                <w:sz w:val="20"/>
              </w:rPr>
            </w:pPr>
            <w:r>
              <w:rPr>
                <w:noProof/>
                <w:sz w:val="20"/>
              </w:rPr>
              <w:t>164 411 683</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NL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68 442 765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DE</w:t>
            </w:r>
          </w:p>
        </w:tc>
        <w:tc>
          <w:tcPr>
            <w:tcW w:w="1666" w:type="dxa"/>
            <w:tcBorders>
              <w:top w:val="nil"/>
              <w:left w:val="nil"/>
              <w:bottom w:val="nil"/>
              <w:right w:val="nil"/>
            </w:tcBorders>
            <w:shd w:val="clear" w:color="auto" w:fill="auto"/>
            <w:noWrap/>
          </w:tcPr>
          <w:p>
            <w:pPr>
              <w:jc w:val="right"/>
              <w:rPr>
                <w:noProof/>
                <w:sz w:val="20"/>
              </w:rPr>
            </w:pPr>
            <w:r>
              <w:rPr>
                <w:noProof/>
                <w:sz w:val="20"/>
              </w:rPr>
              <w:t>316 145 831</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AT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34 625 113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EE</w:t>
            </w:r>
          </w:p>
        </w:tc>
        <w:tc>
          <w:tcPr>
            <w:tcW w:w="1666" w:type="dxa"/>
            <w:tcBorders>
              <w:top w:val="nil"/>
              <w:left w:val="nil"/>
              <w:bottom w:val="nil"/>
              <w:right w:val="nil"/>
            </w:tcBorders>
            <w:shd w:val="clear" w:color="auto" w:fill="auto"/>
            <w:noWrap/>
          </w:tcPr>
          <w:p>
            <w:pPr>
              <w:jc w:val="right"/>
              <w:rPr>
                <w:noProof/>
                <w:sz w:val="20"/>
              </w:rPr>
            </w:pPr>
            <w:r>
              <w:rPr>
                <w:noProof/>
                <w:sz w:val="20"/>
              </w:rPr>
              <w:t>12 138 174</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PL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236 407 577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IE</w:t>
            </w:r>
          </w:p>
        </w:tc>
        <w:tc>
          <w:tcPr>
            <w:tcW w:w="1666" w:type="dxa"/>
            <w:tcBorders>
              <w:top w:val="nil"/>
              <w:left w:val="nil"/>
              <w:bottom w:val="nil"/>
              <w:right w:val="nil"/>
            </w:tcBorders>
            <w:shd w:val="clear" w:color="auto" w:fill="auto"/>
            <w:noWrap/>
          </w:tcPr>
          <w:p>
            <w:pPr>
              <w:jc w:val="right"/>
              <w:rPr>
                <w:noProof/>
                <w:sz w:val="20"/>
              </w:rPr>
            </w:pPr>
            <w:r>
              <w:rPr>
                <w:noProof/>
                <w:sz w:val="20"/>
              </w:rPr>
              <w:t>129 388 779</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PT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104 586 612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EL</w:t>
            </w:r>
          </w:p>
        </w:tc>
        <w:tc>
          <w:tcPr>
            <w:tcW w:w="1666" w:type="dxa"/>
            <w:tcBorders>
              <w:top w:val="nil"/>
              <w:left w:val="nil"/>
              <w:bottom w:val="nil"/>
              <w:right w:val="nil"/>
            </w:tcBorders>
            <w:shd w:val="clear" w:color="auto" w:fill="auto"/>
            <w:noWrap/>
          </w:tcPr>
          <w:p>
            <w:pPr>
              <w:jc w:val="right"/>
              <w:rPr>
                <w:noProof/>
                <w:sz w:val="20"/>
              </w:rPr>
            </w:pPr>
            <w:r>
              <w:rPr>
                <w:noProof/>
                <w:sz w:val="20"/>
              </w:rPr>
              <w:t>101 600 542</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RO</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97 812 744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ES</w:t>
            </w:r>
          </w:p>
        </w:tc>
        <w:tc>
          <w:tcPr>
            <w:tcW w:w="1666" w:type="dxa"/>
            <w:tcBorders>
              <w:top w:val="nil"/>
              <w:left w:val="nil"/>
              <w:bottom w:val="nil"/>
              <w:right w:val="nil"/>
            </w:tcBorders>
            <w:shd w:val="clear" w:color="auto" w:fill="auto"/>
            <w:noWrap/>
          </w:tcPr>
          <w:p>
            <w:pPr>
              <w:jc w:val="right"/>
              <w:rPr>
                <w:noProof/>
                <w:sz w:val="20"/>
              </w:rPr>
            </w:pPr>
            <w:r>
              <w:rPr>
                <w:noProof/>
                <w:sz w:val="20"/>
              </w:rPr>
              <w:t>647 356 946</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SI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22 872 318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 xml:space="preserve">FR </w:t>
            </w:r>
          </w:p>
        </w:tc>
        <w:tc>
          <w:tcPr>
            <w:tcW w:w="1666" w:type="dxa"/>
            <w:tcBorders>
              <w:top w:val="nil"/>
              <w:left w:val="nil"/>
              <w:bottom w:val="nil"/>
              <w:right w:val="nil"/>
            </w:tcBorders>
            <w:shd w:val="clear" w:color="auto" w:fill="auto"/>
            <w:noWrap/>
          </w:tcPr>
          <w:p>
            <w:pPr>
              <w:jc w:val="right"/>
              <w:rPr>
                <w:noProof/>
                <w:sz w:val="20"/>
              </w:rPr>
            </w:pPr>
            <w:r>
              <w:rPr>
                <w:noProof/>
                <w:sz w:val="20"/>
              </w:rPr>
              <w:t>1 299 398 854</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SK</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46 015 401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HR</w:t>
            </w:r>
          </w:p>
        </w:tc>
        <w:tc>
          <w:tcPr>
            <w:tcW w:w="1666" w:type="dxa"/>
            <w:tcBorders>
              <w:top w:val="nil"/>
              <w:left w:val="nil"/>
              <w:bottom w:val="nil"/>
              <w:right w:val="nil"/>
            </w:tcBorders>
            <w:shd w:val="clear" w:color="auto" w:fill="auto"/>
            <w:noWrap/>
          </w:tcPr>
          <w:p>
            <w:pPr>
              <w:jc w:val="right"/>
              <w:rPr>
                <w:noProof/>
                <w:sz w:val="20"/>
              </w:rPr>
            </w:pPr>
            <w:r>
              <w:rPr>
                <w:noProof/>
                <w:sz w:val="20"/>
              </w:rPr>
              <w:t>25 885 784</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FI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123 414 177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IT</w:t>
            </w:r>
          </w:p>
        </w:tc>
        <w:tc>
          <w:tcPr>
            <w:tcW w:w="1666" w:type="dxa"/>
            <w:tcBorders>
              <w:top w:val="nil"/>
              <w:left w:val="nil"/>
              <w:bottom w:val="nil"/>
              <w:right w:val="nil"/>
            </w:tcBorders>
            <w:shd w:val="clear" w:color="auto" w:fill="auto"/>
            <w:noWrap/>
          </w:tcPr>
          <w:p>
            <w:pPr>
              <w:jc w:val="right"/>
              <w:rPr>
                <w:noProof/>
                <w:sz w:val="20"/>
              </w:rPr>
            </w:pPr>
            <w:r>
              <w:rPr>
                <w:noProof/>
                <w:sz w:val="20"/>
              </w:rPr>
              <w:t>953 387 216</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SE</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46 937 429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CY</w:t>
            </w:r>
          </w:p>
        </w:tc>
        <w:tc>
          <w:tcPr>
            <w:tcW w:w="1666" w:type="dxa"/>
            <w:tcBorders>
              <w:top w:val="nil"/>
              <w:left w:val="nil"/>
              <w:bottom w:val="nil"/>
              <w:right w:val="nil"/>
            </w:tcBorders>
            <w:shd w:val="clear" w:color="auto" w:fill="auto"/>
            <w:noWrap/>
          </w:tcPr>
          <w:p>
            <w:pPr>
              <w:jc w:val="right"/>
              <w:rPr>
                <w:noProof/>
                <w:sz w:val="20"/>
              </w:rPr>
            </w:pPr>
            <w:r>
              <w:rPr>
                <w:noProof/>
                <w:sz w:val="20"/>
              </w:rPr>
              <w:t>10 012 925</w:t>
            </w:r>
          </w:p>
        </w:tc>
        <w:tc>
          <w:tcPr>
            <w:tcW w:w="793" w:type="dxa"/>
            <w:vMerge w:val="restart"/>
            <w:tcBorders>
              <w:top w:val="nil"/>
              <w:left w:val="nil"/>
              <w:right w:val="nil"/>
            </w:tcBorders>
            <w:shd w:val="clear" w:color="auto" w:fill="auto"/>
            <w:noWrap/>
            <w:vAlign w:val="center"/>
          </w:tcPr>
          <w:p>
            <w:pPr>
              <w:jc w:val="center"/>
              <w:rPr>
                <w:b/>
                <w:bCs/>
                <w:noProof/>
                <w:sz w:val="20"/>
              </w:rPr>
            </w:pPr>
            <w:r>
              <w:rPr>
                <w:b/>
                <w:noProof/>
                <w:sz w:val="20"/>
              </w:rPr>
              <w:t>UK</w:t>
            </w:r>
          </w:p>
        </w:tc>
        <w:tc>
          <w:tcPr>
            <w:tcW w:w="1532" w:type="dxa"/>
            <w:vMerge w:val="restart"/>
            <w:tcBorders>
              <w:top w:val="nil"/>
              <w:left w:val="nil"/>
              <w:right w:val="single" w:sz="8" w:space="0" w:color="auto"/>
            </w:tcBorders>
            <w:shd w:val="clear" w:color="auto" w:fill="auto"/>
            <w:noWrap/>
            <w:vAlign w:val="center"/>
          </w:tcPr>
          <w:p>
            <w:pPr>
              <w:jc w:val="center"/>
              <w:rPr>
                <w:noProof/>
                <w:sz w:val="20"/>
              </w:rPr>
            </w:pPr>
            <w:r>
              <w:rPr>
                <w:noProof/>
                <w:sz w:val="20"/>
              </w:rPr>
              <w:t>- 4 932 590 878</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LV</w:t>
            </w:r>
          </w:p>
        </w:tc>
        <w:tc>
          <w:tcPr>
            <w:tcW w:w="1666" w:type="dxa"/>
            <w:tcBorders>
              <w:top w:val="nil"/>
              <w:left w:val="nil"/>
              <w:bottom w:val="nil"/>
              <w:right w:val="nil"/>
            </w:tcBorders>
            <w:shd w:val="clear" w:color="auto" w:fill="auto"/>
            <w:noWrap/>
          </w:tcPr>
          <w:p>
            <w:pPr>
              <w:jc w:val="right"/>
              <w:rPr>
                <w:noProof/>
                <w:sz w:val="20"/>
              </w:rPr>
            </w:pPr>
            <w:r>
              <w:rPr>
                <w:noProof/>
                <w:sz w:val="20"/>
              </w:rPr>
              <w:t>14 788 961</w:t>
            </w:r>
          </w:p>
        </w:tc>
        <w:tc>
          <w:tcPr>
            <w:tcW w:w="793" w:type="dxa"/>
            <w:vMerge/>
            <w:tcBorders>
              <w:left w:val="nil"/>
              <w:bottom w:val="nil"/>
              <w:right w:val="nil"/>
            </w:tcBorders>
            <w:shd w:val="clear" w:color="auto" w:fill="auto"/>
            <w:noWrap/>
            <w:vAlign w:val="center"/>
          </w:tcPr>
          <w:p>
            <w:pPr>
              <w:jc w:val="center"/>
              <w:rPr>
                <w:b/>
                <w:bCs/>
                <w:noProof/>
                <w:sz w:val="20"/>
              </w:rPr>
            </w:pPr>
          </w:p>
        </w:tc>
        <w:tc>
          <w:tcPr>
            <w:tcW w:w="1532" w:type="dxa"/>
            <w:vMerge/>
            <w:tcBorders>
              <w:left w:val="nil"/>
              <w:bottom w:val="nil"/>
              <w:right w:val="single" w:sz="8" w:space="0" w:color="auto"/>
            </w:tcBorders>
            <w:shd w:val="clear" w:color="auto" w:fill="auto"/>
            <w:noWrap/>
            <w:vAlign w:val="bottom"/>
          </w:tcPr>
          <w:p>
            <w:pPr>
              <w:jc w:val="right"/>
              <w:rPr>
                <w:noProof/>
                <w:sz w:val="20"/>
              </w:rPr>
            </w:pPr>
          </w:p>
        </w:tc>
      </w:tr>
      <w:tr>
        <w:trPr>
          <w:trHeight w:val="193"/>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666" w:type="dxa"/>
            <w:tcBorders>
              <w:top w:val="nil"/>
              <w:left w:val="nil"/>
              <w:bottom w:val="single" w:sz="8" w:space="0" w:color="auto"/>
              <w:right w:val="nil"/>
            </w:tcBorders>
            <w:shd w:val="clear" w:color="auto" w:fill="auto"/>
            <w:noWrap/>
          </w:tcPr>
          <w:p>
            <w:pPr>
              <w:jc w:val="right"/>
              <w:rPr>
                <w:noProof/>
                <w:sz w:val="20"/>
              </w:rPr>
            </w:pPr>
            <w:r>
              <w:rPr>
                <w:noProof/>
                <w:sz w:val="20"/>
              </w:rPr>
              <w:t>21 938 927</w:t>
            </w:r>
          </w:p>
        </w:tc>
        <w:tc>
          <w:tcPr>
            <w:tcW w:w="793" w:type="dxa"/>
            <w:tcBorders>
              <w:top w:val="single" w:sz="8" w:space="0" w:color="auto"/>
              <w:left w:val="single" w:sz="8" w:space="0" w:color="auto"/>
              <w:bottom w:val="single" w:sz="8" w:space="0" w:color="auto"/>
              <w:right w:val="nil"/>
            </w:tcBorders>
            <w:shd w:val="clear" w:color="auto" w:fill="auto"/>
            <w:noWrap/>
            <w:vAlign w:val="center"/>
          </w:tcPr>
          <w:p>
            <w:pPr>
              <w:jc w:val="center"/>
              <w:rPr>
                <w:b/>
                <w:bCs/>
                <w:noProof/>
                <w:sz w:val="20"/>
              </w:rPr>
            </w:pPr>
            <w:r>
              <w:rPr>
                <w:b/>
                <w:noProof/>
                <w:sz w:val="20"/>
              </w:rPr>
              <w:t xml:space="preserve">Total </w:t>
            </w:r>
          </w:p>
        </w:tc>
        <w:tc>
          <w:tcPr>
            <w:tcW w:w="1532" w:type="dxa"/>
            <w:tcBorders>
              <w:top w:val="single" w:sz="8" w:space="0" w:color="auto"/>
              <w:left w:val="nil"/>
              <w:bottom w:val="single" w:sz="8" w:space="0" w:color="auto"/>
              <w:right w:val="single" w:sz="8" w:space="0" w:color="auto"/>
            </w:tcBorders>
            <w:shd w:val="clear" w:color="auto" w:fill="auto"/>
            <w:noWrap/>
            <w:vAlign w:val="bottom"/>
          </w:tcPr>
          <w:p>
            <w:pPr>
              <w:jc w:val="right"/>
              <w:rPr>
                <w:b/>
                <w:bCs/>
                <w:noProof/>
                <w:sz w:val="20"/>
              </w:rPr>
            </w:pPr>
            <w:r>
              <w:rPr>
                <w:b/>
                <w:noProof/>
                <w:sz w:val="20"/>
              </w:rPr>
              <w:t>0</w:t>
            </w:r>
          </w:p>
        </w:tc>
      </w:tr>
    </w:tbl>
    <w:p>
      <w:pPr>
        <w:keepNext/>
        <w:tabs>
          <w:tab w:val="left" w:pos="850"/>
        </w:tabs>
        <w:spacing w:before="360" w:after="120"/>
        <w:ind w:left="850" w:hanging="850"/>
        <w:jc w:val="both"/>
        <w:outlineLvl w:val="1"/>
        <w:rPr>
          <w:rFonts w:eastAsia="Calibri"/>
          <w:b/>
          <w:noProof/>
        </w:rPr>
      </w:pPr>
      <w:bookmarkStart w:id="84" w:name="_Toc494994381"/>
      <w:bookmarkStart w:id="85" w:name="_Toc496196495"/>
      <w:r>
        <w:rPr>
          <w:b/>
          <w:noProof/>
        </w:rPr>
        <w:t>3.4</w:t>
      </w:r>
      <w:r>
        <w:rPr>
          <w:noProof/>
        </w:rPr>
        <w:tab/>
      </w:r>
      <w:r>
        <w:rPr>
          <w:b/>
          <w:noProof/>
        </w:rPr>
        <w:t>Amendes</w:t>
      </w:r>
      <w:bookmarkEnd w:id="74"/>
      <w:bookmarkEnd w:id="84"/>
      <w:bookmarkEnd w:id="85"/>
    </w:p>
    <w:p>
      <w:pPr>
        <w:spacing w:before="120" w:after="120"/>
        <w:jc w:val="both"/>
        <w:rPr>
          <w:rFonts w:eastAsia="Calibri"/>
          <w:noProof/>
        </w:rPr>
      </w:pPr>
      <w:r>
        <w:rPr>
          <w:noProof/>
        </w:rPr>
        <w:t>À la fin du mois de septembre 2017, un montant de 3 209,7 millions d’EUR d’amendes (montant principal) est devenu définitif. Conformément à l’article 83 du règlement financier, les amendes définitives «</w:t>
      </w:r>
      <w:r>
        <w:rPr>
          <w:i/>
          <w:noProof/>
        </w:rPr>
        <w:t>sont enregistrées [...] dans les plus brefs délais et au plus tard dans l’année qui suit l’épuisement de toutes les voies de recours</w:t>
      </w:r>
      <w:r>
        <w:rPr>
          <w:noProof/>
        </w:rPr>
        <w:t xml:space="preserve">». </w:t>
      </w:r>
    </w:p>
    <w:p>
      <w:pPr>
        <w:spacing w:before="120" w:after="120"/>
        <w:jc w:val="both"/>
        <w:rPr>
          <w:noProof/>
        </w:rPr>
      </w:pPr>
      <w:r>
        <w:rPr>
          <w:noProof/>
        </w:rPr>
        <w:t>Ce montant est supérieur au niveau des amendes qui était initialement prévu dans le budget 2017, à savoir 1 100,0 millions d’EUR. La différence, soit 2 209,7 millions d’EUR, réduira d’autant les contributions au titre des ressources propres versées par les États membres au budget de l’UE.</w:t>
      </w:r>
    </w:p>
    <w:p>
      <w:pPr>
        <w:spacing w:before="120" w:after="120"/>
        <w:jc w:val="both"/>
        <w:rPr>
          <w:rFonts w:eastAsia="Calibri"/>
          <w:noProof/>
        </w:rPr>
      </w:pPr>
      <w:r>
        <w:rPr>
          <w:noProof/>
        </w:rPr>
        <w:t>Le tableau ci-dessous indique la répartition des amendes par affaire.</w:t>
      </w:r>
    </w:p>
    <w:tbl>
      <w:tblPr>
        <w:tblW w:w="8735" w:type="dxa"/>
        <w:jc w:val="center"/>
        <w:tblInd w:w="-520" w:type="dxa"/>
        <w:tblLook w:val="04A0" w:firstRow="1" w:lastRow="0" w:firstColumn="1" w:lastColumn="0" w:noHBand="0" w:noVBand="1"/>
      </w:tblPr>
      <w:tblGrid>
        <w:gridCol w:w="1158"/>
        <w:gridCol w:w="4252"/>
        <w:gridCol w:w="1843"/>
        <w:gridCol w:w="1482"/>
      </w:tblGrid>
      <w:tr>
        <w:trPr>
          <w:trHeight w:val="300"/>
          <w:jc w:val="center"/>
        </w:trPr>
        <w:tc>
          <w:tcPr>
            <w:tcW w:w="8735" w:type="dxa"/>
            <w:gridSpan w:val="4"/>
            <w:tcBorders>
              <w:top w:val="nil"/>
              <w:left w:val="nil"/>
              <w:bottom w:val="single" w:sz="4" w:space="0" w:color="auto"/>
              <w:right w:val="nil"/>
            </w:tcBorders>
            <w:shd w:val="clear" w:color="auto" w:fill="auto"/>
            <w:noWrap/>
            <w:vAlign w:val="bottom"/>
            <w:hideMark/>
          </w:tcPr>
          <w:p>
            <w:pPr>
              <w:jc w:val="right"/>
              <w:rPr>
                <w:i/>
                <w:iCs/>
                <w:noProof/>
                <w:color w:val="000000"/>
                <w:sz w:val="20"/>
                <w:szCs w:val="20"/>
              </w:rPr>
            </w:pPr>
            <w:r>
              <w:rPr>
                <w:i/>
                <w:noProof/>
                <w:color w:val="000000"/>
                <w:sz w:val="20"/>
              </w:rPr>
              <w:t>En EUR</w:t>
            </w:r>
          </w:p>
        </w:tc>
      </w:tr>
      <w:tr>
        <w:trPr>
          <w:trHeight w:val="227"/>
          <w:jc w:val="center"/>
        </w:trPr>
        <w:tc>
          <w:tcPr>
            <w:tcW w:w="1158" w:type="dxa"/>
            <w:tcBorders>
              <w:top w:val="nil"/>
              <w:left w:val="single" w:sz="4" w:space="0" w:color="auto"/>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noProof/>
                <w:color w:val="000000"/>
                <w:sz w:val="20"/>
              </w:rPr>
              <w:t>Affaire nº</w:t>
            </w:r>
          </w:p>
        </w:tc>
        <w:tc>
          <w:tcPr>
            <w:tcW w:w="4252" w:type="dxa"/>
            <w:tcBorders>
              <w:top w:val="nil"/>
              <w:left w:val="nil"/>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noProof/>
                <w:color w:val="000000"/>
                <w:sz w:val="20"/>
              </w:rPr>
              <w:t>Intitulé de l’affaire</w:t>
            </w:r>
          </w:p>
        </w:tc>
        <w:tc>
          <w:tcPr>
            <w:tcW w:w="1843" w:type="dxa"/>
            <w:tcBorders>
              <w:top w:val="nil"/>
              <w:left w:val="nil"/>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noProof/>
                <w:color w:val="000000"/>
                <w:sz w:val="20"/>
              </w:rPr>
              <w:t>Domaine</w:t>
            </w:r>
          </w:p>
        </w:tc>
        <w:tc>
          <w:tcPr>
            <w:tcW w:w="1482" w:type="dxa"/>
            <w:tcBorders>
              <w:top w:val="nil"/>
              <w:left w:val="nil"/>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noProof/>
                <w:color w:val="000000"/>
                <w:sz w:val="20"/>
              </w:rPr>
              <w:t>Amendes</w:t>
            </w:r>
          </w:p>
        </w:tc>
      </w:tr>
      <w:tr>
        <w:trPr>
          <w:trHeight w:val="227"/>
          <w:jc w:val="center"/>
        </w:trPr>
        <w:tc>
          <w:tcPr>
            <w:tcW w:w="1158" w:type="dxa"/>
            <w:tcBorders>
              <w:top w:val="nil"/>
              <w:left w:val="single" w:sz="4" w:space="0" w:color="auto"/>
              <w:bottom w:val="nil"/>
              <w:right w:val="single" w:sz="4" w:space="0" w:color="auto"/>
            </w:tcBorders>
            <w:shd w:val="clear" w:color="auto" w:fill="auto"/>
            <w:noWrap/>
            <w:hideMark/>
          </w:tcPr>
          <w:p>
            <w:pPr>
              <w:jc w:val="center"/>
              <w:rPr>
                <w:noProof/>
                <w:color w:val="000000"/>
                <w:sz w:val="20"/>
                <w:szCs w:val="20"/>
              </w:rPr>
            </w:pPr>
            <w:r>
              <w:rPr>
                <w:noProof/>
                <w:color w:val="000000"/>
                <w:sz w:val="20"/>
              </w:rPr>
              <w:t>8228</w:t>
            </w:r>
          </w:p>
        </w:tc>
        <w:tc>
          <w:tcPr>
            <w:tcW w:w="4252" w:type="dxa"/>
            <w:tcBorders>
              <w:top w:val="nil"/>
              <w:left w:val="nil"/>
              <w:bottom w:val="nil"/>
              <w:right w:val="single" w:sz="4" w:space="0" w:color="auto"/>
            </w:tcBorders>
            <w:shd w:val="clear" w:color="auto" w:fill="auto"/>
            <w:noWrap/>
            <w:hideMark/>
          </w:tcPr>
          <w:p>
            <w:pPr>
              <w:rPr>
                <w:noProof/>
                <w:color w:val="000000"/>
                <w:sz w:val="20"/>
                <w:szCs w:val="20"/>
                <w:lang w:val="en-GB"/>
              </w:rPr>
            </w:pPr>
            <w:r>
              <w:rPr>
                <w:noProof/>
                <w:color w:val="000000"/>
                <w:sz w:val="20"/>
                <w:lang w:val="en-GB"/>
              </w:rPr>
              <w:t>Facebook/WhatsApp (proc. art. 14, par. 1)</w:t>
            </w:r>
          </w:p>
        </w:tc>
        <w:tc>
          <w:tcPr>
            <w:tcW w:w="1843"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Concentration</w:t>
            </w:r>
          </w:p>
        </w:tc>
        <w:tc>
          <w:tcPr>
            <w:tcW w:w="1482" w:type="dxa"/>
            <w:tcBorders>
              <w:top w:val="nil"/>
              <w:left w:val="nil"/>
              <w:bottom w:val="nil"/>
              <w:right w:val="single" w:sz="4" w:space="0" w:color="auto"/>
            </w:tcBorders>
            <w:shd w:val="clear" w:color="auto" w:fill="auto"/>
            <w:noWrap/>
            <w:hideMark/>
          </w:tcPr>
          <w:p>
            <w:pPr>
              <w:jc w:val="right"/>
              <w:rPr>
                <w:noProof/>
                <w:color w:val="000000"/>
                <w:sz w:val="20"/>
                <w:szCs w:val="20"/>
              </w:rPr>
            </w:pPr>
            <w:r>
              <w:rPr>
                <w:noProof/>
                <w:color w:val="000000"/>
                <w:sz w:val="20"/>
              </w:rPr>
              <w:t>110 000 000</w:t>
            </w:r>
          </w:p>
        </w:tc>
      </w:tr>
      <w:tr>
        <w:trPr>
          <w:trHeight w:val="227"/>
          <w:jc w:val="center"/>
        </w:trPr>
        <w:tc>
          <w:tcPr>
            <w:tcW w:w="1158" w:type="dxa"/>
            <w:tcBorders>
              <w:top w:val="nil"/>
              <w:left w:val="single" w:sz="4" w:space="0" w:color="auto"/>
              <w:bottom w:val="nil"/>
              <w:right w:val="single" w:sz="4" w:space="0" w:color="auto"/>
            </w:tcBorders>
            <w:shd w:val="clear" w:color="auto" w:fill="auto"/>
            <w:noWrap/>
            <w:hideMark/>
          </w:tcPr>
          <w:p>
            <w:pPr>
              <w:jc w:val="center"/>
              <w:rPr>
                <w:noProof/>
                <w:color w:val="000000"/>
                <w:sz w:val="20"/>
                <w:szCs w:val="20"/>
              </w:rPr>
            </w:pPr>
            <w:r>
              <w:rPr>
                <w:noProof/>
                <w:color w:val="000000"/>
                <w:sz w:val="20"/>
              </w:rPr>
              <w:t>38238</w:t>
            </w:r>
          </w:p>
        </w:tc>
        <w:tc>
          <w:tcPr>
            <w:tcW w:w="4252"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Tabac brut (ES)</w:t>
            </w:r>
          </w:p>
        </w:tc>
        <w:tc>
          <w:tcPr>
            <w:tcW w:w="1843"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Cartel</w:t>
            </w:r>
          </w:p>
        </w:tc>
        <w:tc>
          <w:tcPr>
            <w:tcW w:w="1482" w:type="dxa"/>
            <w:tcBorders>
              <w:top w:val="nil"/>
              <w:left w:val="nil"/>
              <w:bottom w:val="nil"/>
              <w:right w:val="single" w:sz="4" w:space="0" w:color="auto"/>
            </w:tcBorders>
            <w:shd w:val="clear" w:color="auto" w:fill="auto"/>
            <w:noWrap/>
            <w:hideMark/>
          </w:tcPr>
          <w:p>
            <w:pPr>
              <w:jc w:val="right"/>
              <w:rPr>
                <w:noProof/>
                <w:color w:val="000000"/>
                <w:sz w:val="20"/>
                <w:szCs w:val="20"/>
              </w:rPr>
            </w:pPr>
            <w:r>
              <w:rPr>
                <w:noProof/>
                <w:color w:val="000000"/>
                <w:sz w:val="20"/>
              </w:rPr>
              <w:t>1 579 500</w:t>
            </w:r>
          </w:p>
        </w:tc>
      </w:tr>
      <w:tr>
        <w:trPr>
          <w:trHeight w:val="227"/>
          <w:jc w:val="center"/>
        </w:trPr>
        <w:tc>
          <w:tcPr>
            <w:tcW w:w="1158" w:type="dxa"/>
            <w:tcBorders>
              <w:top w:val="nil"/>
              <w:left w:val="single" w:sz="4" w:space="0" w:color="auto"/>
              <w:bottom w:val="nil"/>
              <w:right w:val="single" w:sz="4" w:space="0" w:color="auto"/>
            </w:tcBorders>
            <w:shd w:val="clear" w:color="auto" w:fill="auto"/>
            <w:noWrap/>
            <w:hideMark/>
          </w:tcPr>
          <w:p>
            <w:pPr>
              <w:jc w:val="center"/>
              <w:rPr>
                <w:noProof/>
                <w:color w:val="000000"/>
                <w:sz w:val="20"/>
                <w:szCs w:val="20"/>
              </w:rPr>
            </w:pPr>
            <w:r>
              <w:rPr>
                <w:noProof/>
                <w:color w:val="000000"/>
                <w:sz w:val="20"/>
              </w:rPr>
              <w:t>38589</w:t>
            </w:r>
          </w:p>
        </w:tc>
        <w:tc>
          <w:tcPr>
            <w:tcW w:w="4252"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Stabilisants thermiques</w:t>
            </w:r>
          </w:p>
        </w:tc>
        <w:tc>
          <w:tcPr>
            <w:tcW w:w="1843"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Cartel</w:t>
            </w:r>
          </w:p>
        </w:tc>
        <w:tc>
          <w:tcPr>
            <w:tcW w:w="1482" w:type="dxa"/>
            <w:tcBorders>
              <w:top w:val="nil"/>
              <w:left w:val="nil"/>
              <w:bottom w:val="nil"/>
              <w:right w:val="single" w:sz="4" w:space="0" w:color="auto"/>
            </w:tcBorders>
            <w:shd w:val="clear" w:color="auto" w:fill="auto"/>
            <w:noWrap/>
            <w:hideMark/>
          </w:tcPr>
          <w:p>
            <w:pPr>
              <w:jc w:val="right"/>
              <w:rPr>
                <w:noProof/>
                <w:color w:val="000000"/>
                <w:sz w:val="20"/>
                <w:szCs w:val="20"/>
              </w:rPr>
            </w:pPr>
            <w:r>
              <w:rPr>
                <w:noProof/>
                <w:color w:val="000000"/>
                <w:sz w:val="20"/>
              </w:rPr>
              <w:t>40 193 990</w:t>
            </w:r>
          </w:p>
        </w:tc>
      </w:tr>
      <w:tr>
        <w:trPr>
          <w:trHeight w:val="227"/>
          <w:jc w:val="center"/>
        </w:trPr>
        <w:tc>
          <w:tcPr>
            <w:tcW w:w="1158" w:type="dxa"/>
            <w:tcBorders>
              <w:top w:val="nil"/>
              <w:left w:val="single" w:sz="4" w:space="0" w:color="auto"/>
              <w:bottom w:val="nil"/>
              <w:right w:val="single" w:sz="4" w:space="0" w:color="auto"/>
            </w:tcBorders>
            <w:shd w:val="clear" w:color="auto" w:fill="auto"/>
            <w:noWrap/>
            <w:hideMark/>
          </w:tcPr>
          <w:p>
            <w:pPr>
              <w:jc w:val="center"/>
              <w:rPr>
                <w:noProof/>
                <w:color w:val="000000"/>
                <w:sz w:val="20"/>
                <w:szCs w:val="20"/>
              </w:rPr>
            </w:pPr>
            <w:r>
              <w:rPr>
                <w:noProof/>
                <w:color w:val="000000"/>
                <w:sz w:val="20"/>
              </w:rPr>
              <w:t>38866</w:t>
            </w:r>
          </w:p>
        </w:tc>
        <w:tc>
          <w:tcPr>
            <w:tcW w:w="4252"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Phosphates pour l’alimentation animale</w:t>
            </w:r>
          </w:p>
        </w:tc>
        <w:tc>
          <w:tcPr>
            <w:tcW w:w="1843"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Cartel</w:t>
            </w:r>
          </w:p>
        </w:tc>
        <w:tc>
          <w:tcPr>
            <w:tcW w:w="1482" w:type="dxa"/>
            <w:tcBorders>
              <w:top w:val="nil"/>
              <w:left w:val="nil"/>
              <w:bottom w:val="nil"/>
              <w:right w:val="single" w:sz="4" w:space="0" w:color="auto"/>
            </w:tcBorders>
            <w:shd w:val="clear" w:color="auto" w:fill="auto"/>
            <w:noWrap/>
            <w:hideMark/>
          </w:tcPr>
          <w:p>
            <w:pPr>
              <w:jc w:val="right"/>
              <w:rPr>
                <w:noProof/>
                <w:color w:val="000000"/>
                <w:sz w:val="20"/>
                <w:szCs w:val="20"/>
              </w:rPr>
            </w:pPr>
            <w:r>
              <w:rPr>
                <w:noProof/>
                <w:color w:val="000000"/>
                <w:sz w:val="20"/>
              </w:rPr>
              <w:t>59 850 000</w:t>
            </w:r>
          </w:p>
        </w:tc>
      </w:tr>
      <w:tr>
        <w:trPr>
          <w:trHeight w:val="227"/>
          <w:jc w:val="center"/>
        </w:trPr>
        <w:tc>
          <w:tcPr>
            <w:tcW w:w="1158" w:type="dxa"/>
            <w:tcBorders>
              <w:top w:val="nil"/>
              <w:left w:val="single" w:sz="4" w:space="0" w:color="auto"/>
              <w:bottom w:val="nil"/>
              <w:right w:val="single" w:sz="4" w:space="0" w:color="auto"/>
            </w:tcBorders>
            <w:shd w:val="clear" w:color="auto" w:fill="auto"/>
            <w:noWrap/>
            <w:hideMark/>
          </w:tcPr>
          <w:p>
            <w:pPr>
              <w:jc w:val="center"/>
              <w:rPr>
                <w:noProof/>
                <w:color w:val="000000"/>
                <w:sz w:val="20"/>
                <w:szCs w:val="20"/>
              </w:rPr>
            </w:pPr>
            <w:r>
              <w:rPr>
                <w:noProof/>
                <w:color w:val="000000"/>
                <w:sz w:val="20"/>
              </w:rPr>
              <w:t>39092</w:t>
            </w:r>
          </w:p>
        </w:tc>
        <w:tc>
          <w:tcPr>
            <w:tcW w:w="4252"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Installations sanitaires pour salles de bain</w:t>
            </w:r>
          </w:p>
        </w:tc>
        <w:tc>
          <w:tcPr>
            <w:tcW w:w="1843"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Cartel</w:t>
            </w:r>
          </w:p>
        </w:tc>
        <w:tc>
          <w:tcPr>
            <w:tcW w:w="1482" w:type="dxa"/>
            <w:tcBorders>
              <w:top w:val="nil"/>
              <w:left w:val="nil"/>
              <w:bottom w:val="nil"/>
              <w:right w:val="single" w:sz="4" w:space="0" w:color="auto"/>
            </w:tcBorders>
            <w:shd w:val="clear" w:color="auto" w:fill="auto"/>
            <w:noWrap/>
            <w:hideMark/>
          </w:tcPr>
          <w:p>
            <w:pPr>
              <w:jc w:val="right"/>
              <w:rPr>
                <w:noProof/>
                <w:color w:val="000000"/>
                <w:sz w:val="20"/>
                <w:szCs w:val="20"/>
              </w:rPr>
            </w:pPr>
            <w:r>
              <w:rPr>
                <w:noProof/>
                <w:color w:val="000000"/>
                <w:sz w:val="20"/>
              </w:rPr>
              <w:t>139 191 989</w:t>
            </w:r>
          </w:p>
        </w:tc>
      </w:tr>
      <w:tr>
        <w:trPr>
          <w:trHeight w:val="227"/>
          <w:jc w:val="center"/>
        </w:trPr>
        <w:tc>
          <w:tcPr>
            <w:tcW w:w="1158" w:type="dxa"/>
            <w:tcBorders>
              <w:top w:val="nil"/>
              <w:left w:val="single" w:sz="4" w:space="0" w:color="auto"/>
              <w:bottom w:val="nil"/>
              <w:right w:val="single" w:sz="4" w:space="0" w:color="auto"/>
            </w:tcBorders>
            <w:shd w:val="clear" w:color="auto" w:fill="auto"/>
            <w:noWrap/>
            <w:hideMark/>
          </w:tcPr>
          <w:p>
            <w:pPr>
              <w:jc w:val="center"/>
              <w:rPr>
                <w:noProof/>
                <w:color w:val="000000"/>
                <w:sz w:val="20"/>
                <w:szCs w:val="20"/>
              </w:rPr>
            </w:pPr>
            <w:r>
              <w:rPr>
                <w:noProof/>
                <w:color w:val="000000"/>
                <w:sz w:val="20"/>
              </w:rPr>
              <w:t>39181</w:t>
            </w:r>
          </w:p>
        </w:tc>
        <w:tc>
          <w:tcPr>
            <w:tcW w:w="4252"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Cires de bougie</w:t>
            </w:r>
          </w:p>
        </w:tc>
        <w:tc>
          <w:tcPr>
            <w:tcW w:w="1843"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Cartel</w:t>
            </w:r>
          </w:p>
        </w:tc>
        <w:tc>
          <w:tcPr>
            <w:tcW w:w="1482" w:type="dxa"/>
            <w:tcBorders>
              <w:top w:val="nil"/>
              <w:left w:val="nil"/>
              <w:bottom w:val="nil"/>
              <w:right w:val="single" w:sz="4" w:space="0" w:color="auto"/>
            </w:tcBorders>
            <w:shd w:val="clear" w:color="auto" w:fill="auto"/>
            <w:noWrap/>
            <w:hideMark/>
          </w:tcPr>
          <w:p>
            <w:pPr>
              <w:jc w:val="right"/>
              <w:rPr>
                <w:noProof/>
                <w:color w:val="000000"/>
                <w:sz w:val="20"/>
                <w:szCs w:val="20"/>
              </w:rPr>
            </w:pPr>
            <w:r>
              <w:rPr>
                <w:noProof/>
                <w:color w:val="000000"/>
                <w:sz w:val="20"/>
              </w:rPr>
              <w:t>36 000 000</w:t>
            </w:r>
          </w:p>
        </w:tc>
      </w:tr>
      <w:tr>
        <w:trPr>
          <w:trHeight w:val="227"/>
          <w:jc w:val="center"/>
        </w:trPr>
        <w:tc>
          <w:tcPr>
            <w:tcW w:w="1158" w:type="dxa"/>
            <w:tcBorders>
              <w:top w:val="nil"/>
              <w:left w:val="single" w:sz="4" w:space="0" w:color="auto"/>
              <w:bottom w:val="nil"/>
              <w:right w:val="single" w:sz="4" w:space="0" w:color="auto"/>
            </w:tcBorders>
            <w:shd w:val="clear" w:color="auto" w:fill="auto"/>
            <w:noWrap/>
            <w:hideMark/>
          </w:tcPr>
          <w:p>
            <w:pPr>
              <w:jc w:val="center"/>
              <w:rPr>
                <w:noProof/>
                <w:color w:val="000000"/>
                <w:sz w:val="20"/>
                <w:szCs w:val="20"/>
              </w:rPr>
            </w:pPr>
            <w:r>
              <w:rPr>
                <w:noProof/>
                <w:color w:val="000000"/>
                <w:sz w:val="20"/>
              </w:rPr>
              <w:t>39437</w:t>
            </w:r>
          </w:p>
        </w:tc>
        <w:tc>
          <w:tcPr>
            <w:tcW w:w="4252"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Tubes cathodiques pour téléviseurs et écrans d’ordinateur</w:t>
            </w:r>
          </w:p>
        </w:tc>
        <w:tc>
          <w:tcPr>
            <w:tcW w:w="1843"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Cartel</w:t>
            </w:r>
          </w:p>
        </w:tc>
        <w:tc>
          <w:tcPr>
            <w:tcW w:w="1482" w:type="dxa"/>
            <w:tcBorders>
              <w:top w:val="nil"/>
              <w:left w:val="nil"/>
              <w:bottom w:val="nil"/>
              <w:right w:val="single" w:sz="4" w:space="0" w:color="auto"/>
            </w:tcBorders>
            <w:shd w:val="clear" w:color="auto" w:fill="auto"/>
            <w:noWrap/>
            <w:hideMark/>
          </w:tcPr>
          <w:p>
            <w:pPr>
              <w:jc w:val="right"/>
              <w:rPr>
                <w:noProof/>
                <w:color w:val="000000"/>
                <w:sz w:val="20"/>
                <w:szCs w:val="20"/>
              </w:rPr>
            </w:pPr>
            <w:r>
              <w:rPr>
                <w:noProof/>
                <w:color w:val="000000"/>
                <w:sz w:val="20"/>
              </w:rPr>
              <w:t>1 242 091 000</w:t>
            </w:r>
          </w:p>
        </w:tc>
      </w:tr>
      <w:tr>
        <w:trPr>
          <w:trHeight w:val="227"/>
          <w:jc w:val="center"/>
        </w:trPr>
        <w:tc>
          <w:tcPr>
            <w:tcW w:w="1158" w:type="dxa"/>
            <w:tcBorders>
              <w:top w:val="nil"/>
              <w:left w:val="single" w:sz="4" w:space="0" w:color="auto"/>
              <w:bottom w:val="nil"/>
              <w:right w:val="single" w:sz="4" w:space="0" w:color="auto"/>
            </w:tcBorders>
            <w:shd w:val="clear" w:color="auto" w:fill="auto"/>
            <w:noWrap/>
            <w:hideMark/>
          </w:tcPr>
          <w:p>
            <w:pPr>
              <w:jc w:val="center"/>
              <w:rPr>
                <w:noProof/>
                <w:color w:val="000000"/>
                <w:sz w:val="20"/>
                <w:szCs w:val="20"/>
              </w:rPr>
            </w:pPr>
            <w:r>
              <w:rPr>
                <w:noProof/>
                <w:color w:val="000000"/>
                <w:sz w:val="20"/>
              </w:rPr>
              <w:t>39759</w:t>
            </w:r>
          </w:p>
        </w:tc>
        <w:tc>
          <w:tcPr>
            <w:tcW w:w="4252"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ARA Verrouillage du marché</w:t>
            </w:r>
          </w:p>
        </w:tc>
        <w:tc>
          <w:tcPr>
            <w:tcW w:w="1843"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Ententes et abus de position dominante</w:t>
            </w:r>
          </w:p>
        </w:tc>
        <w:tc>
          <w:tcPr>
            <w:tcW w:w="1482" w:type="dxa"/>
            <w:tcBorders>
              <w:top w:val="nil"/>
              <w:left w:val="nil"/>
              <w:bottom w:val="nil"/>
              <w:right w:val="single" w:sz="4" w:space="0" w:color="auto"/>
            </w:tcBorders>
            <w:shd w:val="clear" w:color="auto" w:fill="auto"/>
            <w:noWrap/>
            <w:hideMark/>
          </w:tcPr>
          <w:p>
            <w:pPr>
              <w:jc w:val="right"/>
              <w:rPr>
                <w:noProof/>
                <w:color w:val="000000"/>
                <w:sz w:val="20"/>
                <w:szCs w:val="20"/>
              </w:rPr>
            </w:pPr>
            <w:r>
              <w:rPr>
                <w:noProof/>
                <w:color w:val="000000"/>
                <w:sz w:val="20"/>
              </w:rPr>
              <w:t>6 015 000</w:t>
            </w:r>
          </w:p>
        </w:tc>
      </w:tr>
      <w:tr>
        <w:trPr>
          <w:trHeight w:val="227"/>
          <w:jc w:val="center"/>
        </w:trPr>
        <w:tc>
          <w:tcPr>
            <w:tcW w:w="1158" w:type="dxa"/>
            <w:tcBorders>
              <w:top w:val="nil"/>
              <w:left w:val="single" w:sz="4" w:space="0" w:color="auto"/>
              <w:bottom w:val="nil"/>
              <w:right w:val="single" w:sz="4" w:space="0" w:color="auto"/>
            </w:tcBorders>
            <w:shd w:val="clear" w:color="auto" w:fill="auto"/>
            <w:noWrap/>
            <w:hideMark/>
          </w:tcPr>
          <w:p>
            <w:pPr>
              <w:jc w:val="center"/>
              <w:rPr>
                <w:noProof/>
                <w:color w:val="000000"/>
                <w:sz w:val="20"/>
                <w:szCs w:val="20"/>
              </w:rPr>
            </w:pPr>
            <w:r>
              <w:rPr>
                <w:noProof/>
                <w:color w:val="000000"/>
                <w:sz w:val="20"/>
              </w:rPr>
              <w:t>39824</w:t>
            </w:r>
          </w:p>
        </w:tc>
        <w:tc>
          <w:tcPr>
            <w:tcW w:w="4252"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Camions</w:t>
            </w:r>
          </w:p>
        </w:tc>
        <w:tc>
          <w:tcPr>
            <w:tcW w:w="1843"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Cartel</w:t>
            </w:r>
          </w:p>
        </w:tc>
        <w:tc>
          <w:tcPr>
            <w:tcW w:w="1482" w:type="dxa"/>
            <w:tcBorders>
              <w:top w:val="nil"/>
              <w:left w:val="nil"/>
              <w:bottom w:val="nil"/>
              <w:right w:val="single" w:sz="4" w:space="0" w:color="auto"/>
            </w:tcBorders>
            <w:shd w:val="clear" w:color="auto" w:fill="auto"/>
            <w:noWrap/>
            <w:hideMark/>
          </w:tcPr>
          <w:p>
            <w:pPr>
              <w:jc w:val="right"/>
              <w:rPr>
                <w:noProof/>
                <w:color w:val="000000"/>
                <w:sz w:val="20"/>
                <w:szCs w:val="20"/>
              </w:rPr>
            </w:pPr>
            <w:r>
              <w:rPr>
                <w:noProof/>
                <w:color w:val="000000"/>
                <w:sz w:val="20"/>
              </w:rPr>
              <w:t>1 165 054 000</w:t>
            </w:r>
          </w:p>
        </w:tc>
      </w:tr>
      <w:tr>
        <w:trPr>
          <w:trHeight w:val="227"/>
          <w:jc w:val="center"/>
        </w:trPr>
        <w:tc>
          <w:tcPr>
            <w:tcW w:w="1158" w:type="dxa"/>
            <w:tcBorders>
              <w:top w:val="nil"/>
              <w:left w:val="single" w:sz="4" w:space="0" w:color="auto"/>
              <w:bottom w:val="nil"/>
              <w:right w:val="single" w:sz="4" w:space="0" w:color="auto"/>
            </w:tcBorders>
            <w:shd w:val="clear" w:color="auto" w:fill="auto"/>
            <w:noWrap/>
            <w:hideMark/>
          </w:tcPr>
          <w:p>
            <w:pPr>
              <w:jc w:val="center"/>
              <w:rPr>
                <w:noProof/>
                <w:color w:val="000000"/>
                <w:sz w:val="20"/>
                <w:szCs w:val="20"/>
              </w:rPr>
            </w:pPr>
            <w:r>
              <w:rPr>
                <w:noProof/>
                <w:color w:val="000000"/>
                <w:sz w:val="20"/>
              </w:rPr>
              <w:t>39904</w:t>
            </w:r>
          </w:p>
        </w:tc>
        <w:tc>
          <w:tcPr>
            <w:tcW w:w="4252"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Batteries rechargeables</w:t>
            </w:r>
          </w:p>
        </w:tc>
        <w:tc>
          <w:tcPr>
            <w:tcW w:w="1843"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Cartel</w:t>
            </w:r>
          </w:p>
        </w:tc>
        <w:tc>
          <w:tcPr>
            <w:tcW w:w="1482" w:type="dxa"/>
            <w:tcBorders>
              <w:top w:val="nil"/>
              <w:left w:val="nil"/>
              <w:bottom w:val="nil"/>
              <w:right w:val="single" w:sz="4" w:space="0" w:color="auto"/>
            </w:tcBorders>
            <w:shd w:val="clear" w:color="auto" w:fill="auto"/>
            <w:noWrap/>
            <w:hideMark/>
          </w:tcPr>
          <w:p>
            <w:pPr>
              <w:jc w:val="right"/>
              <w:rPr>
                <w:noProof/>
                <w:color w:val="000000"/>
                <w:sz w:val="20"/>
                <w:szCs w:val="20"/>
              </w:rPr>
            </w:pPr>
            <w:r>
              <w:rPr>
                <w:noProof/>
                <w:color w:val="000000"/>
                <w:sz w:val="20"/>
              </w:rPr>
              <w:t>165 841 000</w:t>
            </w:r>
          </w:p>
        </w:tc>
      </w:tr>
      <w:tr>
        <w:trPr>
          <w:trHeight w:val="227"/>
          <w:jc w:val="center"/>
        </w:trPr>
        <w:tc>
          <w:tcPr>
            <w:tcW w:w="1158" w:type="dxa"/>
            <w:tcBorders>
              <w:top w:val="nil"/>
              <w:left w:val="single" w:sz="4" w:space="0" w:color="auto"/>
              <w:bottom w:val="nil"/>
              <w:right w:val="single" w:sz="4" w:space="0" w:color="auto"/>
            </w:tcBorders>
            <w:shd w:val="clear" w:color="auto" w:fill="auto"/>
            <w:noWrap/>
            <w:hideMark/>
          </w:tcPr>
          <w:p>
            <w:pPr>
              <w:jc w:val="center"/>
              <w:rPr>
                <w:noProof/>
                <w:color w:val="000000"/>
                <w:sz w:val="20"/>
                <w:szCs w:val="20"/>
              </w:rPr>
            </w:pPr>
            <w:r>
              <w:rPr>
                <w:noProof/>
                <w:color w:val="000000"/>
                <w:sz w:val="20"/>
              </w:rPr>
              <w:t>39960</w:t>
            </w:r>
          </w:p>
        </w:tc>
        <w:tc>
          <w:tcPr>
            <w:tcW w:w="4252"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Systèmes thermiques</w:t>
            </w:r>
          </w:p>
        </w:tc>
        <w:tc>
          <w:tcPr>
            <w:tcW w:w="1843"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Cartel</w:t>
            </w:r>
          </w:p>
        </w:tc>
        <w:tc>
          <w:tcPr>
            <w:tcW w:w="1482" w:type="dxa"/>
            <w:tcBorders>
              <w:top w:val="nil"/>
              <w:left w:val="nil"/>
              <w:bottom w:val="nil"/>
              <w:right w:val="single" w:sz="4" w:space="0" w:color="auto"/>
            </w:tcBorders>
            <w:shd w:val="clear" w:color="auto" w:fill="auto"/>
            <w:noWrap/>
            <w:hideMark/>
          </w:tcPr>
          <w:p>
            <w:pPr>
              <w:jc w:val="right"/>
              <w:rPr>
                <w:noProof/>
                <w:color w:val="000000"/>
                <w:sz w:val="20"/>
                <w:szCs w:val="20"/>
              </w:rPr>
            </w:pPr>
            <w:r>
              <w:rPr>
                <w:noProof/>
                <w:color w:val="000000"/>
                <w:sz w:val="20"/>
              </w:rPr>
              <w:t>155 575 000</w:t>
            </w:r>
          </w:p>
        </w:tc>
      </w:tr>
      <w:tr>
        <w:trPr>
          <w:trHeight w:val="227"/>
          <w:jc w:val="center"/>
        </w:trPr>
        <w:tc>
          <w:tcPr>
            <w:tcW w:w="1158" w:type="dxa"/>
            <w:tcBorders>
              <w:top w:val="nil"/>
              <w:left w:val="single" w:sz="4" w:space="0" w:color="auto"/>
              <w:bottom w:val="nil"/>
              <w:right w:val="single" w:sz="4" w:space="0" w:color="auto"/>
            </w:tcBorders>
            <w:shd w:val="clear" w:color="auto" w:fill="auto"/>
            <w:noWrap/>
            <w:hideMark/>
          </w:tcPr>
          <w:p>
            <w:pPr>
              <w:jc w:val="center"/>
              <w:rPr>
                <w:noProof/>
                <w:color w:val="000000"/>
                <w:sz w:val="20"/>
                <w:szCs w:val="20"/>
              </w:rPr>
            </w:pPr>
            <w:r>
              <w:rPr>
                <w:noProof/>
                <w:color w:val="000000"/>
                <w:sz w:val="20"/>
              </w:rPr>
              <w:t>39966</w:t>
            </w:r>
          </w:p>
        </w:tc>
        <w:tc>
          <w:tcPr>
            <w:tcW w:w="4252"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Appareillages de commutation à isolation gazeuse</w:t>
            </w:r>
          </w:p>
        </w:tc>
        <w:tc>
          <w:tcPr>
            <w:tcW w:w="1843" w:type="dxa"/>
            <w:tcBorders>
              <w:top w:val="nil"/>
              <w:left w:val="nil"/>
              <w:bottom w:val="nil"/>
              <w:right w:val="single" w:sz="4" w:space="0" w:color="auto"/>
            </w:tcBorders>
            <w:shd w:val="clear" w:color="auto" w:fill="auto"/>
            <w:noWrap/>
            <w:hideMark/>
          </w:tcPr>
          <w:p>
            <w:pPr>
              <w:rPr>
                <w:noProof/>
                <w:color w:val="000000"/>
                <w:sz w:val="20"/>
                <w:szCs w:val="20"/>
              </w:rPr>
            </w:pPr>
            <w:r>
              <w:rPr>
                <w:noProof/>
                <w:color w:val="000000"/>
                <w:sz w:val="20"/>
              </w:rPr>
              <w:t>Cartel</w:t>
            </w:r>
          </w:p>
        </w:tc>
        <w:tc>
          <w:tcPr>
            <w:tcW w:w="1482" w:type="dxa"/>
            <w:tcBorders>
              <w:top w:val="nil"/>
              <w:left w:val="nil"/>
              <w:bottom w:val="nil"/>
              <w:right w:val="single" w:sz="4" w:space="0" w:color="auto"/>
            </w:tcBorders>
            <w:shd w:val="clear" w:color="auto" w:fill="auto"/>
            <w:noWrap/>
            <w:hideMark/>
          </w:tcPr>
          <w:p>
            <w:pPr>
              <w:jc w:val="right"/>
              <w:rPr>
                <w:noProof/>
                <w:color w:val="000000"/>
                <w:sz w:val="20"/>
                <w:szCs w:val="20"/>
              </w:rPr>
            </w:pPr>
            <w:r>
              <w:rPr>
                <w:noProof/>
                <w:color w:val="000000"/>
                <w:sz w:val="20"/>
              </w:rPr>
              <w:t>61 443 000</w:t>
            </w:r>
          </w:p>
        </w:tc>
      </w:tr>
      <w:tr>
        <w:trPr>
          <w:trHeight w:val="227"/>
          <w:jc w:val="center"/>
        </w:trPr>
        <w:tc>
          <w:tcPr>
            <w:tcW w:w="1158" w:type="dxa"/>
            <w:tcBorders>
              <w:top w:val="nil"/>
              <w:left w:val="single" w:sz="4" w:space="0" w:color="auto"/>
              <w:bottom w:val="single" w:sz="4" w:space="0" w:color="auto"/>
              <w:right w:val="single" w:sz="4" w:space="0" w:color="auto"/>
            </w:tcBorders>
            <w:shd w:val="clear" w:color="auto" w:fill="auto"/>
            <w:noWrap/>
            <w:hideMark/>
          </w:tcPr>
          <w:p>
            <w:pPr>
              <w:jc w:val="center"/>
              <w:rPr>
                <w:noProof/>
                <w:color w:val="000000"/>
                <w:sz w:val="20"/>
                <w:szCs w:val="20"/>
              </w:rPr>
            </w:pPr>
            <w:r>
              <w:rPr>
                <w:noProof/>
                <w:color w:val="000000"/>
                <w:sz w:val="20"/>
              </w:rPr>
              <w:t>40028</w:t>
            </w:r>
          </w:p>
        </w:tc>
        <w:tc>
          <w:tcPr>
            <w:tcW w:w="4252" w:type="dxa"/>
            <w:tcBorders>
              <w:top w:val="nil"/>
              <w:left w:val="nil"/>
              <w:bottom w:val="single" w:sz="4" w:space="0" w:color="auto"/>
              <w:right w:val="single" w:sz="4" w:space="0" w:color="auto"/>
            </w:tcBorders>
            <w:shd w:val="clear" w:color="auto" w:fill="auto"/>
            <w:noWrap/>
            <w:hideMark/>
          </w:tcPr>
          <w:p>
            <w:pPr>
              <w:rPr>
                <w:noProof/>
                <w:color w:val="000000"/>
                <w:sz w:val="20"/>
                <w:szCs w:val="20"/>
              </w:rPr>
            </w:pPr>
            <w:r>
              <w:rPr>
                <w:noProof/>
                <w:color w:val="000000"/>
                <w:sz w:val="20"/>
              </w:rPr>
              <w:t>Alternateurs et démarreurs</w:t>
            </w:r>
          </w:p>
        </w:tc>
        <w:tc>
          <w:tcPr>
            <w:tcW w:w="1843" w:type="dxa"/>
            <w:tcBorders>
              <w:top w:val="nil"/>
              <w:left w:val="nil"/>
              <w:bottom w:val="single" w:sz="4" w:space="0" w:color="auto"/>
              <w:right w:val="single" w:sz="4" w:space="0" w:color="auto"/>
            </w:tcBorders>
            <w:shd w:val="clear" w:color="auto" w:fill="auto"/>
            <w:noWrap/>
            <w:hideMark/>
          </w:tcPr>
          <w:p>
            <w:pPr>
              <w:rPr>
                <w:noProof/>
                <w:color w:val="000000"/>
                <w:sz w:val="20"/>
                <w:szCs w:val="20"/>
              </w:rPr>
            </w:pPr>
            <w:r>
              <w:rPr>
                <w:noProof/>
                <w:color w:val="000000"/>
                <w:sz w:val="20"/>
              </w:rPr>
              <w:t>Cartel</w:t>
            </w:r>
          </w:p>
        </w:tc>
        <w:tc>
          <w:tcPr>
            <w:tcW w:w="1482" w:type="dxa"/>
            <w:tcBorders>
              <w:top w:val="nil"/>
              <w:left w:val="nil"/>
              <w:bottom w:val="single" w:sz="4" w:space="0" w:color="auto"/>
              <w:right w:val="single" w:sz="4" w:space="0" w:color="auto"/>
            </w:tcBorders>
            <w:shd w:val="clear" w:color="auto" w:fill="auto"/>
            <w:noWrap/>
            <w:hideMark/>
          </w:tcPr>
          <w:p>
            <w:pPr>
              <w:jc w:val="right"/>
              <w:rPr>
                <w:noProof/>
                <w:color w:val="000000"/>
                <w:sz w:val="20"/>
                <w:szCs w:val="20"/>
              </w:rPr>
            </w:pPr>
            <w:r>
              <w:rPr>
                <w:noProof/>
                <w:color w:val="000000"/>
                <w:sz w:val="20"/>
              </w:rPr>
              <w:t>26 860 000</w:t>
            </w:r>
          </w:p>
        </w:tc>
      </w:tr>
      <w:tr>
        <w:trPr>
          <w:trHeight w:val="227"/>
          <w:jc w:val="center"/>
        </w:trPr>
        <w:tc>
          <w:tcPr>
            <w:tcW w:w="1158" w:type="dxa"/>
            <w:tcBorders>
              <w:top w:val="nil"/>
              <w:left w:val="single" w:sz="4" w:space="0" w:color="auto"/>
              <w:bottom w:val="single" w:sz="4" w:space="0" w:color="auto"/>
              <w:right w:val="nil"/>
            </w:tcBorders>
            <w:shd w:val="clear" w:color="000000" w:fill="D9D9D9"/>
            <w:noWrap/>
            <w:vAlign w:val="center"/>
            <w:hideMark/>
          </w:tcPr>
          <w:p>
            <w:pPr>
              <w:rPr>
                <w:b/>
                <w:bCs/>
                <w:noProof/>
                <w:color w:val="000000"/>
                <w:sz w:val="20"/>
                <w:szCs w:val="20"/>
              </w:rPr>
            </w:pPr>
            <w:r>
              <w:rPr>
                <w:b/>
                <w:noProof/>
                <w:color w:val="000000"/>
                <w:sz w:val="20"/>
              </w:rPr>
              <w:t>Total</w:t>
            </w:r>
          </w:p>
        </w:tc>
        <w:tc>
          <w:tcPr>
            <w:tcW w:w="4252" w:type="dxa"/>
            <w:tcBorders>
              <w:top w:val="nil"/>
              <w:left w:val="nil"/>
              <w:bottom w:val="single" w:sz="4" w:space="0" w:color="auto"/>
              <w:right w:val="nil"/>
            </w:tcBorders>
            <w:shd w:val="clear" w:color="000000" w:fill="D9D9D9"/>
            <w:noWrap/>
            <w:vAlign w:val="bottom"/>
            <w:hideMark/>
          </w:tcPr>
          <w:p>
            <w:pPr>
              <w:rPr>
                <w:b/>
                <w:bCs/>
                <w:noProof/>
                <w:color w:val="000000"/>
                <w:sz w:val="20"/>
                <w:szCs w:val="20"/>
              </w:rPr>
            </w:pPr>
            <w:r>
              <w:rPr>
                <w:b/>
                <w:noProof/>
                <w:color w:val="000000"/>
                <w:sz w:val="20"/>
              </w:rPr>
              <w:t> </w:t>
            </w:r>
          </w:p>
        </w:tc>
        <w:tc>
          <w:tcPr>
            <w:tcW w:w="1843" w:type="dxa"/>
            <w:tcBorders>
              <w:top w:val="nil"/>
              <w:left w:val="nil"/>
              <w:bottom w:val="single" w:sz="4" w:space="0" w:color="auto"/>
              <w:right w:val="nil"/>
            </w:tcBorders>
            <w:shd w:val="clear" w:color="000000" w:fill="D9D9D9"/>
            <w:noWrap/>
            <w:vAlign w:val="bottom"/>
            <w:hideMark/>
          </w:tcPr>
          <w:p>
            <w:pPr>
              <w:rPr>
                <w:b/>
                <w:bCs/>
                <w:noProof/>
                <w:color w:val="000000"/>
                <w:sz w:val="20"/>
                <w:szCs w:val="20"/>
              </w:rPr>
            </w:pPr>
            <w:r>
              <w:rPr>
                <w:b/>
                <w:noProof/>
                <w:color w:val="000000"/>
                <w:sz w:val="20"/>
              </w:rPr>
              <w:t> </w:t>
            </w:r>
          </w:p>
        </w:tc>
        <w:tc>
          <w:tcPr>
            <w:tcW w:w="1482" w:type="dxa"/>
            <w:tcBorders>
              <w:top w:val="nil"/>
              <w:left w:val="nil"/>
              <w:bottom w:val="single" w:sz="4" w:space="0" w:color="auto"/>
              <w:right w:val="single" w:sz="4" w:space="0" w:color="auto"/>
            </w:tcBorders>
            <w:shd w:val="clear" w:color="000000" w:fill="D9D9D9"/>
            <w:noWrap/>
            <w:vAlign w:val="bottom"/>
            <w:hideMark/>
          </w:tcPr>
          <w:p>
            <w:pPr>
              <w:jc w:val="right"/>
              <w:rPr>
                <w:b/>
                <w:bCs/>
                <w:noProof/>
                <w:color w:val="000000"/>
                <w:sz w:val="20"/>
                <w:szCs w:val="20"/>
              </w:rPr>
            </w:pPr>
            <w:r>
              <w:rPr>
                <w:b/>
                <w:noProof/>
                <w:color w:val="000000"/>
                <w:sz w:val="20"/>
              </w:rPr>
              <w:t>3 209 694 479</w:t>
            </w:r>
          </w:p>
        </w:tc>
      </w:tr>
    </w:tbl>
    <w:p>
      <w:pPr>
        <w:spacing w:before="120" w:after="120"/>
        <w:jc w:val="both"/>
        <w:rPr>
          <w:noProof/>
        </w:rPr>
      </w:pPr>
    </w:p>
    <w:p>
      <w:pPr>
        <w:pStyle w:val="ManualHeading1"/>
        <w:pageBreakBefore/>
      </w:pPr>
      <w:bookmarkStart w:id="86" w:name="_Toc494994382"/>
      <w:bookmarkStart w:id="87" w:name="_Toc496196496"/>
      <w:r>
        <w:t>4.</w:t>
      </w:r>
      <w:r>
        <w:tab/>
        <w:t>Tableau récapitulatif par rubrique du CFP</w:t>
      </w:r>
      <w:bookmarkEnd w:id="86"/>
      <w:bookmarkEnd w:id="87"/>
    </w:p>
    <w:tbl>
      <w:tblPr>
        <w:tblW w:w="11020" w:type="dxa"/>
        <w:jc w:val="center"/>
        <w:tblInd w:w="93" w:type="dxa"/>
        <w:tblLook w:val="04A0" w:firstRow="1" w:lastRow="0" w:firstColumn="1" w:lastColumn="0" w:noHBand="0" w:noVBand="1"/>
      </w:tblPr>
      <w:tblGrid>
        <w:gridCol w:w="357"/>
        <w:gridCol w:w="2659"/>
        <w:gridCol w:w="1328"/>
        <w:gridCol w:w="1485"/>
        <w:gridCol w:w="1189"/>
        <w:gridCol w:w="1189"/>
        <w:gridCol w:w="1328"/>
        <w:gridCol w:w="1485"/>
      </w:tblGrid>
      <w:tr>
        <w:trPr>
          <w:trHeight w:val="210"/>
          <w:jc w:val="center"/>
        </w:trPr>
        <w:tc>
          <w:tcPr>
            <w:tcW w:w="294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Rubrique</w:t>
            </w:r>
          </w:p>
        </w:tc>
        <w:tc>
          <w:tcPr>
            <w:tcW w:w="284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2017</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Projet de budget rectificatif 6/2017</w:t>
            </w:r>
          </w:p>
        </w:tc>
        <w:tc>
          <w:tcPr>
            <w:tcW w:w="284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2017</w:t>
            </w:r>
          </w:p>
        </w:tc>
      </w:tr>
      <w:tr>
        <w:trPr>
          <w:trHeight w:val="210"/>
          <w:jc w:val="center"/>
        </w:trPr>
        <w:tc>
          <w:tcPr>
            <w:tcW w:w="294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84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(y compris BR 1-4 et PBR 5/2017)</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84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(y compris BR 1-4 et PBR 5-6/2017)</w:t>
            </w:r>
          </w:p>
        </w:tc>
      </w:tr>
      <w:tr>
        <w:trPr>
          <w:trHeight w:val="210"/>
          <w:jc w:val="center"/>
        </w:trPr>
        <w:tc>
          <w:tcPr>
            <w:tcW w:w="294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4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5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134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5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1.</w:t>
            </w:r>
          </w:p>
        </w:tc>
        <w:tc>
          <w:tcPr>
            <w:tcW w:w="268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intelligente et inclusive</w:t>
            </w:r>
          </w:p>
        </w:tc>
        <w:tc>
          <w:tcPr>
            <w:tcW w:w="134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75 398 754 456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55 284 563 532</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-5 890 744 211</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75 398 754 456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49 393 819 321</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1 939 100 000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1 939 100 000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 xml:space="preserve">Plafond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73 512 000 000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73 512 000 000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52 345 544</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52 345 544</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1a</w:t>
            </w:r>
          </w:p>
        </w:tc>
        <w:tc>
          <w:tcPr>
            <w:tcW w:w="26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Compétitivité pour la croissance et l’emploi</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21 312 155 821</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19 320 944 503</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21 312 155 821</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19 320 944 503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1 439 100 000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1 439 100 000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19 925 000 000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19 925 000 000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51 944 179</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51 944 179</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 xml:space="preserve">1b </w:t>
            </w:r>
          </w:p>
        </w:tc>
        <w:tc>
          <w:tcPr>
            <w:tcW w:w="26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Cohésion économique, sociale et territoriale</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54 086 598 635</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35 963 619 029</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-5 890 744 211</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54 086 598 635</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30 072 874 818</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500 000 000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500 000 000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53 587 000 000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53 587 000 000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401 365</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401 365</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2.</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durable: ressources naturelles</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58 584 443 884</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54 913 969 537</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- 15 333 790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- 793 028 790</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58 569 110 094</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54 120 940 747</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60 191 000 000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60 191 000 000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1 031 556 116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1 046 889 906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4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Fonds européen agricole de garantie (FEAGA) — Dépenses relatives au marché et paiements directs</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42 612 572 079</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42 562 967 974</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- 1 900 000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- 1 900 000</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42 610 672 079</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42 561 067 974</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44 146 000 000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44 146 000 000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3.</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Sécurité et citoyenneté</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4 284 030 960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3 511 957 287</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- 287 650 000</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4 284 030 960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3 224 307 287</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l'instrument de flexibilité</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530 000 000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530 000 000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pour imprévus</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1 176 030 960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1 176 030 960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2 578 000 000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2 578 000 000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4.</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L’Europe dans le monde</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10 437 120 000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9 758 081 178</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- 702 237 209</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10 437 120 000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9 055 843 969</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l’instrument de flexibilité</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pour imprévus</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730 120 000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730 120 000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9 432 000 000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9 432 000 000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5.</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Administration</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9 394 513 816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9 394 599 816</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9 394 513 816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9 394 599 816</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9 918 000 000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9 918 000 000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16 217 380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16 217 380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60"/>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dépenses administratives des institutions</w:t>
            </w:r>
          </w:p>
        </w:tc>
        <w:tc>
          <w:tcPr>
            <w:tcW w:w="134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7 418 902 660</w:t>
            </w:r>
          </w:p>
        </w:tc>
        <w:tc>
          <w:tcPr>
            <w:tcW w:w="15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7 418 988 660</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4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7 418 902 660</w:t>
            </w:r>
          </w:p>
        </w:tc>
        <w:tc>
          <w:tcPr>
            <w:tcW w:w="15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7 418 988 660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8 007 000 000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8 007 000 000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80 828 536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80 828 536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Réserve négative</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r>
      <w:tr>
        <w:trPr>
          <w:trHeight w:val="225"/>
          <w:jc w:val="center"/>
        </w:trPr>
        <w:tc>
          <w:tcPr>
            <w:tcW w:w="294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w:t>
            </w:r>
          </w:p>
        </w:tc>
        <w:tc>
          <w:tcPr>
            <w:tcW w:w="134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158 098 863 116</w:t>
            </w:r>
          </w:p>
        </w:tc>
        <w:tc>
          <w:tcPr>
            <w:tcW w:w="15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132 863 171 350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- 15 333 790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-7 673 660 210</w:t>
            </w:r>
          </w:p>
        </w:tc>
        <w:tc>
          <w:tcPr>
            <w:tcW w:w="134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158 083 529 326</w:t>
            </w:r>
          </w:p>
        </w:tc>
        <w:tc>
          <w:tcPr>
            <w:tcW w:w="15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125 189 511 140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l’instrument de flexibilité</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805 000 000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1 256 093 985</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805 000 000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1 256 093 985</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la marge globale pour les engagements</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1 939 100 000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1 939 100 000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la marge pour imprévus</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1 906 150 960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1 906 150 960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Plafond</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155 631 000 000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142 906 000 000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155 631 000 000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142 906 000 000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compensée sur la marge pour imprévus</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-1 082 268 804</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-2 818 233 715</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-1 082 268 804</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-2 818 233 715</w:t>
            </w:r>
          </w:p>
        </w:tc>
      </w:tr>
      <w:tr>
        <w:trPr>
          <w:trHeight w:val="225"/>
          <w:jc w:val="center"/>
        </w:trPr>
        <w:tc>
          <w:tcPr>
            <w:tcW w:w="294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Marge</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1 100 119 040</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8 480 688 920</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1 115 452 830</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16 154 349 130</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Autres instruments spéciaux</w:t>
            </w:r>
          </w:p>
        </w:tc>
        <w:tc>
          <w:tcPr>
            <w:tcW w:w="134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1 793 924 013</w:t>
            </w:r>
          </w:p>
        </w:tc>
        <w:tc>
          <w:tcPr>
            <w:tcW w:w="15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1 627 200 013</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- 46 000 000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- 46 000 000</w:t>
            </w:r>
          </w:p>
        </w:tc>
        <w:tc>
          <w:tcPr>
            <w:tcW w:w="134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1 747 924 013</w:t>
            </w:r>
          </w:p>
        </w:tc>
        <w:tc>
          <w:tcPr>
            <w:tcW w:w="15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1 581 200 013</w:t>
            </w:r>
          </w:p>
        </w:tc>
      </w:tr>
      <w:tr>
        <w:trPr>
          <w:trHeight w:val="225"/>
          <w:jc w:val="center"/>
        </w:trPr>
        <w:tc>
          <w:tcPr>
            <w:tcW w:w="294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 général</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159 892 787 129</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134 490 371 363</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- 61 333 790</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-7 719 660 210</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159 831 453 339</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126 770 711 153</w:t>
            </w:r>
          </w:p>
        </w:tc>
      </w:tr>
    </w:tbl>
    <w:p>
      <w:pPr>
        <w:keepNext/>
        <w:tabs>
          <w:tab w:val="left" w:pos="850"/>
        </w:tabs>
        <w:spacing w:after="120"/>
        <w:jc w:val="both"/>
        <w:outlineLvl w:val="0"/>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347"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19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795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705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fr-BE"/>
        </w:rPr>
      </w:pPr>
      <w:r>
        <w:rPr>
          <w:rStyle w:val="FootnoteReference"/>
        </w:rPr>
        <w:footnoteRef/>
      </w:r>
      <w:r>
        <w:tab/>
      </w:r>
      <w:r>
        <w:rPr>
          <w:sz w:val="18"/>
        </w:rPr>
        <w:t>JO L 298 du 26.10.2012, p. 1.</w:t>
      </w:r>
    </w:p>
  </w:footnote>
  <w:footnote w:id="3">
    <w:p>
      <w:pPr>
        <w:pStyle w:val="FootnoteText"/>
        <w:rPr>
          <w:lang w:val="fr-BE"/>
        </w:rPr>
      </w:pPr>
      <w:r>
        <w:rPr>
          <w:rStyle w:val="FootnoteReference"/>
        </w:rPr>
        <w:footnoteRef/>
      </w:r>
      <w:r>
        <w:tab/>
      </w:r>
      <w:r>
        <w:rPr>
          <w:sz w:val="18"/>
        </w:rPr>
        <w:t>JO L 51 du 28.2.2017.</w:t>
      </w:r>
    </w:p>
  </w:footnote>
  <w:footnote w:id="4">
    <w:p>
      <w:pPr>
        <w:pStyle w:val="FootnoteText"/>
        <w:rPr>
          <w:lang w:val="fr-BE"/>
        </w:rPr>
      </w:pPr>
      <w:r>
        <w:rPr>
          <w:rStyle w:val="FootnoteReference"/>
        </w:rPr>
        <w:footnoteRef/>
      </w:r>
      <w:r>
        <w:rPr>
          <w:sz w:val="18"/>
        </w:rPr>
        <w:t xml:space="preserve"> </w:t>
      </w:r>
      <w:r>
        <w:tab/>
      </w:r>
      <w:r>
        <w:rPr>
          <w:sz w:val="18"/>
        </w:rPr>
        <w:t>JO L 136 du 24.5.2017.</w:t>
      </w:r>
    </w:p>
  </w:footnote>
  <w:footnote w:id="5">
    <w:p>
      <w:pPr>
        <w:pStyle w:val="FootnoteText"/>
      </w:pPr>
      <w:r>
        <w:rPr>
          <w:rStyle w:val="FootnoteReference"/>
        </w:rPr>
        <w:footnoteRef/>
      </w:r>
      <w:r>
        <w:rPr>
          <w:sz w:val="18"/>
        </w:rPr>
        <w:t xml:space="preserve"> </w:t>
      </w:r>
      <w:r>
        <w:tab/>
      </w:r>
      <w:r>
        <w:rPr>
          <w:sz w:val="18"/>
        </w:rPr>
        <w:t>JO L 227 du 1.9.2017.</w:t>
      </w:r>
    </w:p>
  </w:footnote>
  <w:footnote w:id="6">
    <w:p>
      <w:pPr>
        <w:pStyle w:val="FootnoteText"/>
      </w:pPr>
      <w:r>
        <w:rPr>
          <w:rStyle w:val="FootnoteReference"/>
        </w:rPr>
        <w:footnoteRef/>
      </w:r>
      <w:r>
        <w:rPr>
          <w:sz w:val="18"/>
        </w:rPr>
        <w:t xml:space="preserve"> </w:t>
      </w:r>
      <w:r>
        <w:tab/>
      </w:r>
      <w:r>
        <w:rPr>
          <w:sz w:val="18"/>
        </w:rPr>
        <w:t>COM(2017) 288 du 30.5.2017 (en attente de publication au Journal officiel).</w:t>
      </w:r>
    </w:p>
  </w:footnote>
  <w:footnote w:id="7">
    <w:p>
      <w:pPr>
        <w:pStyle w:val="FootnoteText"/>
      </w:pPr>
      <w:r>
        <w:rPr>
          <w:rStyle w:val="FootnoteReference"/>
        </w:rPr>
        <w:footnoteRef/>
      </w:r>
      <w:r>
        <w:rPr>
          <w:sz w:val="18"/>
        </w:rPr>
        <w:t xml:space="preserve"> </w:t>
      </w:r>
      <w:r>
        <w:tab/>
      </w:r>
      <w:r>
        <w:rPr>
          <w:sz w:val="18"/>
        </w:rPr>
        <w:t>COM(2017) 541 du 26.6.2017 (en attente de publication au Journal officiel).</w:t>
      </w:r>
    </w:p>
  </w:footnote>
  <w:footnote w:id="8">
    <w:p>
      <w:pPr>
        <w:pStyle w:val="FootnoteText"/>
      </w:pPr>
      <w:r>
        <w:rPr>
          <w:rStyle w:val="FootnoteReference"/>
        </w:rPr>
        <w:footnoteRef/>
      </w:r>
      <w:r>
        <w:rPr>
          <w:sz w:val="18"/>
        </w:rPr>
        <w:t xml:space="preserve"> </w:t>
      </w:r>
      <w:r>
        <w:tab/>
      </w:r>
      <w:r>
        <w:rPr>
          <w:sz w:val="18"/>
        </w:rPr>
        <w:t>COM(2017) 485 du 28.7.2017.</w:t>
      </w:r>
    </w:p>
  </w:footnote>
  <w:footnote w:id="9">
    <w:p>
      <w:pPr>
        <w:pStyle w:val="FootnoteText"/>
      </w:pPr>
      <w:r>
        <w:rPr>
          <w:rStyle w:val="FootnoteReference"/>
        </w:rPr>
        <w:footnoteRef/>
      </w:r>
      <w:r>
        <w:t xml:space="preserve"> </w:t>
      </w:r>
      <w:r>
        <w:tab/>
        <w:t>Un montant de 5 890,7 millions d’EUR est inscrit dans le présent PBR et un montant de 14,3 millions d’EUR a servi d’élément d’équilibrage dans le virement global.</w:t>
      </w:r>
    </w:p>
  </w:footnote>
  <w:footnote w:id="10">
    <w:p>
      <w:pPr>
        <w:pStyle w:val="FootnoteText"/>
      </w:pPr>
      <w:r>
        <w:rPr>
          <w:rStyle w:val="FootnoteReference"/>
        </w:rPr>
        <w:footnoteRef/>
      </w:r>
      <w:r>
        <w:t xml:space="preserve"> </w:t>
      </w:r>
      <w:r>
        <w:tab/>
        <w:t>Il s’agit des commissaires Oettinger, Crețu, Thyssen et Vella.</w:t>
      </w:r>
    </w:p>
  </w:footnote>
  <w:footnote w:id="11">
    <w:p>
      <w:pPr>
        <w:pStyle w:val="FootnoteText"/>
      </w:pPr>
      <w:r>
        <w:rPr>
          <w:rStyle w:val="FootnoteReference"/>
        </w:rPr>
        <w:footnoteRef/>
      </w:r>
      <w:r>
        <w:t xml:space="preserve"> </w:t>
      </w:r>
      <w:r>
        <w:tab/>
        <w:t>COM(2017) 485 du 28.7.2017.</w:t>
      </w:r>
    </w:p>
  </w:footnote>
  <w:footnote w:id="12">
    <w:p>
      <w:pPr>
        <w:pStyle w:val="FootnoteText"/>
      </w:pPr>
      <w:r>
        <w:rPr>
          <w:rStyle w:val="FootnoteReference"/>
        </w:rPr>
        <w:footnoteRef/>
      </w:r>
      <w:r>
        <w:t xml:space="preserve"> </w:t>
      </w:r>
      <w:r>
        <w:tab/>
        <w:t>Les budgets rectificatifs n</w:t>
      </w:r>
      <w:r>
        <w:rPr>
          <w:vertAlign w:val="superscript"/>
        </w:rPr>
        <w:t>os</w:t>
      </w:r>
      <w:r>
        <w:t> 3/2017 et 4/2017, de même que le projet de budget rectificatif n° 5/2017, n’ont pas d’incidence sur les recettes.</w:t>
      </w:r>
    </w:p>
  </w:footnote>
  <w:footnote w:id="13">
    <w:p>
      <w:pPr>
        <w:pStyle w:val="FootnoteText"/>
      </w:pPr>
      <w:r>
        <w:rPr>
          <w:rStyle w:val="FootnoteReference"/>
        </w:rPr>
        <w:footnoteRef/>
      </w:r>
      <w:r>
        <w:rPr>
          <w:sz w:val="24"/>
        </w:rPr>
        <w:t xml:space="preserve"> </w:t>
      </w:r>
      <w:r>
        <w:tab/>
      </w:r>
      <w:r>
        <w:rPr>
          <w:sz w:val="18"/>
        </w:rPr>
        <w:t>Les prévisions globales relatives aux cotisations nettes dans le secteur du sucre pour 2017 restent inchangées, mais le montant diffère en raison de la modification des frais de perception (à 133,3 millions d’EUR, après déduction des 20 % de frais de perception).</w:t>
      </w:r>
    </w:p>
  </w:footnote>
  <w:footnote w:id="14">
    <w:p>
      <w:pPr>
        <w:pStyle w:val="FootnoteText"/>
        <w:rPr>
          <w:sz w:val="18"/>
          <w:szCs w:val="18"/>
        </w:rPr>
      </w:pPr>
      <w:r>
        <w:rPr>
          <w:rStyle w:val="FootnoteReference"/>
          <w:sz w:val="18"/>
        </w:rPr>
        <w:footnoteRef/>
      </w:r>
      <w:r>
        <w:rPr>
          <w:sz w:val="18"/>
        </w:rPr>
        <w:t xml:space="preserve"> </w:t>
      </w:r>
      <w:r>
        <w:tab/>
      </w:r>
      <w:r>
        <w:rPr>
          <w:sz w:val="18"/>
        </w:rPr>
        <w:t>Conformément à la décision 2014/335/UE, Euratom du Conseil, si l’assiette TVA d’un État membre dépasse 50 % de son RNB, elle est écrêtée à hauteur de ces 50 %. Pour le PBR n° 6/2017, six États membres verront leur assiette TVA écrêtée à 50 % du RNB, à savoir l'Estonie, la Croatie, Chypre, le Luxembourg, Malte et le Portugal.</w:t>
      </w:r>
    </w:p>
  </w:footnote>
  <w:footnote w:id="15">
    <w:p>
      <w:pPr>
        <w:pStyle w:val="FootnoteText"/>
        <w:rPr>
          <w:rStyle w:val="FootnoteReference"/>
          <w:sz w:val="18"/>
          <w:szCs w:val="18"/>
        </w:rPr>
      </w:pPr>
      <w:r>
        <w:rPr>
          <w:rStyle w:val="FootnoteReference"/>
          <w:sz w:val="18"/>
        </w:rPr>
        <w:footnoteRef/>
      </w:r>
      <w:r>
        <w:rPr>
          <w:rStyle w:val="FootnoteReference"/>
          <w:sz w:val="18"/>
        </w:rPr>
        <w:t xml:space="preserve"> </w:t>
      </w:r>
      <w:r>
        <w:tab/>
      </w:r>
      <w:r>
        <w:rPr>
          <w:sz w:val="18"/>
        </w:rPr>
        <w:t>Les montants indiqués en grisé découlent des assiettes TVA écrêtées, comme expliqué à la note de bas de page [11] ci-dessus.</w:t>
      </w:r>
    </w:p>
  </w:footnote>
  <w:footnote w:id="16">
    <w:p>
      <w:pPr>
        <w:pStyle w:val="FootnoteText"/>
        <w:rPr>
          <w:sz w:val="18"/>
          <w:szCs w:val="18"/>
        </w:rPr>
      </w:pPr>
      <w:r>
        <w:rPr>
          <w:rStyle w:val="FootnoteReference"/>
          <w:sz w:val="18"/>
        </w:rPr>
        <w:footnoteRef/>
      </w:r>
      <w:r>
        <w:rPr>
          <w:sz w:val="18"/>
        </w:rPr>
        <w:t xml:space="preserve"> </w:t>
      </w:r>
      <w:r>
        <w:tab/>
      </w:r>
      <w:r>
        <w:rPr>
          <w:sz w:val="18"/>
        </w:rPr>
        <w:t>JO L 163 du 23.6.2007, p. 17.</w:t>
      </w:r>
    </w:p>
  </w:footnote>
  <w:footnote w:id="17">
    <w:p>
      <w:pPr>
        <w:pStyle w:val="FootnoteText"/>
        <w:rPr>
          <w:sz w:val="18"/>
          <w:szCs w:val="18"/>
        </w:rPr>
      </w:pPr>
      <w:r>
        <w:rPr>
          <w:rStyle w:val="FootnoteReference"/>
        </w:rPr>
        <w:footnoteRef/>
      </w:r>
      <w:r>
        <w:tab/>
      </w:r>
      <w:r>
        <w:rPr>
          <w:sz w:val="18"/>
        </w:rPr>
        <w:t xml:space="preserve">Document de travail de la Commission du 23 mai 2007 concernant le mode de calcul, le financement, le versement et la budgétisation de la correction des déséquilibres budgétaires en faveur du Royaume-Uni conformément aux articles 4 et 5 de la décision [2007/436/CE, Euratom] du Conseil relative au système des ressources propres des Communautés européennes, disponible à l’adresse suivante: </w:t>
      </w:r>
    </w:p>
    <w:p>
      <w:pPr>
        <w:pStyle w:val="FootnoteText"/>
        <w:spacing w:after="60"/>
        <w:ind w:firstLine="0"/>
        <w:rPr>
          <w:sz w:val="18"/>
          <w:szCs w:val="18"/>
        </w:rPr>
      </w:pPr>
      <w:hyperlink r:id="rId1">
        <w:r>
          <w:rPr>
            <w:rStyle w:val="Hyperlink"/>
            <w:sz w:val="18"/>
          </w:rPr>
          <w:t>http://ec.europa.eu/budget/library/biblio/documents/financing/calc_own_res_2007_fr.pdf</w:t>
        </w:r>
      </w:hyperlink>
      <w:r>
        <w:rPr>
          <w:sz w:val="18"/>
        </w:rPr>
        <w:t>.</w:t>
      </w:r>
    </w:p>
  </w:footnote>
  <w:footnote w:id="18">
    <w:p>
      <w:pPr>
        <w:pStyle w:val="FootnoteText"/>
        <w:rPr>
          <w:sz w:val="18"/>
          <w:szCs w:val="18"/>
        </w:rPr>
      </w:pPr>
      <w:r>
        <w:rPr>
          <w:rStyle w:val="FootnoteReference"/>
        </w:rPr>
        <w:footnoteRef/>
      </w:r>
      <w:r>
        <w:t xml:space="preserve"> </w:t>
      </w:r>
      <w:r>
        <w:tab/>
      </w:r>
      <w:r>
        <w:rPr>
          <w:sz w:val="18"/>
        </w:rPr>
        <w:t>JO L 168 du 7.6.2014, p. 105.</w:t>
      </w:r>
    </w:p>
  </w:footnote>
  <w:footnote w:id="19">
    <w:p>
      <w:pPr>
        <w:autoSpaceDE w:val="0"/>
        <w:autoSpaceDN w:val="0"/>
        <w:adjustRightInd w:val="0"/>
        <w:ind w:left="720" w:hanging="720"/>
        <w:rPr>
          <w:sz w:val="18"/>
          <w:szCs w:val="18"/>
        </w:rPr>
      </w:pPr>
      <w:r>
        <w:rPr>
          <w:rStyle w:val="FootnoteReference"/>
        </w:rPr>
        <w:footnoteRef/>
      </w:r>
      <w:r>
        <w:tab/>
      </w:r>
      <w:r>
        <w:rPr>
          <w:sz w:val="18"/>
        </w:rPr>
        <w:t>Document de travail de la Commission du 14 mai 2014 concernant le mode de calcul, le financement, le versement et la budgétisation de la correction des déséquilibres budgétaires en faveur du Royaume-Uni («la correction») conformément aux articles 4 et 5 de la décision [2014/335/UE, Euratom] du Conseil relative au système des ressources propres de l’Union européenne, disponible à l’adresse suivante:</w:t>
      </w:r>
      <w:r>
        <w:rPr>
          <w:b/>
        </w:rPr>
        <w:t xml:space="preserve"> </w:t>
      </w:r>
    </w:p>
    <w:p>
      <w:pPr>
        <w:pStyle w:val="FootnoteText"/>
        <w:ind w:firstLine="0"/>
        <w:rPr>
          <w:sz w:val="18"/>
          <w:szCs w:val="18"/>
        </w:rPr>
      </w:pPr>
      <w:r>
        <w:rPr>
          <w:sz w:val="18"/>
        </w:rPr>
        <w:t xml:space="preserve"> </w:t>
      </w:r>
      <w:hyperlink r:id="rId2">
        <w:r>
          <w:rPr>
            <w:rStyle w:val="Hyperlink"/>
            <w:sz w:val="18"/>
          </w:rPr>
          <w:t>http://eur-lex.europa.eu/legal-content/FR/TXT/PDF/?uri=CELEX:52014DC0271&amp;rid=8</w:t>
        </w:r>
      </w:hyperlink>
      <w:r>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A1A9734"/>
    <w:lvl w:ilvl="0">
      <w:start w:val="1"/>
      <w:numFmt w:val="decimal"/>
      <w:lvlText w:val="%1."/>
      <w:lvlJc w:val="left"/>
      <w:pPr>
        <w:tabs>
          <w:tab w:val="num" w:pos="360"/>
        </w:tabs>
        <w:ind w:left="360" w:hanging="360"/>
      </w:pPr>
    </w:lvl>
  </w:abstractNum>
  <w:abstractNum w:abstractNumId="3">
    <w:nsid w:val="04D63873"/>
    <w:multiLevelType w:val="multilevel"/>
    <w:tmpl w:val="86FE23B4"/>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8BE211A"/>
    <w:multiLevelType w:val="hybridMultilevel"/>
    <w:tmpl w:val="B8AAEDF2"/>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FF3F75"/>
    <w:multiLevelType w:val="hybridMultilevel"/>
    <w:tmpl w:val="A6E67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99C6FA8"/>
    <w:multiLevelType w:val="hybridMultilevel"/>
    <w:tmpl w:val="D7D82866"/>
    <w:lvl w:ilvl="0" w:tplc="70981A52">
      <w:start w:val="1"/>
      <w:numFmt w:val="bullet"/>
      <w:lvlText w:val=""/>
      <w:lvlJc w:val="left"/>
      <w:pPr>
        <w:ind w:left="525" w:hanging="52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E46741"/>
    <w:multiLevelType w:val="hybridMultilevel"/>
    <w:tmpl w:val="CF8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82309E"/>
    <w:multiLevelType w:val="hybridMultilevel"/>
    <w:tmpl w:val="C5504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2">
    <w:nsid w:val="34AF67B3"/>
    <w:multiLevelType w:val="hybridMultilevel"/>
    <w:tmpl w:val="206672F4"/>
    <w:lvl w:ilvl="0" w:tplc="5FD4A2D4">
      <w:start w:val="2"/>
      <w:numFmt w:val="bullet"/>
      <w:lvlText w:val="·"/>
      <w:lvlJc w:val="left"/>
      <w:pPr>
        <w:ind w:left="885" w:hanging="52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5">
    <w:nsid w:val="42B56982"/>
    <w:multiLevelType w:val="hybridMultilevel"/>
    <w:tmpl w:val="D0D27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9A4672"/>
    <w:multiLevelType w:val="hybridMultilevel"/>
    <w:tmpl w:val="A9FA8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290503"/>
    <w:multiLevelType w:val="hybridMultilevel"/>
    <w:tmpl w:val="ADD2FC7E"/>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E76506"/>
    <w:multiLevelType w:val="hybridMultilevel"/>
    <w:tmpl w:val="9AFA166C"/>
    <w:lvl w:ilvl="0" w:tplc="49467B3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8C3B69"/>
    <w:multiLevelType w:val="multilevel"/>
    <w:tmpl w:val="C18A497C"/>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2">
    <w:nsid w:val="72796537"/>
    <w:multiLevelType w:val="hybridMultilevel"/>
    <w:tmpl w:val="3074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AC004F"/>
    <w:multiLevelType w:val="multilevel"/>
    <w:tmpl w:val="57CA7644"/>
    <w:lvl w:ilvl="0">
      <w:start w:val="1"/>
      <w:numFmt w:val="decimal"/>
      <w:lvlRestart w:val="0"/>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AC94459"/>
    <w:multiLevelType w:val="hybridMultilevel"/>
    <w:tmpl w:val="AB8E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1"/>
  </w:num>
  <w:num w:numId="4">
    <w:abstractNumId w:val="13"/>
  </w:num>
  <w:num w:numId="5">
    <w:abstractNumId w:val="8"/>
  </w:num>
  <w:num w:numId="6">
    <w:abstractNumId w:val="19"/>
  </w:num>
  <w:num w:numId="7">
    <w:abstractNumId w:val="6"/>
  </w:num>
  <w:num w:numId="8">
    <w:abstractNumId w:val="20"/>
  </w:num>
  <w:num w:numId="9">
    <w:abstractNumId w:val="0"/>
  </w:num>
  <w:num w:numId="10">
    <w:abstractNumId w:val="1"/>
  </w:num>
  <w:num w:numId="11">
    <w:abstractNumId w:val="10"/>
  </w:num>
  <w:num w:numId="12">
    <w:abstractNumId w:val="14"/>
  </w:num>
  <w:num w:numId="13">
    <w:abstractNumId w:val="15"/>
  </w:num>
  <w:num w:numId="14">
    <w:abstractNumId w:val="14"/>
  </w:num>
  <w:num w:numId="15">
    <w:abstractNumId w:val="14"/>
  </w:num>
  <w:num w:numId="16">
    <w:abstractNumId w:val="14"/>
  </w:num>
  <w:num w:numId="17">
    <w:abstractNumId w:val="5"/>
  </w:num>
  <w:num w:numId="18">
    <w:abstractNumId w:val="16"/>
  </w:num>
  <w:num w:numId="19">
    <w:abstractNumId w:val="22"/>
  </w:num>
  <w:num w:numId="20">
    <w:abstractNumId w:val="19"/>
  </w:num>
  <w:num w:numId="21">
    <w:abstractNumId w:val="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num>
  <w:num w:numId="25">
    <w:abstractNumId w:val="19"/>
  </w:num>
  <w:num w:numId="26">
    <w:abstractNumId w:val="19"/>
  </w:num>
  <w:num w:numId="27">
    <w:abstractNumId w:val="23"/>
  </w:num>
  <w:num w:numId="28">
    <w:abstractNumId w:val="3"/>
  </w:num>
  <w:num w:numId="29">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2">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3">
    <w:abstractNumId w:val="17"/>
  </w:num>
  <w:num w:numId="34">
    <w:abstractNumId w:val="4"/>
  </w:num>
  <w:num w:numId="35">
    <w:abstractNumId w:val="9"/>
  </w:num>
  <w:num w:numId="36">
    <w:abstractNumId w:val="11"/>
  </w:num>
  <w:num w:numId="37">
    <w:abstractNumId w:val="18"/>
  </w:num>
  <w:num w:numId="38">
    <w:abstractNumId w:val="24"/>
  </w:num>
  <w:num w:numId="39">
    <w:abstractNumId w:val="12"/>
  </w:num>
  <w:num w:numId="4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lt;UNUSED&gt;"/>
    <w:docVar w:name="LW_CONFIDENCE" w:val=" "/>
    <w:docVar w:name="LW_CONST_RESTREINT_UE" w:val="RESTREINT UE"/>
    <w:docVar w:name="LW_CORRIGENDUM" w:val="&lt;UNUSED&gt;"/>
    <w:docVar w:name="LW_COVERPAGE_GUID" w:val="6488B0CA83044F05AAB22A3BC255B189"/>
    <w:docVar w:name="LW_CROSSREFERENCE" w:val="&lt;UNUSED&gt;"/>
    <w:docVar w:name="LW_DATE.ADOPT.CP_ISODATE" w:val="&lt;EMPTY&gt;"/>
    <w:docVar w:name="LW_DocType" w:val="NORMAL"/>
    <w:docVar w:name="LW_EMISSION" w:val="9.10.2017"/>
    <w:docVar w:name="LW_EMISSION_ISODATE" w:val="2017-10-09"/>
    <w:docVar w:name="LW_EMISSION_LOCATION" w:val="BRX"/>
    <w:docVar w:name="LW_EMISSION_PREFIX" w:val="Bruxelles, le "/>
    <w:docVar w:name="LW_EMISSION_SUFFIX" w:val=" "/>
    <w:docVar w:name="LW_ID_DOCTYPE_NONLW" w:val="CP-035"/>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97"/>
    <w:docVar w:name="LW_REF.INTERNE" w:val="&lt;UNUSED&gt;"/>
    <w:docVar w:name="LW_SOUS.TITRE.OBJ.CP" w:val="&lt;UNUSED&gt;"/>
    <w:docVar w:name="LW_SUPERTITRE" w:val="&lt;UNUSED&gt;"/>
    <w:docVar w:name="LW_TITRE.OBJ.CP" w:val="Réduction des crédits de paiement et d'engagement en fonction des prévisions actualisées en matière de dépenses et de l'actualisation des recettes (ressources propres et amendes)"/>
    <w:docVar w:name="LW_TITRE.OBJ.CP_PREVIOUS" w:val="&lt;UNUSED&gt;"/>
    <w:docVar w:name="LW_TYPE.DOC.CP" w:val="PROJET DE BUDGET RECTIFICATIF Nº 6_x000b_AU BUDGET GÉNÉRAL 2017"/>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caption" w:semiHidden="1" w:unhideWhenUsed="1" w:qFormat="1"/>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uiPriority w:val="99"/>
    <w:rPr>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caption" w:semiHidden="1" w:unhideWhenUsed="1" w:qFormat="1"/>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uiPriority w:val="99"/>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381">
      <w:bodyDiv w:val="1"/>
      <w:marLeft w:val="0"/>
      <w:marRight w:val="0"/>
      <w:marTop w:val="0"/>
      <w:marBottom w:val="0"/>
      <w:divBdr>
        <w:top w:val="none" w:sz="0" w:space="0" w:color="auto"/>
        <w:left w:val="none" w:sz="0" w:space="0" w:color="auto"/>
        <w:bottom w:val="none" w:sz="0" w:space="0" w:color="auto"/>
        <w:right w:val="none" w:sz="0" w:space="0" w:color="auto"/>
      </w:divBdr>
    </w:div>
    <w:div w:id="77798609">
      <w:bodyDiv w:val="1"/>
      <w:marLeft w:val="0"/>
      <w:marRight w:val="0"/>
      <w:marTop w:val="0"/>
      <w:marBottom w:val="0"/>
      <w:divBdr>
        <w:top w:val="none" w:sz="0" w:space="0" w:color="auto"/>
        <w:left w:val="none" w:sz="0" w:space="0" w:color="auto"/>
        <w:bottom w:val="none" w:sz="0" w:space="0" w:color="auto"/>
        <w:right w:val="none" w:sz="0" w:space="0" w:color="auto"/>
      </w:divBdr>
    </w:div>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33713">
      <w:bodyDiv w:val="1"/>
      <w:marLeft w:val="0"/>
      <w:marRight w:val="0"/>
      <w:marTop w:val="0"/>
      <w:marBottom w:val="0"/>
      <w:divBdr>
        <w:top w:val="none" w:sz="0" w:space="0" w:color="auto"/>
        <w:left w:val="none" w:sz="0" w:space="0" w:color="auto"/>
        <w:bottom w:val="none" w:sz="0" w:space="0" w:color="auto"/>
        <w:right w:val="none" w:sz="0" w:space="0" w:color="auto"/>
      </w:divBdr>
    </w:div>
    <w:div w:id="168838071">
      <w:bodyDiv w:val="1"/>
      <w:marLeft w:val="0"/>
      <w:marRight w:val="0"/>
      <w:marTop w:val="0"/>
      <w:marBottom w:val="0"/>
      <w:divBdr>
        <w:top w:val="none" w:sz="0" w:space="0" w:color="auto"/>
        <w:left w:val="none" w:sz="0" w:space="0" w:color="auto"/>
        <w:bottom w:val="none" w:sz="0" w:space="0" w:color="auto"/>
        <w:right w:val="none" w:sz="0" w:space="0" w:color="auto"/>
      </w:divBdr>
    </w:div>
    <w:div w:id="203250459">
      <w:bodyDiv w:val="1"/>
      <w:marLeft w:val="0"/>
      <w:marRight w:val="0"/>
      <w:marTop w:val="0"/>
      <w:marBottom w:val="0"/>
      <w:divBdr>
        <w:top w:val="none" w:sz="0" w:space="0" w:color="auto"/>
        <w:left w:val="none" w:sz="0" w:space="0" w:color="auto"/>
        <w:bottom w:val="none" w:sz="0" w:space="0" w:color="auto"/>
        <w:right w:val="none" w:sz="0" w:space="0" w:color="auto"/>
      </w:divBdr>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280889594">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69914543">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83987845">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71955280">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778990717">
      <w:bodyDiv w:val="1"/>
      <w:marLeft w:val="0"/>
      <w:marRight w:val="0"/>
      <w:marTop w:val="0"/>
      <w:marBottom w:val="0"/>
      <w:divBdr>
        <w:top w:val="none" w:sz="0" w:space="0" w:color="auto"/>
        <w:left w:val="none" w:sz="0" w:space="0" w:color="auto"/>
        <w:bottom w:val="none" w:sz="0" w:space="0" w:color="auto"/>
        <w:right w:val="none" w:sz="0" w:space="0" w:color="auto"/>
      </w:divBdr>
    </w:div>
    <w:div w:id="788663921">
      <w:bodyDiv w:val="1"/>
      <w:marLeft w:val="0"/>
      <w:marRight w:val="0"/>
      <w:marTop w:val="0"/>
      <w:marBottom w:val="0"/>
      <w:divBdr>
        <w:top w:val="none" w:sz="0" w:space="0" w:color="auto"/>
        <w:left w:val="none" w:sz="0" w:space="0" w:color="auto"/>
        <w:bottom w:val="none" w:sz="0" w:space="0" w:color="auto"/>
        <w:right w:val="none" w:sz="0" w:space="0" w:color="auto"/>
      </w:divBdr>
    </w:div>
    <w:div w:id="794904518">
      <w:bodyDiv w:val="1"/>
      <w:marLeft w:val="0"/>
      <w:marRight w:val="0"/>
      <w:marTop w:val="0"/>
      <w:marBottom w:val="0"/>
      <w:divBdr>
        <w:top w:val="none" w:sz="0" w:space="0" w:color="auto"/>
        <w:left w:val="none" w:sz="0" w:space="0" w:color="auto"/>
        <w:bottom w:val="none" w:sz="0" w:space="0" w:color="auto"/>
        <w:right w:val="none" w:sz="0" w:space="0" w:color="auto"/>
      </w:divBdr>
    </w:div>
    <w:div w:id="831144332">
      <w:bodyDiv w:val="1"/>
      <w:marLeft w:val="0"/>
      <w:marRight w:val="0"/>
      <w:marTop w:val="0"/>
      <w:marBottom w:val="0"/>
      <w:divBdr>
        <w:top w:val="none" w:sz="0" w:space="0" w:color="auto"/>
        <w:left w:val="none" w:sz="0" w:space="0" w:color="auto"/>
        <w:bottom w:val="none" w:sz="0" w:space="0" w:color="auto"/>
        <w:right w:val="none" w:sz="0" w:space="0" w:color="auto"/>
      </w:divBdr>
    </w:div>
    <w:div w:id="864634236">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41377147">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269513">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58623561">
      <w:bodyDiv w:val="1"/>
      <w:marLeft w:val="0"/>
      <w:marRight w:val="0"/>
      <w:marTop w:val="0"/>
      <w:marBottom w:val="0"/>
      <w:divBdr>
        <w:top w:val="none" w:sz="0" w:space="0" w:color="auto"/>
        <w:left w:val="none" w:sz="0" w:space="0" w:color="auto"/>
        <w:bottom w:val="none" w:sz="0" w:space="0" w:color="auto"/>
        <w:right w:val="none" w:sz="0" w:space="0" w:color="auto"/>
      </w:divBdr>
    </w:div>
    <w:div w:id="1073502690">
      <w:bodyDiv w:val="1"/>
      <w:marLeft w:val="0"/>
      <w:marRight w:val="0"/>
      <w:marTop w:val="0"/>
      <w:marBottom w:val="0"/>
      <w:divBdr>
        <w:top w:val="none" w:sz="0" w:space="0" w:color="auto"/>
        <w:left w:val="none" w:sz="0" w:space="0" w:color="auto"/>
        <w:bottom w:val="none" w:sz="0" w:space="0" w:color="auto"/>
        <w:right w:val="none" w:sz="0" w:space="0" w:color="auto"/>
      </w:divBdr>
    </w:div>
    <w:div w:id="1083726096">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14526834">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358434127">
      <w:bodyDiv w:val="1"/>
      <w:marLeft w:val="0"/>
      <w:marRight w:val="0"/>
      <w:marTop w:val="0"/>
      <w:marBottom w:val="0"/>
      <w:divBdr>
        <w:top w:val="none" w:sz="0" w:space="0" w:color="auto"/>
        <w:left w:val="none" w:sz="0" w:space="0" w:color="auto"/>
        <w:bottom w:val="none" w:sz="0" w:space="0" w:color="auto"/>
        <w:right w:val="none" w:sz="0" w:space="0" w:color="auto"/>
      </w:divBdr>
    </w:div>
    <w:div w:id="1383212917">
      <w:bodyDiv w:val="1"/>
      <w:marLeft w:val="0"/>
      <w:marRight w:val="0"/>
      <w:marTop w:val="0"/>
      <w:marBottom w:val="0"/>
      <w:divBdr>
        <w:top w:val="none" w:sz="0" w:space="0" w:color="auto"/>
        <w:left w:val="none" w:sz="0" w:space="0" w:color="auto"/>
        <w:bottom w:val="none" w:sz="0" w:space="0" w:color="auto"/>
        <w:right w:val="none" w:sz="0" w:space="0" w:color="auto"/>
      </w:divBdr>
    </w:div>
    <w:div w:id="1433477716">
      <w:bodyDiv w:val="1"/>
      <w:marLeft w:val="0"/>
      <w:marRight w:val="0"/>
      <w:marTop w:val="0"/>
      <w:marBottom w:val="0"/>
      <w:divBdr>
        <w:top w:val="none" w:sz="0" w:space="0" w:color="auto"/>
        <w:left w:val="none" w:sz="0" w:space="0" w:color="auto"/>
        <w:bottom w:val="none" w:sz="0" w:space="0" w:color="auto"/>
        <w:right w:val="none" w:sz="0" w:space="0" w:color="auto"/>
      </w:divBdr>
    </w:div>
    <w:div w:id="1481313754">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570267285">
      <w:bodyDiv w:val="1"/>
      <w:marLeft w:val="0"/>
      <w:marRight w:val="0"/>
      <w:marTop w:val="0"/>
      <w:marBottom w:val="0"/>
      <w:divBdr>
        <w:top w:val="none" w:sz="0" w:space="0" w:color="auto"/>
        <w:left w:val="none" w:sz="0" w:space="0" w:color="auto"/>
        <w:bottom w:val="none" w:sz="0" w:space="0" w:color="auto"/>
        <w:right w:val="none" w:sz="0" w:space="0" w:color="auto"/>
      </w:divBdr>
    </w:div>
    <w:div w:id="1576627459">
      <w:bodyDiv w:val="1"/>
      <w:marLeft w:val="0"/>
      <w:marRight w:val="0"/>
      <w:marTop w:val="0"/>
      <w:marBottom w:val="0"/>
      <w:divBdr>
        <w:top w:val="none" w:sz="0" w:space="0" w:color="auto"/>
        <w:left w:val="none" w:sz="0" w:space="0" w:color="auto"/>
        <w:bottom w:val="none" w:sz="0" w:space="0" w:color="auto"/>
        <w:right w:val="none" w:sz="0" w:space="0" w:color="auto"/>
      </w:divBdr>
    </w:div>
    <w:div w:id="1626277762">
      <w:bodyDiv w:val="1"/>
      <w:marLeft w:val="0"/>
      <w:marRight w:val="0"/>
      <w:marTop w:val="0"/>
      <w:marBottom w:val="0"/>
      <w:divBdr>
        <w:top w:val="none" w:sz="0" w:space="0" w:color="auto"/>
        <w:left w:val="none" w:sz="0" w:space="0" w:color="auto"/>
        <w:bottom w:val="none" w:sz="0" w:space="0" w:color="auto"/>
        <w:right w:val="none" w:sz="0" w:space="0" w:color="auto"/>
      </w:divBdr>
    </w:div>
    <w:div w:id="1713536956">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796096263">
      <w:bodyDiv w:val="1"/>
      <w:marLeft w:val="0"/>
      <w:marRight w:val="0"/>
      <w:marTop w:val="0"/>
      <w:marBottom w:val="0"/>
      <w:divBdr>
        <w:top w:val="none" w:sz="0" w:space="0" w:color="auto"/>
        <w:left w:val="none" w:sz="0" w:space="0" w:color="auto"/>
        <w:bottom w:val="none" w:sz="0" w:space="0" w:color="auto"/>
        <w:right w:val="none" w:sz="0" w:space="0" w:color="auto"/>
      </w:divBdr>
    </w:div>
    <w:div w:id="1805272530">
      <w:bodyDiv w:val="1"/>
      <w:marLeft w:val="0"/>
      <w:marRight w:val="0"/>
      <w:marTop w:val="0"/>
      <w:marBottom w:val="0"/>
      <w:divBdr>
        <w:top w:val="none" w:sz="0" w:space="0" w:color="auto"/>
        <w:left w:val="none" w:sz="0" w:space="0" w:color="auto"/>
        <w:bottom w:val="none" w:sz="0" w:space="0" w:color="auto"/>
        <w:right w:val="none" w:sz="0" w:space="0" w:color="auto"/>
      </w:divBdr>
    </w:div>
    <w:div w:id="1809590868">
      <w:bodyDiv w:val="1"/>
      <w:marLeft w:val="0"/>
      <w:marRight w:val="0"/>
      <w:marTop w:val="0"/>
      <w:marBottom w:val="0"/>
      <w:divBdr>
        <w:top w:val="none" w:sz="0" w:space="0" w:color="auto"/>
        <w:left w:val="none" w:sz="0" w:space="0" w:color="auto"/>
        <w:bottom w:val="none" w:sz="0" w:space="0" w:color="auto"/>
        <w:right w:val="none" w:sz="0" w:space="0" w:color="auto"/>
      </w:divBdr>
    </w:div>
    <w:div w:id="1809738884">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1914198131">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054231704">
      <w:bodyDiv w:val="1"/>
      <w:marLeft w:val="0"/>
      <w:marRight w:val="0"/>
      <w:marTop w:val="0"/>
      <w:marBottom w:val="0"/>
      <w:divBdr>
        <w:top w:val="none" w:sz="0" w:space="0" w:color="auto"/>
        <w:left w:val="none" w:sz="0" w:space="0" w:color="auto"/>
        <w:bottom w:val="none" w:sz="0" w:space="0" w:color="auto"/>
        <w:right w:val="none" w:sz="0" w:space="0" w:color="auto"/>
      </w:divBdr>
    </w:div>
    <w:div w:id="2089960601">
      <w:bodyDiv w:val="1"/>
      <w:marLeft w:val="0"/>
      <w:marRight w:val="0"/>
      <w:marTop w:val="0"/>
      <w:marBottom w:val="0"/>
      <w:divBdr>
        <w:top w:val="none" w:sz="0" w:space="0" w:color="auto"/>
        <w:left w:val="none" w:sz="0" w:space="0" w:color="auto"/>
        <w:bottom w:val="none" w:sz="0" w:space="0" w:color="auto"/>
        <w:right w:val="none" w:sz="0" w:space="0" w:color="auto"/>
      </w:divBdr>
    </w:div>
    <w:div w:id="2120029748">
      <w:bodyDiv w:val="1"/>
      <w:marLeft w:val="0"/>
      <w:marRight w:val="0"/>
      <w:marTop w:val="0"/>
      <w:marBottom w:val="0"/>
      <w:divBdr>
        <w:top w:val="none" w:sz="0" w:space="0" w:color="auto"/>
        <w:left w:val="none" w:sz="0" w:space="0" w:color="auto"/>
        <w:bottom w:val="none" w:sz="0" w:space="0" w:color="auto"/>
        <w:right w:val="none" w:sz="0" w:space="0" w:color="auto"/>
      </w:divBdr>
    </w:div>
    <w:div w:id="2125686423">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fr.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FR/TXT/PDF/?uri=CELEX:52014DC0271&amp;rid=8" TargetMode="External"/><Relationship Id="rId1" Type="http://schemas.openxmlformats.org/officeDocument/2006/relationships/hyperlink" Target="http://ec.europa.eu/budget/library/biblio/documents/financing/calc_own_res_2007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AD59B-3ADA-4B53-8BCD-B89E1627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7492</Words>
  <Characters>35889</Characters>
  <Application>Microsoft Office Word</Application>
  <DocSecurity>0</DocSecurity>
  <Lines>1709</Lines>
  <Paragraphs>1399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41982</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2017-10-06T09:04:00Z</dcterms:created>
  <dcterms:modified xsi:type="dcterms:W3CDTF">2017-10-23T08:21:00Z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