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BA5C543C879F4031BD0389EF8D9BAC71"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Като има предвид:</w:t>
      </w:r>
    </w:p>
    <w:p>
      <w:pPr>
        <w:pStyle w:val="Tiret0"/>
        <w:tabs>
          <w:tab w:val="clear" w:pos="850"/>
          <w:tab w:val="num" w:pos="1004"/>
        </w:tabs>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tabs>
          <w:tab w:val="clear" w:pos="850"/>
          <w:tab w:val="num" w:pos="927"/>
        </w:tabs>
        <w:rPr>
          <w:rFonts w:cs="Arial"/>
          <w:noProof/>
          <w:szCs w:val="18"/>
        </w:rPr>
      </w:pPr>
      <w:r>
        <w:rPr>
          <w:noProof/>
        </w:rPr>
        <w:t>Регламент (ЕС, Евратом) № 966/2012 на Европейския парламент и на Съвета от 25 октомври 2012 г. относно финансовите правила, приложими за общия бюджет на Съюза</w:t>
      </w:r>
      <w:r>
        <w:rPr>
          <w:rStyle w:val="FootnoteReference"/>
          <w:noProof/>
        </w:rPr>
        <w:footnoteReference w:id="2"/>
      </w:r>
      <w:r>
        <w:rPr>
          <w:noProof/>
        </w:rPr>
        <w:t>, и по-специално член 41 от него,</w:t>
      </w:r>
    </w:p>
    <w:p>
      <w:pPr>
        <w:pStyle w:val="Tiret0"/>
        <w:tabs>
          <w:tab w:val="clear" w:pos="850"/>
          <w:tab w:val="num" w:pos="927"/>
        </w:tabs>
        <w:rPr>
          <w:noProof/>
        </w:rPr>
      </w:pPr>
      <w:r>
        <w:rPr>
          <w:noProof/>
        </w:rPr>
        <w:t>общия бюджет на Европейския съюз за финансова година 2017, приет на 1 декември 2016 г.</w:t>
      </w:r>
      <w:r>
        <w:rPr>
          <w:rStyle w:val="FootnoteReference"/>
          <w:noProof/>
        </w:rPr>
        <w:footnoteReference w:id="3"/>
      </w:r>
      <w:r>
        <w:rPr>
          <w:noProof/>
        </w:rPr>
        <w:t>,</w:t>
      </w:r>
    </w:p>
    <w:p>
      <w:pPr>
        <w:pStyle w:val="Tiret0"/>
        <w:rPr>
          <w:noProof/>
        </w:rPr>
      </w:pPr>
      <w:r>
        <w:rPr>
          <w:noProof/>
        </w:rPr>
        <w:t>коригиращ бюджет № 1/2017</w:t>
      </w:r>
      <w:r>
        <w:rPr>
          <w:rStyle w:val="FootnoteReference"/>
          <w:noProof/>
        </w:rPr>
        <w:footnoteReference w:id="4"/>
      </w:r>
      <w:r>
        <w:rPr>
          <w:noProof/>
        </w:rPr>
        <w:t>, приет на 5 април 2017 г.,</w:t>
      </w:r>
    </w:p>
    <w:p>
      <w:pPr>
        <w:pStyle w:val="Tiret0"/>
        <w:rPr>
          <w:noProof/>
        </w:rPr>
      </w:pPr>
      <w:r>
        <w:rPr>
          <w:noProof/>
        </w:rPr>
        <w:t>коригиращ бюджет № 2/2017</w:t>
      </w:r>
      <w:r>
        <w:rPr>
          <w:rStyle w:val="FootnoteReference"/>
          <w:noProof/>
        </w:rPr>
        <w:footnoteReference w:id="5"/>
      </w:r>
      <w:r>
        <w:rPr>
          <w:noProof/>
        </w:rPr>
        <w:t>, приет на 4 юли 2017 г.,</w:t>
      </w:r>
    </w:p>
    <w:p>
      <w:pPr>
        <w:pStyle w:val="Tiret0"/>
        <w:rPr>
          <w:noProof/>
        </w:rPr>
      </w:pPr>
      <w:r>
        <w:rPr>
          <w:noProof/>
        </w:rPr>
        <w:t>коригиращ бюджет № 3/2017</w:t>
      </w:r>
      <w:r>
        <w:rPr>
          <w:rStyle w:val="FootnoteReference"/>
          <w:noProof/>
        </w:rPr>
        <w:footnoteReference w:id="6"/>
      </w:r>
      <w:r>
        <w:rPr>
          <w:noProof/>
        </w:rPr>
        <w:t>, приет на 13 септември 2017 г.,</w:t>
      </w:r>
    </w:p>
    <w:p>
      <w:pPr>
        <w:pStyle w:val="Tiret0"/>
        <w:rPr>
          <w:noProof/>
        </w:rPr>
      </w:pPr>
      <w:r>
        <w:rPr>
          <w:noProof/>
        </w:rPr>
        <w:t>коригиращ бюджет № 4/2017</w:t>
      </w:r>
      <w:r>
        <w:rPr>
          <w:rStyle w:val="FootnoteReference"/>
          <w:noProof/>
        </w:rPr>
        <w:footnoteReference w:id="7"/>
      </w:r>
      <w:r>
        <w:rPr>
          <w:noProof/>
        </w:rPr>
        <w:t>, приет на 13 септември 2017 г.,</w:t>
      </w:r>
    </w:p>
    <w:p>
      <w:pPr>
        <w:pStyle w:val="Tiret0"/>
        <w:rPr>
          <w:noProof/>
        </w:rPr>
      </w:pPr>
      <w:r>
        <w:rPr>
          <w:noProof/>
        </w:rPr>
        <w:t>проект на коригиращ бюджет № 5/2017</w:t>
      </w:r>
      <w:r>
        <w:rPr>
          <w:rStyle w:val="FootnoteReference"/>
          <w:noProof/>
        </w:rPr>
        <w:footnoteReference w:id="8"/>
      </w:r>
      <w:r>
        <w:rPr>
          <w:noProof/>
        </w:rPr>
        <w:t>, представен на 28 юли 2017 г.,</w:t>
      </w:r>
    </w:p>
    <w:p>
      <w:pPr>
        <w:pStyle w:val="Tiret0"/>
        <w:numPr>
          <w:ilvl w:val="0"/>
          <w:numId w:val="0"/>
        </w:numPr>
        <w:spacing w:after="600"/>
        <w:rPr>
          <w:noProof/>
        </w:rPr>
      </w:pPr>
      <w:r>
        <w:rPr>
          <w:noProof/>
        </w:rPr>
        <w:t>С настоящото Европейската комисия представя на Европейския парламент и на Съвета проект на коригиращ бюджет № 6 към бюджета за 2017 г.</w:t>
      </w:r>
    </w:p>
    <w:p>
      <w:pPr>
        <w:spacing w:after="240"/>
        <w:jc w:val="both"/>
        <w:rPr>
          <w:b/>
          <w:noProof/>
          <w:u w:val="single"/>
        </w:rPr>
      </w:pPr>
      <w:r>
        <w:rPr>
          <w:b/>
          <w:noProof/>
          <w:u w:val="single"/>
        </w:rPr>
        <w:t>ПРОМЕНИ В ПРИХОДНАТА И РАЗХОДНАТА ЧАСТ НА БЮДЖЕТА ПО РАЗДЕЛИ</w:t>
      </w:r>
    </w:p>
    <w:p>
      <w:pPr>
        <w:jc w:val="both"/>
        <w:rPr>
          <w:noProof/>
        </w:rPr>
      </w:pPr>
      <w:r>
        <w:rPr>
          <w:noProof/>
        </w:rPr>
        <w:t>Промените в приходната и разходната част на бюджета по раздели са достъпни в EUR-Lex (</w:t>
      </w:r>
      <w:hyperlink r:id="rId16">
        <w:r>
          <w:rPr>
            <w:rStyle w:val="Hyperlink"/>
            <w:noProof/>
            <w:color w:val="auto"/>
          </w:rPr>
          <w:t>http://eur-lex.europa.eu/budget/www/index-bg.htm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2"/>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СЪДЪРЖАНИЕ</w:t>
      </w:r>
    </w:p>
    <w:sdt>
      <w:sdtPr>
        <w:rPr>
          <w:b w:val="0"/>
          <w:noProof/>
          <w:sz w:val="24"/>
        </w:rPr>
        <w:id w:val="2029912794"/>
        <w:docPartObj>
          <w:docPartGallery w:val="Table of Contents"/>
          <w:docPartUnique/>
        </w:docPartObj>
      </w:sdtPr>
      <w:sdtEndPr>
        <w:rPr>
          <w:bCs/>
        </w:rPr>
      </w:sdtEndPr>
      <w:sdtContent>
        <w:p>
          <w:pPr>
            <w:pStyle w:val="TOCHeading"/>
            <w:spacing w:before="0" w:after="0"/>
            <w:jc w:val="left"/>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96260462"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_Toc496260462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96260463"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Намаление на бюджетните кредити за плащания и за поети задължения</w:t>
            </w:r>
            <w:r>
              <w:rPr>
                <w:noProof/>
                <w:webHidden/>
              </w:rPr>
              <w:tab/>
            </w:r>
            <w:r>
              <w:rPr>
                <w:noProof/>
                <w:webHidden/>
              </w:rPr>
              <w:fldChar w:fldCharType="begin"/>
            </w:r>
            <w:r>
              <w:rPr>
                <w:noProof/>
                <w:webHidden/>
              </w:rPr>
              <w:instrText xml:space="preserve"> PAGEREF _Toc496260463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60464" w:history="1">
            <w:r>
              <w:rPr>
                <w:rStyle w:val="Hyperlink"/>
                <w:b/>
                <w:noProof/>
              </w:rPr>
              <w:t>2.1</w:t>
            </w:r>
            <w:r>
              <w:rPr>
                <w:rFonts w:asciiTheme="minorHAnsi" w:eastAsiaTheme="minorEastAsia" w:hAnsiTheme="minorHAnsi" w:cstheme="minorBidi"/>
                <w:smallCaps w:val="0"/>
                <w:noProof/>
                <w:sz w:val="22"/>
                <w:szCs w:val="22"/>
                <w:lang w:val="en-GB" w:eastAsia="en-GB" w:bidi="ar-SA"/>
              </w:rPr>
              <w:tab/>
            </w:r>
            <w:r>
              <w:rPr>
                <w:rStyle w:val="Hyperlink"/>
                <w:b/>
                <w:noProof/>
              </w:rPr>
              <w:t>Функция 1б — Икономическо, социално и териториално сближаване</w:t>
            </w:r>
            <w:r>
              <w:rPr>
                <w:noProof/>
                <w:webHidden/>
              </w:rPr>
              <w:tab/>
            </w:r>
            <w:r>
              <w:rPr>
                <w:noProof/>
                <w:webHidden/>
              </w:rPr>
              <w:fldChar w:fldCharType="begin"/>
            </w:r>
            <w:r>
              <w:rPr>
                <w:noProof/>
                <w:webHidden/>
              </w:rPr>
              <w:instrText xml:space="preserve"> PAGEREF _Toc496260464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60465" w:history="1">
            <w:r>
              <w:rPr>
                <w:rStyle w:val="Hyperlink"/>
                <w:b/>
                <w:noProof/>
              </w:rPr>
              <w:t>2.2</w:t>
            </w:r>
            <w:r>
              <w:rPr>
                <w:rFonts w:asciiTheme="minorHAnsi" w:eastAsiaTheme="minorEastAsia" w:hAnsiTheme="minorHAnsi" w:cstheme="minorBidi"/>
                <w:smallCaps w:val="0"/>
                <w:noProof/>
                <w:sz w:val="22"/>
                <w:szCs w:val="22"/>
                <w:lang w:val="en-GB" w:eastAsia="en-GB" w:bidi="ar-SA"/>
              </w:rPr>
              <w:tab/>
            </w:r>
            <w:r>
              <w:rPr>
                <w:rStyle w:val="Hyperlink"/>
                <w:b/>
                <w:noProof/>
              </w:rPr>
              <w:t>Функция 2 — Устойчив растеж: Природни ресурси</w:t>
            </w:r>
            <w:r>
              <w:rPr>
                <w:noProof/>
                <w:webHidden/>
              </w:rPr>
              <w:tab/>
            </w:r>
            <w:r>
              <w:rPr>
                <w:noProof/>
                <w:webHidden/>
              </w:rPr>
              <w:fldChar w:fldCharType="begin"/>
            </w:r>
            <w:r>
              <w:rPr>
                <w:noProof/>
                <w:webHidden/>
              </w:rPr>
              <w:instrText xml:space="preserve"> PAGEREF _Toc496260465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60466" w:history="1">
            <w:r>
              <w:rPr>
                <w:rStyle w:val="Hyperlink"/>
                <w:b/>
                <w:noProof/>
              </w:rPr>
              <w:t>2.3</w:t>
            </w:r>
            <w:r>
              <w:rPr>
                <w:rFonts w:asciiTheme="minorHAnsi" w:eastAsiaTheme="minorEastAsia" w:hAnsiTheme="minorHAnsi" w:cstheme="minorBidi"/>
                <w:smallCaps w:val="0"/>
                <w:noProof/>
                <w:sz w:val="22"/>
                <w:szCs w:val="22"/>
                <w:lang w:val="en-GB" w:eastAsia="en-GB" w:bidi="ar-SA"/>
              </w:rPr>
              <w:tab/>
            </w:r>
            <w:r>
              <w:rPr>
                <w:rStyle w:val="Hyperlink"/>
                <w:b/>
                <w:noProof/>
              </w:rPr>
              <w:t>Функция 3 — Сигурност и гражданство</w:t>
            </w:r>
            <w:r>
              <w:rPr>
                <w:noProof/>
                <w:webHidden/>
              </w:rPr>
              <w:tab/>
            </w:r>
            <w:r>
              <w:rPr>
                <w:noProof/>
                <w:webHidden/>
              </w:rPr>
              <w:fldChar w:fldCharType="begin"/>
            </w:r>
            <w:r>
              <w:rPr>
                <w:noProof/>
                <w:webHidden/>
              </w:rPr>
              <w:instrText xml:space="preserve"> PAGEREF _Toc496260466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60467" w:history="1">
            <w:r>
              <w:rPr>
                <w:rStyle w:val="Hyperlink"/>
                <w:b/>
                <w:noProof/>
              </w:rPr>
              <w:t>2.4</w:t>
            </w:r>
            <w:r>
              <w:rPr>
                <w:rFonts w:asciiTheme="minorHAnsi" w:eastAsiaTheme="minorEastAsia" w:hAnsiTheme="minorHAnsi" w:cstheme="minorBidi"/>
                <w:smallCaps w:val="0"/>
                <w:noProof/>
                <w:sz w:val="22"/>
                <w:szCs w:val="22"/>
                <w:lang w:val="en-GB" w:eastAsia="en-GB" w:bidi="ar-SA"/>
              </w:rPr>
              <w:tab/>
            </w:r>
            <w:r>
              <w:rPr>
                <w:rStyle w:val="Hyperlink"/>
                <w:b/>
                <w:noProof/>
              </w:rPr>
              <w:t>Функция 4 — Глобална Европа</w:t>
            </w:r>
            <w:r>
              <w:rPr>
                <w:noProof/>
                <w:webHidden/>
              </w:rPr>
              <w:tab/>
            </w:r>
            <w:r>
              <w:rPr>
                <w:noProof/>
                <w:webHidden/>
              </w:rPr>
              <w:fldChar w:fldCharType="begin"/>
            </w:r>
            <w:r>
              <w:rPr>
                <w:noProof/>
                <w:webHidden/>
              </w:rPr>
              <w:instrText xml:space="preserve"> PAGEREF _Toc496260467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60468" w:history="1">
            <w:r>
              <w:rPr>
                <w:rStyle w:val="Hyperlink"/>
                <w:b/>
                <w:noProof/>
              </w:rPr>
              <w:t>2.5</w:t>
            </w:r>
            <w:r>
              <w:rPr>
                <w:rFonts w:asciiTheme="minorHAnsi" w:eastAsiaTheme="minorEastAsia" w:hAnsiTheme="minorHAnsi" w:cstheme="minorBidi"/>
                <w:smallCaps w:val="0"/>
                <w:noProof/>
                <w:sz w:val="22"/>
                <w:szCs w:val="22"/>
                <w:lang w:val="en-GB" w:eastAsia="en-GB" w:bidi="ar-SA"/>
              </w:rPr>
              <w:tab/>
            </w:r>
            <w:r>
              <w:rPr>
                <w:rStyle w:val="Hyperlink"/>
                <w:b/>
                <w:noProof/>
              </w:rPr>
              <w:t>Фонд „Солидарност“ на Европейския съюз (ФСЕС)</w:t>
            </w:r>
            <w:r>
              <w:rPr>
                <w:noProof/>
                <w:webHidden/>
              </w:rPr>
              <w:tab/>
            </w:r>
            <w:r>
              <w:rPr>
                <w:noProof/>
                <w:webHidden/>
              </w:rPr>
              <w:fldChar w:fldCharType="begin"/>
            </w:r>
            <w:r>
              <w:rPr>
                <w:noProof/>
                <w:webHidden/>
              </w:rPr>
              <w:instrText xml:space="preserve"> PAGEREF _Toc496260468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96260469" w:history="1">
            <w:r>
              <w:rPr>
                <w:rStyle w:val="Hyperlink"/>
                <w:smallCaps/>
                <w:noProof/>
              </w:rPr>
              <w:t>3.</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Актуализация на приходите</w:t>
            </w:r>
            <w:r>
              <w:rPr>
                <w:noProof/>
                <w:webHidden/>
              </w:rPr>
              <w:tab/>
            </w:r>
            <w:r>
              <w:rPr>
                <w:noProof/>
                <w:webHidden/>
              </w:rPr>
              <w:fldChar w:fldCharType="begin"/>
            </w:r>
            <w:r>
              <w:rPr>
                <w:noProof/>
                <w:webHidden/>
              </w:rPr>
              <w:instrText xml:space="preserve"> PAGEREF _Toc496260469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60470" w:history="1">
            <w:r>
              <w:rPr>
                <w:rStyle w:val="Hyperlink"/>
                <w:b/>
                <w:noProof/>
              </w:rPr>
              <w:t>3.1</w:t>
            </w:r>
            <w:r>
              <w:rPr>
                <w:rFonts w:asciiTheme="minorHAnsi" w:eastAsiaTheme="minorEastAsia" w:hAnsiTheme="minorHAnsi" w:cstheme="minorBidi"/>
                <w:smallCaps w:val="0"/>
                <w:noProof/>
                <w:sz w:val="22"/>
                <w:szCs w:val="22"/>
                <w:lang w:val="en-GB" w:eastAsia="en-GB" w:bidi="ar-SA"/>
              </w:rPr>
              <w:tab/>
            </w:r>
            <w:r>
              <w:rPr>
                <w:rStyle w:val="Hyperlink"/>
                <w:b/>
                <w:noProof/>
              </w:rPr>
              <w:t>Общо отражение на ПКБ № 6/2017 върху разпределението на общите плащания по собствените ресурси между държавите членки</w:t>
            </w:r>
            <w:r>
              <w:rPr>
                <w:noProof/>
                <w:webHidden/>
              </w:rPr>
              <w:tab/>
            </w:r>
            <w:r>
              <w:rPr>
                <w:noProof/>
                <w:webHidden/>
              </w:rPr>
              <w:fldChar w:fldCharType="begin"/>
            </w:r>
            <w:r>
              <w:rPr>
                <w:noProof/>
                <w:webHidden/>
              </w:rPr>
              <w:instrText xml:space="preserve"> PAGEREF _Toc496260470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60471" w:history="1">
            <w:r>
              <w:rPr>
                <w:rStyle w:val="Hyperlink"/>
                <w:b/>
                <w:noProof/>
              </w:rPr>
              <w:t>3.2</w:t>
            </w:r>
            <w:r>
              <w:rPr>
                <w:rFonts w:asciiTheme="minorHAnsi" w:eastAsiaTheme="minorEastAsia" w:hAnsiTheme="minorHAnsi" w:cstheme="minorBidi"/>
                <w:smallCaps w:val="0"/>
                <w:noProof/>
                <w:sz w:val="22"/>
                <w:szCs w:val="22"/>
                <w:lang w:val="en-GB" w:eastAsia="en-GB" w:bidi="ar-SA"/>
              </w:rPr>
              <w:tab/>
            </w:r>
            <w:r>
              <w:rPr>
                <w:rStyle w:val="Hyperlink"/>
                <w:b/>
                <w:noProof/>
              </w:rPr>
              <w:t>Преразглеждане на прогнозата за ТСР и за базите за ДДС и БНД</w:t>
            </w:r>
            <w:r>
              <w:rPr>
                <w:noProof/>
                <w:webHidden/>
              </w:rPr>
              <w:tab/>
            </w:r>
            <w:r>
              <w:rPr>
                <w:noProof/>
                <w:webHidden/>
              </w:rPr>
              <w:fldChar w:fldCharType="begin"/>
            </w:r>
            <w:r>
              <w:rPr>
                <w:noProof/>
                <w:webHidden/>
              </w:rPr>
              <w:instrText xml:space="preserve"> PAGEREF _Toc496260471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60472" w:history="1">
            <w:r>
              <w:rPr>
                <w:rStyle w:val="Hyperlink"/>
                <w:b/>
                <w:noProof/>
              </w:rPr>
              <w:t>3.3</w:t>
            </w:r>
            <w:r>
              <w:rPr>
                <w:rFonts w:asciiTheme="minorHAnsi" w:eastAsiaTheme="minorEastAsia" w:hAnsiTheme="minorHAnsi" w:cstheme="minorBidi"/>
                <w:smallCaps w:val="0"/>
                <w:noProof/>
                <w:sz w:val="22"/>
                <w:szCs w:val="22"/>
                <w:lang w:val="en-GB" w:eastAsia="en-GB" w:bidi="ar-SA"/>
              </w:rPr>
              <w:tab/>
            </w:r>
            <w:r>
              <w:rPr>
                <w:rStyle w:val="Hyperlink"/>
                <w:b/>
                <w:noProof/>
              </w:rPr>
              <w:t>Корекция за Обединеното кралство за 2016 и 2013 г.</w:t>
            </w:r>
            <w:r>
              <w:rPr>
                <w:noProof/>
                <w:webHidden/>
              </w:rPr>
              <w:tab/>
            </w:r>
            <w:r>
              <w:rPr>
                <w:noProof/>
                <w:webHidden/>
              </w:rPr>
              <w:fldChar w:fldCharType="begin"/>
            </w:r>
            <w:r>
              <w:rPr>
                <w:noProof/>
                <w:webHidden/>
              </w:rPr>
              <w:instrText xml:space="preserve"> PAGEREF _Toc496260472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60473" w:history="1">
            <w:r>
              <w:rPr>
                <w:rStyle w:val="Hyperlink"/>
                <w:b/>
                <w:noProof/>
              </w:rPr>
              <w:t>3.4</w:t>
            </w:r>
            <w:r>
              <w:rPr>
                <w:rFonts w:asciiTheme="minorHAnsi" w:eastAsiaTheme="minorEastAsia" w:hAnsiTheme="minorHAnsi" w:cstheme="minorBidi"/>
                <w:smallCaps w:val="0"/>
                <w:noProof/>
                <w:sz w:val="22"/>
                <w:szCs w:val="22"/>
                <w:lang w:val="en-GB" w:eastAsia="en-GB" w:bidi="ar-SA"/>
              </w:rPr>
              <w:tab/>
            </w:r>
            <w:r>
              <w:rPr>
                <w:rStyle w:val="Hyperlink"/>
                <w:b/>
                <w:noProof/>
              </w:rPr>
              <w:t>Глоби</w:t>
            </w:r>
            <w:r>
              <w:rPr>
                <w:noProof/>
                <w:webHidden/>
              </w:rPr>
              <w:tab/>
            </w:r>
            <w:r>
              <w:rPr>
                <w:noProof/>
                <w:webHidden/>
              </w:rPr>
              <w:fldChar w:fldCharType="begin"/>
            </w:r>
            <w:r>
              <w:rPr>
                <w:noProof/>
                <w:webHidden/>
              </w:rPr>
              <w:instrText xml:space="preserve"> PAGEREF _Toc496260473 \h </w:instrText>
            </w:r>
            <w:r>
              <w:rPr>
                <w:noProof/>
                <w:webHidden/>
              </w:rPr>
            </w:r>
            <w:r>
              <w:rPr>
                <w:noProof/>
                <w:webHidden/>
              </w:rPr>
              <w:fldChar w:fldCharType="separate"/>
            </w:r>
            <w:r>
              <w:rPr>
                <w:noProof/>
                <w:webHidden/>
              </w:rPr>
              <w:t>19</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96260474" w:history="1">
            <w:r>
              <w:rPr>
                <w:rStyle w:val="Hyperlink"/>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_Toc496260474 \h </w:instrText>
            </w:r>
            <w:r>
              <w:rPr>
                <w:noProof/>
                <w:webHidden/>
              </w:rPr>
            </w:r>
            <w:r>
              <w:rPr>
                <w:noProof/>
                <w:webHidden/>
              </w:rPr>
              <w:fldChar w:fldCharType="separate"/>
            </w:r>
            <w:r>
              <w:rPr>
                <w:noProof/>
                <w:webHidden/>
              </w:rPr>
              <w:t>20</w:t>
            </w:r>
            <w:r>
              <w:rPr>
                <w:noProof/>
                <w:webHidden/>
              </w:rPr>
              <w:fldChar w:fldCharType="end"/>
            </w:r>
          </w:hyperlink>
        </w:p>
        <w:p>
          <w:pPr>
            <w:rPr>
              <w:rFonts w:asciiTheme="minorHAnsi" w:eastAsiaTheme="minorEastAsia" w:hAnsiTheme="minorHAnsi" w:cstheme="minorBid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pgNumType w:start="3"/>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494994370"/>
      <w:bookmarkStart w:id="12" w:name="_Toc496260462"/>
      <w:bookmarkStart w:id="13" w:name="_Toc351469332"/>
      <w:bookmarkStart w:id="14" w:name="_Toc361649879"/>
      <w:r>
        <w:t>1.</w:t>
      </w:r>
      <w:r>
        <w:tab/>
        <w:t>Въведение</w:t>
      </w:r>
      <w:bookmarkEnd w:id="8"/>
      <w:bookmarkEnd w:id="9"/>
      <w:bookmarkEnd w:id="10"/>
      <w:bookmarkEnd w:id="11"/>
      <w:bookmarkEnd w:id="12"/>
    </w:p>
    <w:p>
      <w:pPr>
        <w:pStyle w:val="ListDash"/>
        <w:rPr>
          <w:noProof/>
        </w:rPr>
      </w:pPr>
      <w:bookmarkStart w:id="15" w:name="_Toc430865947"/>
      <w:bookmarkStart w:id="16" w:name="_Toc430867525"/>
      <w:r>
        <w:rPr>
          <w:noProof/>
        </w:rPr>
        <w:t>Целта на проект на коригиращ бюджет (ПКБ) № 6 за финансова година 2017 е да се актуализира както разходната, така и приходната част на бюджета, за да се вземат предвид последните промени:</w:t>
      </w:r>
    </w:p>
    <w:p>
      <w:pPr>
        <w:pStyle w:val="Tiret0"/>
        <w:rPr>
          <w:noProof/>
        </w:rPr>
      </w:pPr>
      <w:r>
        <w:rPr>
          <w:noProof/>
        </w:rPr>
        <w:t xml:space="preserve">от гледна точка на разходите, </w:t>
      </w:r>
    </w:p>
    <w:p>
      <w:pPr>
        <w:pStyle w:val="Tiret0"/>
        <w:tabs>
          <w:tab w:val="clear" w:pos="850"/>
          <w:tab w:val="num" w:pos="1570"/>
        </w:tabs>
        <w:ind w:left="1570"/>
        <w:rPr>
          <w:noProof/>
        </w:rPr>
      </w:pPr>
      <w:r>
        <w:rPr>
          <w:noProof/>
        </w:rPr>
        <w:t xml:space="preserve">след като се отчетат преразпределенията, предложени в т.нар. „глобален трансфер“ (DEC 20/2017), за да се намали нивото на бюджетните кредити за плащания от бюджетните редове основно за функции 1б </w:t>
      </w:r>
      <w:r>
        <w:rPr>
          <w:i/>
          <w:noProof/>
        </w:rPr>
        <w:t>„Икономическо, социално и териториално сближаване“</w:t>
      </w:r>
      <w:r>
        <w:rPr>
          <w:noProof/>
        </w:rPr>
        <w:t xml:space="preserve">, 2 </w:t>
      </w:r>
      <w:r>
        <w:rPr>
          <w:i/>
          <w:noProof/>
        </w:rPr>
        <w:t>„Устойчив растеж — природни ресурси“</w:t>
      </w:r>
      <w:r>
        <w:rPr>
          <w:noProof/>
        </w:rPr>
        <w:t xml:space="preserve">, 3 </w:t>
      </w:r>
      <w:r>
        <w:rPr>
          <w:i/>
          <w:noProof/>
        </w:rPr>
        <w:t>„Сигурност и гражданство“</w:t>
      </w:r>
      <w:r>
        <w:rPr>
          <w:noProof/>
        </w:rPr>
        <w:t xml:space="preserve"> и 4 </w:t>
      </w:r>
      <w:r>
        <w:rPr>
          <w:i/>
          <w:noProof/>
        </w:rPr>
        <w:t>„Глобална Европа“</w:t>
      </w:r>
      <w:r>
        <w:rPr>
          <w:noProof/>
        </w:rPr>
        <w:t xml:space="preserve">; </w:t>
      </w:r>
    </w:p>
    <w:p>
      <w:pPr>
        <w:pStyle w:val="Tiret0"/>
        <w:tabs>
          <w:tab w:val="clear" w:pos="850"/>
          <w:tab w:val="num" w:pos="1570"/>
        </w:tabs>
        <w:ind w:left="1570"/>
        <w:rPr>
          <w:noProof/>
        </w:rPr>
      </w:pPr>
      <w:r>
        <w:rPr>
          <w:noProof/>
        </w:rPr>
        <w:t xml:space="preserve">за да се освободят бюджетни кредити за поети задължения от бюджетните редове за функция 2 </w:t>
      </w:r>
      <w:r>
        <w:rPr>
          <w:i/>
          <w:noProof/>
        </w:rPr>
        <w:t>„Устойчив растеж — природни ресурси“</w:t>
      </w:r>
      <w:r>
        <w:rPr>
          <w:noProof/>
        </w:rPr>
        <w:t>;</w:t>
      </w:r>
    </w:p>
    <w:p>
      <w:pPr>
        <w:pStyle w:val="Tiret0"/>
        <w:tabs>
          <w:tab w:val="clear" w:pos="850"/>
          <w:tab w:val="num" w:pos="1570"/>
        </w:tabs>
        <w:ind w:left="1570"/>
        <w:rPr>
          <w:noProof/>
        </w:rPr>
      </w:pPr>
      <w:r>
        <w:rPr>
          <w:noProof/>
        </w:rPr>
        <w:t>за да се освободят бюджетни кредити за поети задължения и за плащания, предназначени за извършването на авансови плащания за фонд „Солидарност“ на Европейския съюз (ФСЕС), които няма да бъдат необходими през 2017 г.;</w:t>
      </w:r>
    </w:p>
    <w:p>
      <w:pPr>
        <w:pStyle w:val="Tiret0"/>
        <w:rPr>
          <w:noProof/>
        </w:rPr>
      </w:pPr>
      <w:r>
        <w:rPr>
          <w:noProof/>
        </w:rPr>
        <w:t>от гледна точка на приходите,</w:t>
      </w:r>
    </w:p>
    <w:p>
      <w:pPr>
        <w:pStyle w:val="Tiret0"/>
        <w:tabs>
          <w:tab w:val="clear" w:pos="850"/>
          <w:tab w:val="num" w:pos="1570"/>
        </w:tabs>
        <w:ind w:left="1570"/>
        <w:rPr>
          <w:noProof/>
        </w:rPr>
      </w:pPr>
      <w:r>
        <w:rPr>
          <w:noProof/>
        </w:rPr>
        <w:t>за да се преразгледат прогнозите за традиционните собствени ресурси (т.е. мита и налози в сектора на захарта), за базите за данъка върху добавената стойност (ДДС) и за брутния национален доход (БНД), както и за да се включат в бюджета съответните корекции за Обединеното кралство и тяхното финансиране, всички те засягащи разпределението на вноските собствени ресурси от държавите членки в бюджета на ЕС;</w:t>
      </w:r>
    </w:p>
    <w:p>
      <w:pPr>
        <w:pStyle w:val="Tiret0"/>
        <w:tabs>
          <w:tab w:val="clear" w:pos="850"/>
          <w:tab w:val="num" w:pos="1570"/>
        </w:tabs>
        <w:ind w:left="1570"/>
        <w:rPr>
          <w:noProof/>
        </w:rPr>
      </w:pPr>
      <w:r>
        <w:rPr>
          <w:noProof/>
        </w:rPr>
        <w:t>за да се впишат в бюджета на ЕС наложените от Комисията глоби, за които всички правни средства за защита са изчерпани и които следователно са станали окончателни в хода на 2017 г., намалявайки съответно вноските собствени ресурси от държавите членки в бюджета на ЕС.</w:t>
      </w:r>
    </w:p>
    <w:p>
      <w:pPr>
        <w:keepNext/>
        <w:tabs>
          <w:tab w:val="left" w:pos="850"/>
        </w:tabs>
        <w:spacing w:before="240" w:after="120"/>
        <w:ind w:left="851" w:hanging="851"/>
        <w:jc w:val="both"/>
        <w:outlineLvl w:val="0"/>
        <w:rPr>
          <w:b/>
          <w:smallCaps/>
          <w:noProof/>
        </w:rPr>
      </w:pPr>
      <w:bookmarkStart w:id="17" w:name="_Toc494994371"/>
      <w:bookmarkStart w:id="18" w:name="_Toc496260463"/>
      <w:bookmarkStart w:id="19" w:name="_Toc462410050"/>
      <w:r>
        <w:rPr>
          <w:b/>
          <w:smallCaps/>
          <w:noProof/>
        </w:rPr>
        <w:t>2.</w:t>
      </w:r>
      <w:r>
        <w:rPr>
          <w:noProof/>
        </w:rPr>
        <w:tab/>
      </w:r>
      <w:r>
        <w:rPr>
          <w:b/>
          <w:smallCaps/>
          <w:noProof/>
        </w:rPr>
        <w:t>Намаление на бюджетните кредити за плащания и за поети задължения</w:t>
      </w:r>
      <w:bookmarkEnd w:id="17"/>
      <w:bookmarkEnd w:id="18"/>
    </w:p>
    <w:bookmarkEnd w:id="19"/>
    <w:p>
      <w:pPr>
        <w:spacing w:before="120" w:after="120"/>
        <w:jc w:val="both"/>
        <w:rPr>
          <w:noProof/>
        </w:rPr>
      </w:pPr>
      <w:r>
        <w:rPr>
          <w:noProof/>
        </w:rPr>
        <w:t xml:space="preserve">Комисията предлага да се коригира равнището на бюджетните кредити за плащания за някои бюджетни редове с цел да се съгласуват по-добре с най-актуалните прогнози по отношение на нуждите и с допускането, че уравновесяването на бюджетните кредити за плащания между различните бюджетни редове, поискано отделно от Комисията в т.нар. „глобален трансфер“ (DEC 20/2017), ще бъде прието от Европейския парламент и от Съвета. </w:t>
      </w:r>
    </w:p>
    <w:p>
      <w:pPr>
        <w:spacing w:before="120" w:after="120"/>
        <w:jc w:val="both"/>
        <w:rPr>
          <w:noProof/>
        </w:rPr>
      </w:pPr>
      <w:r>
        <w:rPr>
          <w:noProof/>
        </w:rPr>
        <w:t>Общото намаление (7 719,7 милиона евро) на равнището на бюджетните кредити за плащания, поискано в настоящия ПКБ, се отнася главно до функция 1б и в по-малка степен до функции 2, 3 и 4 и до фонд „Солидарност“ на Европейския съюз (ФСЕС).</w:t>
      </w:r>
    </w:p>
    <w:p>
      <w:pPr>
        <w:keepNext/>
        <w:tabs>
          <w:tab w:val="left" w:pos="850"/>
        </w:tabs>
        <w:spacing w:before="360" w:after="120"/>
        <w:ind w:left="850" w:hanging="850"/>
        <w:jc w:val="both"/>
        <w:outlineLvl w:val="1"/>
        <w:rPr>
          <w:rFonts w:eastAsia="Calibri"/>
          <w:b/>
          <w:noProof/>
        </w:rPr>
      </w:pPr>
      <w:bookmarkStart w:id="20" w:name="_Toc462410051"/>
      <w:bookmarkStart w:id="21" w:name="_Toc494994372"/>
      <w:bookmarkStart w:id="22" w:name="_Toc496260464"/>
      <w:bookmarkStart w:id="23" w:name="_Toc460335328"/>
      <w:bookmarkStart w:id="24" w:name="_Toc430865948"/>
      <w:bookmarkStart w:id="25" w:name="_Toc430867526"/>
      <w:r>
        <w:rPr>
          <w:b/>
          <w:noProof/>
        </w:rPr>
        <w:t>2.1</w:t>
      </w:r>
      <w:r>
        <w:rPr>
          <w:noProof/>
        </w:rPr>
        <w:tab/>
      </w:r>
      <w:r>
        <w:rPr>
          <w:b/>
          <w:noProof/>
        </w:rPr>
        <w:t>Функция 1б — Икономическо, социално и териториално сближаване</w:t>
      </w:r>
      <w:bookmarkEnd w:id="20"/>
      <w:bookmarkEnd w:id="21"/>
      <w:bookmarkEnd w:id="22"/>
    </w:p>
    <w:p>
      <w:pPr>
        <w:spacing w:before="120" w:after="120"/>
        <w:jc w:val="both"/>
        <w:rPr>
          <w:noProof/>
        </w:rPr>
      </w:pPr>
      <w:r>
        <w:rPr>
          <w:noProof/>
        </w:rPr>
        <w:t>Комисията предлага намаление с 5,9 милиарда евро</w:t>
      </w:r>
      <w:r>
        <w:rPr>
          <w:noProof/>
          <w:vertAlign w:val="superscript"/>
        </w:rPr>
        <w:footnoteReference w:id="9"/>
      </w:r>
      <w:r>
        <w:rPr>
          <w:noProof/>
        </w:rPr>
        <w:t xml:space="preserve"> на бюджетните кредити за плащания за европейските структурни и инвестиционни фондове (ЕСИФ) по функция 1б. Това намаление е резултат от актуализираните прогнози, според които необходимите плащания са по-ниски от първоначално предвидените в бюджета за 2017 г. за периода на програмиране 2014—2020 г.</w:t>
      </w:r>
    </w:p>
    <w:p>
      <w:pPr>
        <w:spacing w:before="120" w:after="120"/>
        <w:jc w:val="both"/>
        <w:rPr>
          <w:noProof/>
        </w:rPr>
      </w:pPr>
      <w:r>
        <w:rPr>
          <w:noProof/>
        </w:rPr>
        <w:t>Всички оперативни програми за този период бяха приети преди края на 2015 г. Общото равнище на междинните плащания през 2017 г. за тези програми обаче ще бъде по-ниско от първоначално предвиденото в бюджета, както се потвърждава от последните прогнози на държавите членки (от юли 2017 г.), които са намалели с около 6 милиарда евро (-16 %) в сравнение с прогнозите от януари 2017 г. Направеният от Комисията анализ на прогнозите, предоставени от държавите членки, включва също корекции с оглед на периодичното надценяване в исторически план.</w:t>
      </w:r>
    </w:p>
    <w:p>
      <w:pPr>
        <w:jc w:val="both"/>
        <w:rPr>
          <w:noProof/>
        </w:rPr>
      </w:pPr>
      <w:r>
        <w:rPr>
          <w:noProof/>
        </w:rPr>
        <w:t>Тези корекции бяха направени чрез прилагане на предпазлив подход и чрез отчитане на постоянния процент грешки, който се наблюдава в прогнозите на държавите членки през последните години. Освен това бяха взети под внимание допълнителни елементи, като липсата на регулаторни стимули за ускоряване на подаването на искания вследствие на облекчените правила за автоматична отмяна на поети задължения (слаб натиск от страна на правило „N+3“) и обичайното „нормално“ натрупване на неплатени исканията за плащане, които се получават твърде късно, за да бъдат платени в рамките на годината.</w:t>
      </w:r>
    </w:p>
    <w:p>
      <w:pPr>
        <w:pStyle w:val="ListDash"/>
        <w:rPr>
          <w:noProof/>
        </w:rPr>
      </w:pPr>
      <w:r>
        <w:rPr>
          <w:noProof/>
        </w:rPr>
        <w:t>Продължават да се наблюдават закъснения при изпълнението във връзка с оперативните програми за периода 2014—2020 г. Те се дължат главно на продължителния процес на определяне на националните органи (Комисията все още не е уведомена за органите, определени за 62 оперативни програми, или 11 % от всички програми), водещ до изпълнение, което е по-бавно от очакванията, по отношение на исканията за междинни плащания, получени въпреки отчетения напредък в подбора на проекти на място.</w:t>
      </w:r>
    </w:p>
    <w:p>
      <w:pPr>
        <w:pStyle w:val="ListDash"/>
        <w:spacing w:after="240"/>
        <w:rPr>
          <w:noProof/>
        </w:rPr>
      </w:pPr>
      <w:r>
        <w:rPr>
          <w:noProof/>
        </w:rPr>
        <w:t>Намаляването на бюджетните кредити за плащания се предлага за бюджетните статии и позиции, които следват.</w:t>
      </w:r>
    </w:p>
    <w:tbl>
      <w:tblPr>
        <w:tblW w:w="9513" w:type="dxa"/>
        <w:tblInd w:w="93" w:type="dxa"/>
        <w:tblLayout w:type="fixed"/>
        <w:tblLook w:val="04A0" w:firstRow="1" w:lastRow="0" w:firstColumn="1" w:lastColumn="0" w:noHBand="0" w:noVBand="1"/>
      </w:tblPr>
      <w:tblGrid>
        <w:gridCol w:w="1291"/>
        <w:gridCol w:w="6521"/>
        <w:gridCol w:w="1701"/>
      </w:tblGrid>
      <w:tr>
        <w:trPr>
          <w:trHeight w:val="525"/>
          <w:tblHeader/>
        </w:trPr>
        <w:tc>
          <w:tcPr>
            <w:tcW w:w="1291" w:type="dxa"/>
            <w:tcBorders>
              <w:top w:val="single" w:sz="8" w:space="0" w:color="auto"/>
              <w:left w:val="single" w:sz="8" w:space="0" w:color="auto"/>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noProof/>
                <w:color w:val="000000"/>
                <w:sz w:val="20"/>
              </w:rPr>
              <w:t>Бюджетен ред</w:t>
            </w:r>
          </w:p>
        </w:tc>
        <w:tc>
          <w:tcPr>
            <w:tcW w:w="6521" w:type="dxa"/>
            <w:tcBorders>
              <w:top w:val="single" w:sz="8" w:space="0" w:color="auto"/>
              <w:left w:val="nil"/>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noProof/>
                <w:color w:val="000000"/>
                <w:sz w:val="20"/>
              </w:rPr>
              <w:t>Наименование</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noProof/>
                <w:color w:val="000000"/>
                <w:sz w:val="20"/>
              </w:rPr>
              <w:t>Бюджетни кредити за плащания</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04 02 60</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Европейски социален фонд — По-слабо развити региони — Цел „Инвестиции за растеж и работни места“</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-667 462 307</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04 02 61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Европейски социален фонд — Региони в преход — Цел „Инвестиции за растеж и работни места“</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-148 720 085</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04 02 62</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Европейски социален фонд — По-силно развити региони — Цел „Инвестиции за растеж и работни места“</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-333 817 608</w:t>
            </w:r>
          </w:p>
        </w:tc>
      </w:tr>
      <w:tr>
        <w:trPr>
          <w:trHeight w:val="46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13 03 60</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Европейски фонд за регионално развитие (ЕФРР) — По-слабо развити региони — Цел „Инвестиции за растеж и работни места“</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-3 441 410 203</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13 03 61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Европейски фонд за регионално развитие (ЕФРР) — Региони в преход — Цел „Инвестиции за растеж и работни места“</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-491 788 711</w:t>
            </w:r>
          </w:p>
        </w:tc>
      </w:tr>
      <w:tr>
        <w:trPr>
          <w:trHeight w:val="46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13 03 62</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Европейски фонд за регионално развитие (ЕФРР) — По-силно развити региони — Цел „Инвестиции за растеж и работни места“</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-510 253 467</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13 03 64 01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Европейски фонд за регионално развитие (ЕФРР) — Европейско териториално сътрудничество</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-257 368 301</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13 05 03 01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Приключване на компонент „Трансгранично сътрудничество“ (ТГС) — вноска от бюджетен ред 1б</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-15 422 489</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13 05 63 01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Трансгранично сътрудничество (ТГС) — вноска от бюджетен ред 1б</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-21 988 054</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22 04 52</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Трансгранично сътрудничество (ТГС) — принос от функция 1б (Регионална политика)</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-2 512 986</w:t>
            </w:r>
          </w:p>
        </w:tc>
      </w:tr>
      <w:tr>
        <w:trPr>
          <w:trHeight w:val="315"/>
        </w:trPr>
        <w:tc>
          <w:tcPr>
            <w:tcW w:w="7812"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pPr>
              <w:jc w:val="both"/>
              <w:rPr>
                <w:b/>
                <w:bCs/>
                <w:noProof/>
                <w:color w:val="000000"/>
                <w:sz w:val="20"/>
                <w:szCs w:val="20"/>
              </w:rPr>
            </w:pPr>
            <w:r>
              <w:rPr>
                <w:b/>
                <w:noProof/>
                <w:color w:val="000000"/>
                <w:sz w:val="20"/>
              </w:rPr>
              <w:t xml:space="preserve">Общо </w:t>
            </w:r>
          </w:p>
        </w:tc>
        <w:tc>
          <w:tcPr>
            <w:tcW w:w="1701" w:type="dxa"/>
            <w:tcBorders>
              <w:top w:val="nil"/>
              <w:left w:val="nil"/>
              <w:bottom w:val="single" w:sz="8" w:space="0" w:color="auto"/>
              <w:right w:val="single" w:sz="8" w:space="0" w:color="auto"/>
            </w:tcBorders>
            <w:shd w:val="clear" w:color="auto" w:fill="D9D9D9" w:themeFill="background1" w:themeFillShade="D9"/>
            <w:vAlign w:val="center"/>
            <w:hideMark/>
          </w:tcPr>
          <w:p>
            <w:pPr>
              <w:jc w:val="right"/>
              <w:rPr>
                <w:b/>
                <w:bCs/>
                <w:noProof/>
                <w:color w:val="000000"/>
                <w:sz w:val="20"/>
                <w:szCs w:val="20"/>
              </w:rPr>
            </w:pPr>
            <w:r>
              <w:rPr>
                <w:b/>
                <w:noProof/>
                <w:color w:val="000000"/>
                <w:sz w:val="20"/>
              </w:rPr>
              <w:t>-5 890 744 211</w:t>
            </w:r>
          </w:p>
        </w:tc>
      </w:tr>
    </w:tbl>
    <w:p>
      <w:pPr>
        <w:pStyle w:val="ListDash"/>
        <w:rPr>
          <w:noProof/>
        </w:rPr>
      </w:pPr>
      <w:bookmarkStart w:id="26" w:name="_Toc462410052"/>
      <w:bookmarkStart w:id="27" w:name="_Toc461100990"/>
      <w:bookmarkEnd w:id="23"/>
      <w:r>
        <w:rPr>
          <w:noProof/>
        </w:rPr>
        <w:t>Комисията многократно е подчертавала този проблем и е изразявала готовността си да оказва съдействие на държавите членки, за да се гарантира ускорено изпълнение. През юли до държавите членки бяха изпратени писма, подписани от четирима членове на Комисията</w:t>
      </w:r>
      <w:r>
        <w:rPr>
          <w:rStyle w:val="FootnoteReference"/>
          <w:noProof/>
        </w:rPr>
        <w:footnoteReference w:id="10"/>
      </w:r>
      <w:r>
        <w:rPr>
          <w:noProof/>
        </w:rPr>
        <w:t xml:space="preserve">, които ги предупреждават, че нивото на изпълнение е тревожно ниско и ги призовават да отстранят незабавно пречките. </w:t>
      </w:r>
    </w:p>
    <w:p>
      <w:pPr>
        <w:keepNext/>
        <w:tabs>
          <w:tab w:val="left" w:pos="850"/>
        </w:tabs>
        <w:spacing w:before="360" w:after="120"/>
        <w:ind w:left="850" w:hanging="850"/>
        <w:jc w:val="both"/>
        <w:outlineLvl w:val="1"/>
        <w:rPr>
          <w:rFonts w:eastAsia="Calibri"/>
          <w:b/>
          <w:noProof/>
        </w:rPr>
      </w:pPr>
      <w:bookmarkStart w:id="28" w:name="_Toc494994373"/>
      <w:bookmarkStart w:id="29" w:name="_Toc496260465"/>
      <w:r>
        <w:rPr>
          <w:b/>
          <w:noProof/>
        </w:rPr>
        <w:t>2.2</w:t>
      </w:r>
      <w:r>
        <w:rPr>
          <w:noProof/>
        </w:rPr>
        <w:tab/>
      </w:r>
      <w:r>
        <w:rPr>
          <w:b/>
          <w:noProof/>
        </w:rPr>
        <w:t>Функция 2 — Устойчив растеж: Природни ресурси</w:t>
      </w:r>
      <w:bookmarkEnd w:id="26"/>
      <w:bookmarkEnd w:id="28"/>
      <w:bookmarkEnd w:id="29"/>
    </w:p>
    <w:p>
      <w:pPr>
        <w:tabs>
          <w:tab w:val="left" w:pos="851"/>
        </w:tabs>
        <w:spacing w:before="240"/>
        <w:rPr>
          <w:bCs/>
          <w:i/>
          <w:noProof/>
        </w:rPr>
      </w:pPr>
      <w:bookmarkStart w:id="30" w:name="_Toc399926625"/>
      <w:bookmarkStart w:id="31" w:name="_Toc461100991"/>
      <w:bookmarkEnd w:id="27"/>
      <w:r>
        <w:rPr>
          <w:i/>
          <w:noProof/>
        </w:rPr>
        <w:t xml:space="preserve">2.2.1 </w:t>
      </w:r>
      <w:r>
        <w:rPr>
          <w:noProof/>
        </w:rPr>
        <w:tab/>
      </w:r>
      <w:r>
        <w:rPr>
          <w:i/>
          <w:noProof/>
        </w:rPr>
        <w:t>Европейски земеделски фонд за развитие на селските райони (ЕЗФРСР)</w:t>
      </w:r>
    </w:p>
    <w:p>
      <w:pPr>
        <w:autoSpaceDE w:val="0"/>
        <w:autoSpaceDN w:val="0"/>
        <w:adjustRightInd w:val="0"/>
        <w:spacing w:before="120" w:after="120"/>
        <w:jc w:val="both"/>
        <w:rPr>
          <w:noProof/>
        </w:rPr>
      </w:pPr>
      <w:r>
        <w:rPr>
          <w:noProof/>
        </w:rPr>
        <w:t>Бюджетните кредити за плащания, налични по бюджетна позиция 05 04 05 01, бяха предназначени първоначално за плащания по приключването на програмите по ЕЗФРСР за периода 2007—2013 г. Повечето от тези програми обаче бяха приключени и средствата по тях бяха изплатени в края на 2016 г., тъй като през 2016 г. за тази цел бяха осигурени допълнителни бюджетни кредити за плащания от трансфера в края на годината и от бюджетния ред за ЕЗФРСР за периода 2014—2020 г. В резултат на това размерът на необходимите плащания по приключването през 2017 г. е по-малък и може да бъде освободена сума от 780 милиона евро.</w:t>
      </w:r>
    </w:p>
    <w:p>
      <w:pPr>
        <w:autoSpaceDE w:val="0"/>
        <w:autoSpaceDN w:val="0"/>
        <w:adjustRightInd w:val="0"/>
        <w:spacing w:before="120" w:after="240"/>
        <w:jc w:val="both"/>
        <w:rPr>
          <w:noProof/>
        </w:rPr>
      </w:pPr>
      <w:r>
        <w:rPr>
          <w:noProof/>
        </w:rPr>
        <w:t>Освен отмяната на някои действия се предлага и намаление от 1,5 милиона евро на бюджетните кредити за поети задължения по бюджетна позиция 05 04 60 02.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rPr>
          <w:tblHeader/>
        </w:trPr>
        <w:tc>
          <w:tcPr>
            <w:tcW w:w="1276" w:type="dxa"/>
            <w:shd w:val="clear" w:color="auto" w:fill="D9D9D9"/>
            <w:vAlign w:val="center"/>
          </w:tcPr>
          <w:p>
            <w:pPr>
              <w:widowControl w:val="0"/>
              <w:spacing w:before="15" w:after="15"/>
              <w:jc w:val="center"/>
              <w:rPr>
                <w:b/>
                <w:noProof/>
                <w:sz w:val="20"/>
                <w:szCs w:val="20"/>
              </w:rPr>
            </w:pPr>
            <w:r>
              <w:rPr>
                <w:b/>
                <w:noProof/>
                <w:sz w:val="20"/>
              </w:rPr>
              <w:t>Бюджетен ред</w:t>
            </w:r>
          </w:p>
        </w:tc>
        <w:tc>
          <w:tcPr>
            <w:tcW w:w="4961" w:type="dxa"/>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c>
          <w:tcPr>
            <w:tcW w:w="1276" w:type="dxa"/>
            <w:vAlign w:val="center"/>
          </w:tcPr>
          <w:p>
            <w:pPr>
              <w:widowControl w:val="0"/>
              <w:spacing w:before="15" w:after="15"/>
              <w:ind w:right="-113"/>
              <w:jc w:val="both"/>
              <w:rPr>
                <w:noProof/>
                <w:sz w:val="20"/>
                <w:szCs w:val="20"/>
              </w:rPr>
            </w:pPr>
            <w:r>
              <w:rPr>
                <w:noProof/>
                <w:sz w:val="20"/>
              </w:rPr>
              <w:t>05 04 05 01</w:t>
            </w:r>
          </w:p>
        </w:tc>
        <w:tc>
          <w:tcPr>
            <w:tcW w:w="4961" w:type="dxa"/>
            <w:vAlign w:val="center"/>
          </w:tcPr>
          <w:p>
            <w:pPr>
              <w:widowControl w:val="0"/>
              <w:tabs>
                <w:tab w:val="left" w:pos="1350"/>
              </w:tabs>
              <w:spacing w:before="15" w:after="15"/>
              <w:jc w:val="both"/>
              <w:rPr>
                <w:noProof/>
                <w:sz w:val="16"/>
                <w:szCs w:val="16"/>
                <w:highlight w:val="yellow"/>
              </w:rPr>
            </w:pPr>
            <w:r>
              <w:rPr>
                <w:noProof/>
                <w:sz w:val="16"/>
              </w:rPr>
              <w:t>Програми за развитие на селските райони</w:t>
            </w:r>
          </w:p>
        </w:tc>
        <w:tc>
          <w:tcPr>
            <w:tcW w:w="1701" w:type="dxa"/>
            <w:vAlign w:val="center"/>
          </w:tcPr>
          <w:p>
            <w:pPr>
              <w:widowControl w:val="0"/>
              <w:spacing w:before="15" w:after="15"/>
              <w:jc w:val="right"/>
              <w:rPr>
                <w:noProof/>
                <w:sz w:val="20"/>
                <w:szCs w:val="20"/>
              </w:rPr>
            </w:pPr>
            <w:r>
              <w:rPr>
                <w:noProof/>
                <w:sz w:val="20"/>
              </w:rPr>
              <w:t>-</w:t>
            </w:r>
          </w:p>
        </w:tc>
        <w:tc>
          <w:tcPr>
            <w:tcW w:w="1701" w:type="dxa"/>
            <w:vAlign w:val="center"/>
          </w:tcPr>
          <w:p>
            <w:pPr>
              <w:widowControl w:val="0"/>
              <w:spacing w:before="15" w:after="15"/>
              <w:jc w:val="right"/>
              <w:rPr>
                <w:noProof/>
                <w:sz w:val="20"/>
                <w:szCs w:val="20"/>
              </w:rPr>
            </w:pPr>
            <w:r>
              <w:rPr>
                <w:noProof/>
                <w:sz w:val="20"/>
              </w:rPr>
              <w:t>-780 000 000</w:t>
            </w:r>
          </w:p>
        </w:tc>
      </w:tr>
      <w:tr>
        <w:tc>
          <w:tcPr>
            <w:tcW w:w="1276" w:type="dxa"/>
            <w:vAlign w:val="center"/>
          </w:tcPr>
          <w:p>
            <w:pPr>
              <w:widowControl w:val="0"/>
              <w:spacing w:before="15" w:after="15"/>
              <w:ind w:right="-113"/>
              <w:jc w:val="both"/>
              <w:rPr>
                <w:noProof/>
                <w:sz w:val="20"/>
                <w:szCs w:val="20"/>
              </w:rPr>
            </w:pPr>
            <w:r>
              <w:rPr>
                <w:noProof/>
                <w:sz w:val="20"/>
              </w:rPr>
              <w:t>05 04 60 02</w:t>
            </w:r>
          </w:p>
        </w:tc>
        <w:tc>
          <w:tcPr>
            <w:tcW w:w="4961" w:type="dxa"/>
            <w:vAlign w:val="center"/>
          </w:tcPr>
          <w:p>
            <w:pPr>
              <w:widowControl w:val="0"/>
              <w:tabs>
                <w:tab w:val="left" w:pos="1350"/>
              </w:tabs>
              <w:spacing w:before="15" w:after="15"/>
              <w:rPr>
                <w:noProof/>
                <w:sz w:val="16"/>
                <w:szCs w:val="16"/>
              </w:rPr>
            </w:pPr>
            <w:r>
              <w:rPr>
                <w:noProof/>
                <w:sz w:val="16"/>
              </w:rPr>
              <w:t>Оперативна техническа помощ</w:t>
            </w:r>
          </w:p>
        </w:tc>
        <w:tc>
          <w:tcPr>
            <w:tcW w:w="1701" w:type="dxa"/>
            <w:vAlign w:val="center"/>
          </w:tcPr>
          <w:p>
            <w:pPr>
              <w:widowControl w:val="0"/>
              <w:spacing w:before="15" w:after="15"/>
              <w:jc w:val="right"/>
              <w:rPr>
                <w:noProof/>
                <w:sz w:val="20"/>
                <w:szCs w:val="20"/>
              </w:rPr>
            </w:pPr>
            <w:r>
              <w:rPr>
                <w:noProof/>
                <w:sz w:val="20"/>
              </w:rPr>
              <w:t>-1 500 000</w:t>
            </w:r>
          </w:p>
        </w:tc>
        <w:tc>
          <w:tcPr>
            <w:tcW w:w="1701" w:type="dxa"/>
            <w:vAlign w:val="center"/>
          </w:tcPr>
          <w:p>
            <w:pPr>
              <w:widowControl w:val="0"/>
              <w:spacing w:before="15" w:after="15"/>
              <w:jc w:val="right"/>
              <w:rPr>
                <w:noProof/>
                <w:sz w:val="20"/>
                <w:szCs w:val="20"/>
              </w:rPr>
            </w:pPr>
            <w:r>
              <w:rPr>
                <w:noProof/>
                <w:sz w:val="20"/>
              </w:rPr>
              <w:t>-</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tcPr>
          <w:p>
            <w:pPr>
              <w:widowControl w:val="0"/>
              <w:spacing w:before="15" w:after="15"/>
              <w:jc w:val="right"/>
              <w:rPr>
                <w:b/>
                <w:noProof/>
                <w:sz w:val="20"/>
                <w:szCs w:val="20"/>
              </w:rPr>
            </w:pPr>
            <w:r>
              <w:rPr>
                <w:b/>
                <w:noProof/>
                <w:sz w:val="20"/>
              </w:rPr>
              <w:t>-1 500 000</w:t>
            </w:r>
          </w:p>
        </w:tc>
        <w:tc>
          <w:tcPr>
            <w:tcW w:w="1701" w:type="dxa"/>
            <w:shd w:val="clear" w:color="auto" w:fill="D9D9D9"/>
          </w:tcPr>
          <w:p>
            <w:pPr>
              <w:widowControl w:val="0"/>
              <w:spacing w:before="15" w:after="15"/>
              <w:jc w:val="right"/>
              <w:rPr>
                <w:b/>
                <w:noProof/>
                <w:sz w:val="20"/>
                <w:szCs w:val="20"/>
              </w:rPr>
            </w:pPr>
            <w:r>
              <w:rPr>
                <w:b/>
                <w:noProof/>
                <w:sz w:val="20"/>
              </w:rPr>
              <w:t>-780 000 000</w:t>
            </w:r>
          </w:p>
        </w:tc>
      </w:tr>
    </w:tbl>
    <w:p>
      <w:pPr>
        <w:tabs>
          <w:tab w:val="left" w:pos="851"/>
        </w:tabs>
        <w:spacing w:before="240"/>
        <w:rPr>
          <w:bCs/>
          <w:i/>
          <w:noProof/>
        </w:rPr>
      </w:pPr>
      <w:bookmarkStart w:id="32" w:name="_Toc399926626"/>
      <w:bookmarkStart w:id="33" w:name="_Toc461100992"/>
      <w:bookmarkEnd w:id="30"/>
      <w:bookmarkEnd w:id="31"/>
      <w:r>
        <w:rPr>
          <w:i/>
          <w:noProof/>
        </w:rPr>
        <w:t xml:space="preserve">2.2.2 </w:t>
      </w:r>
      <w:r>
        <w:rPr>
          <w:noProof/>
        </w:rPr>
        <w:tab/>
      </w:r>
      <w:bookmarkEnd w:id="32"/>
      <w:bookmarkEnd w:id="33"/>
      <w:r>
        <w:rPr>
          <w:i/>
          <w:noProof/>
        </w:rPr>
        <w:t>Задължителни вноски в регионалните организации за управление на рибарството и в други международни организации и споразумения за устойчиво рибарство</w:t>
      </w:r>
    </w:p>
    <w:p>
      <w:pPr>
        <w:autoSpaceDE w:val="0"/>
        <w:autoSpaceDN w:val="0"/>
        <w:adjustRightInd w:val="0"/>
        <w:spacing w:before="120" w:after="240"/>
        <w:jc w:val="both"/>
        <w:rPr>
          <w:noProof/>
        </w:rPr>
      </w:pPr>
      <w:r>
        <w:rPr>
          <w:noProof/>
        </w:rPr>
        <w:t>Въз основа на актуален анализ на състоянието на преговорите за споразумения за партньорство в областта на устойчивото рибарство от бюджетния ред за резерв (бюджетна статия 40 02 41) могат да бъдат освободени 11,2 милиона евро бюджетни кредити за поети задължения и 10,4 милиона евро бюджетни кредити за плащания. Освен това 0,2 милиона евро бюджетни кредити за поети задължения и за плащания могат да бъдат освободени от задължителните вноски в международни организации, действащи в областта на морското дело и рибарството (бюджетна статия 11 03 02).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Бюджетен ред</w:t>
            </w:r>
          </w:p>
        </w:tc>
        <w:tc>
          <w:tcPr>
            <w:tcW w:w="4961" w:type="dxa"/>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c>
          <w:tcPr>
            <w:tcW w:w="1276" w:type="dxa"/>
          </w:tcPr>
          <w:p>
            <w:pPr>
              <w:widowControl w:val="0"/>
              <w:spacing w:before="15" w:after="15"/>
              <w:ind w:right="-113"/>
              <w:jc w:val="both"/>
              <w:rPr>
                <w:noProof/>
                <w:sz w:val="20"/>
                <w:szCs w:val="20"/>
              </w:rPr>
            </w:pPr>
            <w:r>
              <w:rPr>
                <w:noProof/>
                <w:sz w:val="20"/>
              </w:rPr>
              <w:t>11 03 02</w:t>
            </w:r>
          </w:p>
        </w:tc>
        <w:tc>
          <w:tcPr>
            <w:tcW w:w="4961" w:type="dxa"/>
          </w:tcPr>
          <w:p>
            <w:pPr>
              <w:widowControl w:val="0"/>
              <w:tabs>
                <w:tab w:val="left" w:pos="1350"/>
              </w:tabs>
              <w:spacing w:before="15" w:after="15"/>
              <w:jc w:val="both"/>
              <w:rPr>
                <w:noProof/>
                <w:sz w:val="16"/>
                <w:szCs w:val="16"/>
              </w:rPr>
            </w:pPr>
            <w:r>
              <w:rPr>
                <w:noProof/>
                <w:sz w:val="16"/>
              </w:rPr>
              <w:t>Насърчаване на устойчивото развитие чрез управление на рибарството и морското дело в съответствие с целите на общата политика в областта на рибарството (задължителни вноски в международните органи)</w:t>
            </w:r>
          </w:p>
        </w:tc>
        <w:tc>
          <w:tcPr>
            <w:tcW w:w="1701" w:type="dxa"/>
          </w:tcPr>
          <w:p>
            <w:pPr>
              <w:widowControl w:val="0"/>
              <w:spacing w:before="15" w:after="15"/>
              <w:jc w:val="right"/>
              <w:rPr>
                <w:noProof/>
                <w:sz w:val="20"/>
                <w:szCs w:val="20"/>
              </w:rPr>
            </w:pPr>
            <w:r>
              <w:rPr>
                <w:noProof/>
                <w:sz w:val="20"/>
              </w:rPr>
              <w:t>-207 268</w:t>
            </w:r>
          </w:p>
        </w:tc>
        <w:tc>
          <w:tcPr>
            <w:tcW w:w="1701" w:type="dxa"/>
          </w:tcPr>
          <w:p>
            <w:pPr>
              <w:widowControl w:val="0"/>
              <w:spacing w:before="15" w:after="15"/>
              <w:jc w:val="right"/>
              <w:rPr>
                <w:noProof/>
                <w:sz w:val="20"/>
                <w:szCs w:val="20"/>
              </w:rPr>
            </w:pPr>
            <w:r>
              <w:rPr>
                <w:noProof/>
                <w:sz w:val="20"/>
              </w:rPr>
              <w:t>-207 268</w:t>
            </w:r>
          </w:p>
        </w:tc>
      </w:tr>
      <w:tr>
        <w:tc>
          <w:tcPr>
            <w:tcW w:w="1276" w:type="dxa"/>
          </w:tcPr>
          <w:p>
            <w:pPr>
              <w:widowControl w:val="0"/>
              <w:spacing w:before="15" w:after="15"/>
              <w:ind w:right="-113"/>
              <w:jc w:val="both"/>
              <w:rPr>
                <w:noProof/>
                <w:sz w:val="20"/>
                <w:szCs w:val="20"/>
              </w:rPr>
            </w:pPr>
            <w:r>
              <w:rPr>
                <w:noProof/>
                <w:sz w:val="20"/>
              </w:rPr>
              <w:t>40 02 41</w:t>
            </w:r>
          </w:p>
        </w:tc>
        <w:tc>
          <w:tcPr>
            <w:tcW w:w="4961" w:type="dxa"/>
          </w:tcPr>
          <w:p>
            <w:pPr>
              <w:widowControl w:val="0"/>
              <w:tabs>
                <w:tab w:val="left" w:pos="1350"/>
              </w:tabs>
              <w:spacing w:before="15" w:after="15"/>
              <w:jc w:val="both"/>
              <w:rPr>
                <w:noProof/>
                <w:sz w:val="16"/>
                <w:szCs w:val="16"/>
              </w:rPr>
            </w:pPr>
            <w:r>
              <w:rPr>
                <w:noProof/>
                <w:sz w:val="16"/>
              </w:rPr>
              <w:t>Многогодишни бюджетни кредити (</w:t>
            </w:r>
            <w:r>
              <w:rPr>
                <w:i/>
                <w:noProof/>
                <w:sz w:val="16"/>
              </w:rPr>
              <w:t>Резерв за бюджетна статия 11 03 01 — Установяване на рамка за управление на риболовните дейности, извършвани от риболовните кораби на Съюза във водите на трети държави</w:t>
            </w:r>
            <w:r>
              <w:rPr>
                <w:noProof/>
                <w:sz w:val="16"/>
              </w:rPr>
              <w:t>)</w:t>
            </w:r>
          </w:p>
        </w:tc>
        <w:tc>
          <w:tcPr>
            <w:tcW w:w="1701" w:type="dxa"/>
          </w:tcPr>
          <w:p>
            <w:pPr>
              <w:widowControl w:val="0"/>
              <w:spacing w:before="15" w:after="15"/>
              <w:jc w:val="right"/>
              <w:rPr>
                <w:noProof/>
                <w:sz w:val="20"/>
                <w:szCs w:val="20"/>
              </w:rPr>
            </w:pPr>
            <w:r>
              <w:rPr>
                <w:noProof/>
                <w:sz w:val="20"/>
              </w:rPr>
              <w:t>-11 166 522</w:t>
            </w:r>
          </w:p>
        </w:tc>
        <w:tc>
          <w:tcPr>
            <w:tcW w:w="1701" w:type="dxa"/>
          </w:tcPr>
          <w:p>
            <w:pPr>
              <w:widowControl w:val="0"/>
              <w:spacing w:before="15" w:after="15"/>
              <w:jc w:val="right"/>
              <w:rPr>
                <w:noProof/>
                <w:sz w:val="20"/>
                <w:szCs w:val="20"/>
              </w:rPr>
            </w:pPr>
            <w:r>
              <w:rPr>
                <w:noProof/>
                <w:sz w:val="20"/>
              </w:rPr>
              <w:t>-10 361 522</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tcPr>
          <w:p>
            <w:pPr>
              <w:widowControl w:val="0"/>
              <w:spacing w:before="15" w:after="15"/>
              <w:jc w:val="right"/>
              <w:rPr>
                <w:b/>
                <w:noProof/>
                <w:sz w:val="20"/>
                <w:szCs w:val="20"/>
              </w:rPr>
            </w:pPr>
            <w:r>
              <w:rPr>
                <w:b/>
                <w:noProof/>
                <w:sz w:val="20"/>
              </w:rPr>
              <w:t>-11 373 790</w:t>
            </w:r>
          </w:p>
        </w:tc>
        <w:tc>
          <w:tcPr>
            <w:tcW w:w="1701" w:type="dxa"/>
            <w:shd w:val="clear" w:color="auto" w:fill="D9D9D9"/>
          </w:tcPr>
          <w:p>
            <w:pPr>
              <w:widowControl w:val="0"/>
              <w:spacing w:before="15" w:after="15"/>
              <w:jc w:val="right"/>
              <w:rPr>
                <w:b/>
                <w:noProof/>
                <w:sz w:val="20"/>
                <w:szCs w:val="20"/>
              </w:rPr>
            </w:pPr>
            <w:r>
              <w:rPr>
                <w:b/>
                <w:noProof/>
                <w:sz w:val="20"/>
              </w:rPr>
              <w:t>-10 568 790</w:t>
            </w:r>
          </w:p>
        </w:tc>
      </w:tr>
    </w:tbl>
    <w:p>
      <w:pPr>
        <w:tabs>
          <w:tab w:val="left" w:pos="851"/>
        </w:tabs>
        <w:spacing w:before="240"/>
        <w:rPr>
          <w:bCs/>
          <w:i/>
          <w:noProof/>
        </w:rPr>
      </w:pPr>
      <w:bookmarkStart w:id="34" w:name="_Toc461100993"/>
      <w:bookmarkStart w:id="35" w:name="_Toc462410053"/>
      <w:bookmarkEnd w:id="34"/>
      <w:r>
        <w:rPr>
          <w:i/>
          <w:noProof/>
        </w:rPr>
        <w:t xml:space="preserve">2.2.3 </w:t>
      </w:r>
      <w:r>
        <w:rPr>
          <w:noProof/>
        </w:rPr>
        <w:tab/>
      </w:r>
      <w:r>
        <w:rPr>
          <w:i/>
          <w:noProof/>
        </w:rPr>
        <w:t>Европейски фонд за гарантиране на земеделието (ЕФГЗ)</w:t>
      </w:r>
    </w:p>
    <w:p>
      <w:pPr>
        <w:autoSpaceDE w:val="0"/>
        <w:autoSpaceDN w:val="0"/>
        <w:adjustRightInd w:val="0"/>
        <w:spacing w:before="120" w:after="240"/>
        <w:jc w:val="both"/>
        <w:rPr>
          <w:noProof/>
        </w:rPr>
      </w:pPr>
      <w:r>
        <w:rPr>
          <w:noProof/>
        </w:rPr>
        <w:t>Освен отмяната на някои действия се предлага намаляване на нивото на бюджетните кредити за поети задължения и за плащания по бюджетна позиция 05 01 04 01 и бюджетна статия 05 08 09.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Бюджетен ред</w:t>
            </w:r>
          </w:p>
        </w:tc>
        <w:tc>
          <w:tcPr>
            <w:tcW w:w="4961" w:type="dxa"/>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c>
          <w:tcPr>
            <w:tcW w:w="1276" w:type="dxa"/>
          </w:tcPr>
          <w:p>
            <w:pPr>
              <w:widowControl w:val="0"/>
              <w:spacing w:before="15" w:after="15"/>
              <w:ind w:right="-113"/>
              <w:jc w:val="both"/>
              <w:rPr>
                <w:noProof/>
                <w:sz w:val="20"/>
                <w:szCs w:val="20"/>
              </w:rPr>
            </w:pPr>
            <w:r>
              <w:rPr>
                <w:noProof/>
                <w:sz w:val="20"/>
              </w:rPr>
              <w:t>05 01 04 01</w:t>
            </w:r>
          </w:p>
        </w:tc>
        <w:tc>
          <w:tcPr>
            <w:tcW w:w="4961" w:type="dxa"/>
            <w:vAlign w:val="center"/>
          </w:tcPr>
          <w:p>
            <w:pPr>
              <w:widowControl w:val="0"/>
              <w:tabs>
                <w:tab w:val="left" w:pos="1350"/>
              </w:tabs>
              <w:spacing w:before="15" w:after="15"/>
              <w:rPr>
                <w:noProof/>
                <w:sz w:val="16"/>
                <w:szCs w:val="16"/>
              </w:rPr>
            </w:pPr>
            <w:r>
              <w:rPr>
                <w:noProof/>
                <w:sz w:val="16"/>
              </w:rPr>
              <w:t>Разходи за подкрепа на Европейския фонд за гарантиране на земеделието (ЕФГЗ) — неоперативна техническа помощ</w:t>
            </w:r>
          </w:p>
        </w:tc>
        <w:tc>
          <w:tcPr>
            <w:tcW w:w="1701" w:type="dxa"/>
          </w:tcPr>
          <w:p>
            <w:pPr>
              <w:widowControl w:val="0"/>
              <w:spacing w:before="15" w:after="15"/>
              <w:jc w:val="right"/>
              <w:rPr>
                <w:noProof/>
                <w:sz w:val="20"/>
                <w:szCs w:val="20"/>
              </w:rPr>
            </w:pPr>
            <w:r>
              <w:rPr>
                <w:noProof/>
                <w:sz w:val="20"/>
              </w:rPr>
              <w:t>-900 000</w:t>
            </w:r>
          </w:p>
        </w:tc>
        <w:tc>
          <w:tcPr>
            <w:tcW w:w="1701" w:type="dxa"/>
          </w:tcPr>
          <w:p>
            <w:pPr>
              <w:widowControl w:val="0"/>
              <w:spacing w:before="15" w:after="15"/>
              <w:jc w:val="right"/>
              <w:rPr>
                <w:noProof/>
                <w:sz w:val="20"/>
                <w:szCs w:val="20"/>
              </w:rPr>
            </w:pPr>
            <w:r>
              <w:rPr>
                <w:noProof/>
                <w:sz w:val="20"/>
              </w:rPr>
              <w:t>-900 000</w:t>
            </w:r>
          </w:p>
        </w:tc>
      </w:tr>
      <w:tr>
        <w:tc>
          <w:tcPr>
            <w:tcW w:w="1276" w:type="dxa"/>
          </w:tcPr>
          <w:p>
            <w:pPr>
              <w:widowControl w:val="0"/>
              <w:spacing w:before="15" w:after="15"/>
              <w:ind w:right="-113"/>
              <w:jc w:val="both"/>
              <w:rPr>
                <w:noProof/>
                <w:sz w:val="20"/>
                <w:szCs w:val="20"/>
              </w:rPr>
            </w:pPr>
            <w:r>
              <w:rPr>
                <w:noProof/>
                <w:sz w:val="20"/>
              </w:rPr>
              <w:t>05 08 09</w:t>
            </w:r>
          </w:p>
        </w:tc>
        <w:tc>
          <w:tcPr>
            <w:tcW w:w="4961" w:type="dxa"/>
            <w:vAlign w:val="center"/>
          </w:tcPr>
          <w:p>
            <w:pPr>
              <w:widowControl w:val="0"/>
              <w:tabs>
                <w:tab w:val="left" w:pos="1350"/>
              </w:tabs>
              <w:spacing w:before="15" w:after="15"/>
              <w:rPr>
                <w:noProof/>
                <w:sz w:val="16"/>
                <w:szCs w:val="16"/>
              </w:rPr>
            </w:pPr>
            <w:r>
              <w:rPr>
                <w:noProof/>
                <w:sz w:val="16"/>
              </w:rPr>
              <w:t>Европейски фонд за гарантиране на земеделието (ЕФГЗ) — оперативна техническа помощ</w:t>
            </w:r>
          </w:p>
        </w:tc>
        <w:tc>
          <w:tcPr>
            <w:tcW w:w="1701" w:type="dxa"/>
          </w:tcPr>
          <w:p>
            <w:pPr>
              <w:widowControl w:val="0"/>
              <w:spacing w:before="15" w:after="15"/>
              <w:jc w:val="right"/>
              <w:rPr>
                <w:noProof/>
                <w:sz w:val="20"/>
                <w:szCs w:val="20"/>
              </w:rPr>
            </w:pPr>
            <w:r>
              <w:rPr>
                <w:noProof/>
                <w:sz w:val="20"/>
              </w:rPr>
              <w:t>-1 000 000</w:t>
            </w:r>
          </w:p>
        </w:tc>
        <w:tc>
          <w:tcPr>
            <w:tcW w:w="1701" w:type="dxa"/>
          </w:tcPr>
          <w:p>
            <w:pPr>
              <w:widowControl w:val="0"/>
              <w:spacing w:before="15" w:after="15"/>
              <w:jc w:val="right"/>
              <w:rPr>
                <w:noProof/>
                <w:sz w:val="20"/>
                <w:szCs w:val="20"/>
              </w:rPr>
            </w:pPr>
            <w:r>
              <w:rPr>
                <w:noProof/>
                <w:sz w:val="20"/>
              </w:rPr>
              <w:t>-1 000 000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tcPr>
          <w:p>
            <w:pPr>
              <w:widowControl w:val="0"/>
              <w:spacing w:before="15" w:after="15"/>
              <w:jc w:val="right"/>
              <w:rPr>
                <w:b/>
                <w:noProof/>
                <w:sz w:val="20"/>
                <w:szCs w:val="20"/>
              </w:rPr>
            </w:pPr>
            <w:r>
              <w:rPr>
                <w:b/>
                <w:noProof/>
                <w:sz w:val="20"/>
              </w:rPr>
              <w:t>-1 900 000</w:t>
            </w:r>
          </w:p>
        </w:tc>
        <w:tc>
          <w:tcPr>
            <w:tcW w:w="1701" w:type="dxa"/>
            <w:shd w:val="clear" w:color="auto" w:fill="D9D9D9"/>
          </w:tcPr>
          <w:p>
            <w:pPr>
              <w:widowControl w:val="0"/>
              <w:spacing w:before="15" w:after="15"/>
              <w:jc w:val="right"/>
              <w:rPr>
                <w:b/>
                <w:noProof/>
                <w:sz w:val="20"/>
                <w:szCs w:val="20"/>
              </w:rPr>
            </w:pPr>
            <w:r>
              <w:rPr>
                <w:b/>
                <w:noProof/>
                <w:sz w:val="20"/>
              </w:rPr>
              <w:t>-1 900 000</w:t>
            </w:r>
          </w:p>
        </w:tc>
      </w:tr>
    </w:tbl>
    <w:p>
      <w:pPr>
        <w:tabs>
          <w:tab w:val="left" w:pos="851"/>
        </w:tabs>
        <w:spacing w:before="240"/>
        <w:rPr>
          <w:bCs/>
          <w:i/>
          <w:noProof/>
        </w:rPr>
      </w:pPr>
      <w:r>
        <w:rPr>
          <w:i/>
          <w:noProof/>
        </w:rPr>
        <w:t xml:space="preserve">2.2.4 </w:t>
      </w:r>
      <w:r>
        <w:rPr>
          <w:noProof/>
        </w:rPr>
        <w:tab/>
      </w:r>
      <w:r>
        <w:rPr>
          <w:i/>
          <w:noProof/>
        </w:rPr>
        <w:t>Децентрализирани агенции (ECHA — биоциди)</w:t>
      </w:r>
    </w:p>
    <w:p>
      <w:pPr>
        <w:autoSpaceDE w:val="0"/>
        <w:autoSpaceDN w:val="0"/>
        <w:adjustRightInd w:val="0"/>
        <w:spacing w:before="120" w:after="240"/>
        <w:jc w:val="both"/>
        <w:rPr>
          <w:noProof/>
        </w:rPr>
      </w:pPr>
      <w:r>
        <w:rPr>
          <w:noProof/>
        </w:rPr>
        <w:t>Очаква се приходите от такси от дейности в сферата на биоцидите на Европейската агенция по химикалите (ECHA) в Хелзинки да бъдат по-високи от първоначалните прогнози с 0,6 милиона евро. В резултат на това приносът на бюджета на ЕС може да бъде съответно намален както по отношение на бюджетните кредити за поети задължения, така и по отношение на бюджетните кредити за плащания.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Бюджетен ред</w:t>
            </w:r>
          </w:p>
        </w:tc>
        <w:tc>
          <w:tcPr>
            <w:tcW w:w="4961" w:type="dxa"/>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c>
          <w:tcPr>
            <w:tcW w:w="1276" w:type="dxa"/>
          </w:tcPr>
          <w:p>
            <w:pPr>
              <w:widowControl w:val="0"/>
              <w:spacing w:before="15" w:after="15"/>
              <w:ind w:right="-113"/>
              <w:jc w:val="both"/>
              <w:rPr>
                <w:noProof/>
                <w:sz w:val="20"/>
                <w:szCs w:val="20"/>
              </w:rPr>
            </w:pPr>
            <w:r>
              <w:rPr>
                <w:noProof/>
                <w:sz w:val="20"/>
              </w:rPr>
              <w:t>17 04 07</w:t>
            </w:r>
          </w:p>
        </w:tc>
        <w:tc>
          <w:tcPr>
            <w:tcW w:w="4961" w:type="dxa"/>
          </w:tcPr>
          <w:p>
            <w:pPr>
              <w:widowControl w:val="0"/>
              <w:tabs>
                <w:tab w:val="left" w:pos="1350"/>
              </w:tabs>
              <w:spacing w:before="15" w:after="15"/>
              <w:jc w:val="both"/>
              <w:rPr>
                <w:noProof/>
                <w:sz w:val="16"/>
                <w:szCs w:val="16"/>
              </w:rPr>
            </w:pPr>
            <w:r>
              <w:rPr>
                <w:noProof/>
                <w:sz w:val="16"/>
              </w:rPr>
              <w:t>Европейска агенция по химикалите — Дейности в областта на законодателството за биоцидите</w:t>
            </w:r>
          </w:p>
        </w:tc>
        <w:tc>
          <w:tcPr>
            <w:tcW w:w="1701" w:type="dxa"/>
          </w:tcPr>
          <w:p>
            <w:pPr>
              <w:widowControl w:val="0"/>
              <w:spacing w:before="15" w:after="15"/>
              <w:jc w:val="right"/>
              <w:rPr>
                <w:noProof/>
                <w:sz w:val="20"/>
                <w:szCs w:val="20"/>
                <w:highlight w:val="yellow"/>
              </w:rPr>
            </w:pPr>
            <w:r>
              <w:rPr>
                <w:noProof/>
                <w:sz w:val="20"/>
              </w:rPr>
              <w:t>-560 000</w:t>
            </w:r>
          </w:p>
        </w:tc>
        <w:tc>
          <w:tcPr>
            <w:tcW w:w="1701" w:type="dxa"/>
          </w:tcPr>
          <w:p>
            <w:pPr>
              <w:widowControl w:val="0"/>
              <w:spacing w:before="15" w:after="15"/>
              <w:jc w:val="right"/>
              <w:rPr>
                <w:noProof/>
                <w:sz w:val="20"/>
                <w:szCs w:val="20"/>
                <w:highlight w:val="yellow"/>
              </w:rPr>
            </w:pPr>
            <w:r>
              <w:rPr>
                <w:noProof/>
                <w:sz w:val="20"/>
              </w:rPr>
              <w:t>-560 000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tcPr>
          <w:p>
            <w:pPr>
              <w:widowControl w:val="0"/>
              <w:spacing w:before="15" w:after="15"/>
              <w:jc w:val="right"/>
              <w:rPr>
                <w:b/>
                <w:noProof/>
                <w:sz w:val="20"/>
                <w:szCs w:val="20"/>
              </w:rPr>
            </w:pPr>
            <w:r>
              <w:rPr>
                <w:b/>
                <w:noProof/>
                <w:sz w:val="20"/>
              </w:rPr>
              <w:t>-560 000</w:t>
            </w:r>
          </w:p>
        </w:tc>
        <w:tc>
          <w:tcPr>
            <w:tcW w:w="1701" w:type="dxa"/>
            <w:shd w:val="clear" w:color="auto" w:fill="D9D9D9"/>
          </w:tcPr>
          <w:p>
            <w:pPr>
              <w:widowControl w:val="0"/>
              <w:spacing w:before="15" w:after="15"/>
              <w:jc w:val="right"/>
              <w:rPr>
                <w:b/>
                <w:noProof/>
                <w:sz w:val="20"/>
                <w:szCs w:val="20"/>
              </w:rPr>
            </w:pPr>
            <w:r>
              <w:rPr>
                <w:b/>
                <w:noProof/>
                <w:sz w:val="20"/>
              </w:rPr>
              <w:t>-560 000</w:t>
            </w:r>
          </w:p>
        </w:tc>
      </w:tr>
    </w:tbl>
    <w:p>
      <w:pPr>
        <w:rPr>
          <w:rFonts w:eastAsia="Calibri"/>
          <w:noProof/>
        </w:rPr>
      </w:pPr>
      <w:r>
        <w:rPr>
          <w:noProof/>
        </w:rPr>
        <w:br w:type="page"/>
      </w:r>
    </w:p>
    <w:p>
      <w:pPr>
        <w:keepNext/>
        <w:tabs>
          <w:tab w:val="left" w:pos="850"/>
        </w:tabs>
        <w:spacing w:before="360" w:after="120"/>
        <w:ind w:left="850" w:hanging="850"/>
        <w:jc w:val="both"/>
        <w:outlineLvl w:val="1"/>
        <w:rPr>
          <w:rFonts w:eastAsia="Calibri"/>
          <w:b/>
          <w:noProof/>
        </w:rPr>
      </w:pPr>
      <w:bookmarkStart w:id="36" w:name="_Toc494994374"/>
      <w:bookmarkStart w:id="37" w:name="_Toc496260466"/>
      <w:r>
        <w:rPr>
          <w:b/>
          <w:noProof/>
        </w:rPr>
        <w:t>2.3</w:t>
      </w:r>
      <w:r>
        <w:rPr>
          <w:noProof/>
        </w:rPr>
        <w:tab/>
      </w:r>
      <w:r>
        <w:rPr>
          <w:b/>
          <w:noProof/>
        </w:rPr>
        <w:t>Функция 3 — Сигурност и гражданство</w:t>
      </w:r>
      <w:bookmarkEnd w:id="35"/>
      <w:bookmarkEnd w:id="36"/>
      <w:bookmarkEnd w:id="37"/>
    </w:p>
    <w:p>
      <w:pPr>
        <w:autoSpaceDE w:val="0"/>
        <w:autoSpaceDN w:val="0"/>
        <w:adjustRightInd w:val="0"/>
        <w:spacing w:before="120" w:after="120"/>
        <w:jc w:val="both"/>
        <w:rPr>
          <w:noProof/>
        </w:rPr>
      </w:pPr>
      <w:r>
        <w:rPr>
          <w:noProof/>
        </w:rPr>
        <w:t>Както вече беше посочено в ПКБ № 5/2017</w:t>
      </w:r>
      <w:r>
        <w:rPr>
          <w:rStyle w:val="FootnoteReference"/>
          <w:noProof/>
        </w:rPr>
        <w:footnoteReference w:id="11"/>
      </w:r>
      <w:r>
        <w:rPr>
          <w:noProof/>
        </w:rPr>
        <w:t xml:space="preserve"> и в трансфер DEC 18/2017, националните програми по линия на фонд „Убежище, миграция и интеграция“(ФУМИ) и фонд „Вътрешна сигурност“ (ФВС) стартираха с известно закъснение вследствие на късното приемане на правните основания и определяне на национални органи. Отбелязан е обаче напредък във връзка с изпълнението на програмите на място: декларираните от държавите членки плащания, които са по-ниски от очакванията, не отразяват непременно разходите на бенефициерите.</w:t>
      </w:r>
    </w:p>
    <w:p>
      <w:pPr>
        <w:autoSpaceDE w:val="0"/>
        <w:autoSpaceDN w:val="0"/>
        <w:adjustRightInd w:val="0"/>
        <w:spacing w:before="120" w:after="120"/>
        <w:jc w:val="both"/>
        <w:rPr>
          <w:noProof/>
        </w:rPr>
      </w:pPr>
      <w:r>
        <w:rPr>
          <w:noProof/>
        </w:rPr>
        <w:t xml:space="preserve">Освен това както по отношение на ФУМИ, така и на ФВС в края на 2016 г. Комисията успя да извърши значителни плащания по приключването на предходните програми за периода 2007—2013 г. В резултат на това неизплатените суми, които трябва да бъдат платени през 2017 г., бяха намалени и свързаните с тях бюджетни кредити за плащания могат да бъдат съответно намалени. </w:t>
      </w:r>
    </w:p>
    <w:p>
      <w:pPr>
        <w:tabs>
          <w:tab w:val="left" w:pos="851"/>
        </w:tabs>
        <w:spacing w:before="240"/>
        <w:rPr>
          <w:bCs/>
          <w:i/>
          <w:noProof/>
        </w:rPr>
      </w:pPr>
      <w:r>
        <w:rPr>
          <w:i/>
          <w:noProof/>
        </w:rPr>
        <w:t xml:space="preserve">2.3.1 </w:t>
      </w:r>
      <w:r>
        <w:rPr>
          <w:noProof/>
        </w:rPr>
        <w:tab/>
      </w:r>
      <w:r>
        <w:rPr>
          <w:i/>
          <w:noProof/>
        </w:rPr>
        <w:t xml:space="preserve">Фонд „Убежище, миграция и интеграция“ (ФУМИ) </w:t>
      </w:r>
    </w:p>
    <w:p>
      <w:pPr>
        <w:spacing w:before="120" w:after="240"/>
        <w:jc w:val="both"/>
        <w:rPr>
          <w:noProof/>
        </w:rPr>
      </w:pPr>
      <w:r>
        <w:rPr>
          <w:noProof/>
        </w:rPr>
        <w:t>Към изложените по-горе съображения може да се добави фактът, че за предложеното намаление на плащанията е взето предвид прилагането на двете схеми за преместване в рамките на ФУМИ, което е по-бавно от предвиденото първоначално. Това води до деклариране на по-ниски разходи в годишните отчети на държавите членки.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559"/>
      </w:tblGrid>
      <w:tr>
        <w:trPr>
          <w:tblHeader/>
        </w:trPr>
        <w:tc>
          <w:tcPr>
            <w:tcW w:w="1276" w:type="dxa"/>
            <w:shd w:val="clear" w:color="auto" w:fill="D9D9D9"/>
            <w:vAlign w:val="center"/>
          </w:tcPr>
          <w:p>
            <w:pPr>
              <w:widowControl w:val="0"/>
              <w:spacing w:before="15" w:after="15"/>
              <w:jc w:val="center"/>
              <w:rPr>
                <w:b/>
                <w:noProof/>
                <w:sz w:val="20"/>
                <w:szCs w:val="20"/>
              </w:rPr>
            </w:pPr>
            <w:r>
              <w:rPr>
                <w:b/>
                <w:noProof/>
                <w:sz w:val="20"/>
              </w:rPr>
              <w:t>Бюджетен ред</w:t>
            </w:r>
          </w:p>
        </w:tc>
        <w:tc>
          <w:tcPr>
            <w:tcW w:w="6521" w:type="dxa"/>
            <w:shd w:val="clear" w:color="auto" w:fill="D9D9D9"/>
            <w:vAlign w:val="center"/>
          </w:tcPr>
          <w:p>
            <w:pPr>
              <w:widowControl w:val="0"/>
              <w:spacing w:before="15" w:after="15"/>
              <w:jc w:val="center"/>
              <w:rPr>
                <w:b/>
                <w:noProof/>
                <w:sz w:val="20"/>
                <w:szCs w:val="20"/>
              </w:rPr>
            </w:pPr>
            <w:r>
              <w:rPr>
                <w:b/>
                <w:noProof/>
                <w:sz w:val="20"/>
              </w:rPr>
              <w:t>Наименование</w:t>
            </w:r>
          </w:p>
        </w:tc>
        <w:tc>
          <w:tcPr>
            <w:tcW w:w="1559" w:type="dxa"/>
            <w:shd w:val="clear" w:color="auto" w:fill="D9D9D9"/>
          </w:tcPr>
          <w:p>
            <w:pPr>
              <w:widowControl w:val="0"/>
              <w:spacing w:before="15" w:after="15"/>
              <w:jc w:val="center"/>
              <w:rPr>
                <w:b/>
                <w:noProof/>
                <w:sz w:val="20"/>
                <w:szCs w:val="20"/>
              </w:rPr>
            </w:pPr>
            <w:r>
              <w:rPr>
                <w:b/>
                <w:noProof/>
                <w:sz w:val="20"/>
              </w:rPr>
              <w:t>Бюджетни кредити за плащания</w:t>
            </w:r>
          </w:p>
        </w:tc>
      </w:tr>
      <w:tr>
        <w:tc>
          <w:tcPr>
            <w:tcW w:w="1276" w:type="dxa"/>
            <w:vAlign w:val="center"/>
          </w:tcPr>
          <w:p>
            <w:pPr>
              <w:widowControl w:val="0"/>
              <w:spacing w:before="15" w:after="15"/>
              <w:ind w:right="-113"/>
              <w:jc w:val="both"/>
              <w:rPr>
                <w:noProof/>
                <w:sz w:val="20"/>
                <w:szCs w:val="20"/>
              </w:rPr>
            </w:pPr>
            <w:r>
              <w:rPr>
                <w:noProof/>
                <w:sz w:val="20"/>
              </w:rPr>
              <w:t>18 03 01 01</w:t>
            </w:r>
          </w:p>
        </w:tc>
        <w:tc>
          <w:tcPr>
            <w:tcW w:w="6521" w:type="dxa"/>
            <w:vAlign w:val="center"/>
          </w:tcPr>
          <w:p>
            <w:pPr>
              <w:widowControl w:val="0"/>
              <w:tabs>
                <w:tab w:val="left" w:pos="1350"/>
              </w:tabs>
              <w:spacing w:before="15" w:after="15"/>
              <w:jc w:val="both"/>
              <w:rPr>
                <w:noProof/>
                <w:sz w:val="16"/>
                <w:szCs w:val="16"/>
              </w:rPr>
            </w:pPr>
            <w:r>
              <w:rPr>
                <w:noProof/>
                <w:sz w:val="16"/>
              </w:rPr>
              <w:t>Укрепване и развиване на Общата европейска система за убежище и увеличаване на солидарността и споделянето на отговорност между държавите членки</w:t>
            </w:r>
          </w:p>
        </w:tc>
        <w:tc>
          <w:tcPr>
            <w:tcW w:w="1559" w:type="dxa"/>
            <w:vAlign w:val="center"/>
          </w:tcPr>
          <w:p>
            <w:pPr>
              <w:widowControl w:val="0"/>
              <w:spacing w:before="15" w:after="15"/>
              <w:jc w:val="right"/>
              <w:rPr>
                <w:noProof/>
                <w:sz w:val="20"/>
                <w:szCs w:val="20"/>
              </w:rPr>
            </w:pPr>
            <w:r>
              <w:rPr>
                <w:noProof/>
                <w:sz w:val="20"/>
              </w:rPr>
              <w:t>-118 000 000</w:t>
            </w:r>
          </w:p>
        </w:tc>
      </w:tr>
      <w:tr>
        <w:tc>
          <w:tcPr>
            <w:tcW w:w="1276" w:type="dxa"/>
            <w:vAlign w:val="center"/>
          </w:tcPr>
          <w:p>
            <w:pPr>
              <w:widowControl w:val="0"/>
              <w:spacing w:before="15" w:after="15"/>
              <w:ind w:right="-113"/>
              <w:jc w:val="both"/>
              <w:rPr>
                <w:noProof/>
                <w:sz w:val="20"/>
                <w:szCs w:val="20"/>
              </w:rPr>
            </w:pPr>
            <w:r>
              <w:rPr>
                <w:noProof/>
                <w:sz w:val="20"/>
              </w:rPr>
              <w:t>18 03 01 02</w:t>
            </w:r>
          </w:p>
        </w:tc>
        <w:tc>
          <w:tcPr>
            <w:tcW w:w="6521" w:type="dxa"/>
            <w:vAlign w:val="center"/>
          </w:tcPr>
          <w:p>
            <w:pPr>
              <w:widowControl w:val="0"/>
              <w:tabs>
                <w:tab w:val="left" w:pos="1350"/>
              </w:tabs>
              <w:spacing w:before="15" w:after="15"/>
              <w:jc w:val="both"/>
              <w:rPr>
                <w:noProof/>
                <w:sz w:val="16"/>
                <w:szCs w:val="16"/>
              </w:rPr>
            </w:pPr>
            <w:r>
              <w:rPr>
                <w:noProof/>
                <w:sz w:val="16"/>
              </w:rPr>
              <w:t>Подкрепяне на законната миграция към Съюза, насърчаване на ефективното интегриране на граждани на трети държави и засилване на справедливите и ефикасни стратегии за връщане</w:t>
            </w:r>
          </w:p>
        </w:tc>
        <w:tc>
          <w:tcPr>
            <w:tcW w:w="1559" w:type="dxa"/>
            <w:vAlign w:val="center"/>
          </w:tcPr>
          <w:p>
            <w:pPr>
              <w:widowControl w:val="0"/>
              <w:spacing w:before="15" w:after="15"/>
              <w:jc w:val="right"/>
              <w:rPr>
                <w:noProof/>
                <w:sz w:val="20"/>
                <w:szCs w:val="20"/>
              </w:rPr>
            </w:pPr>
            <w:r>
              <w:rPr>
                <w:noProof/>
                <w:sz w:val="20"/>
              </w:rPr>
              <w:t>-8 000 000</w:t>
            </w:r>
          </w:p>
        </w:tc>
      </w:tr>
      <w:tr>
        <w:tc>
          <w:tcPr>
            <w:tcW w:w="1276" w:type="dxa"/>
            <w:vAlign w:val="center"/>
          </w:tcPr>
          <w:p>
            <w:pPr>
              <w:widowControl w:val="0"/>
              <w:spacing w:before="15" w:after="15"/>
              <w:ind w:right="-113"/>
              <w:jc w:val="both"/>
              <w:rPr>
                <w:noProof/>
                <w:sz w:val="20"/>
                <w:szCs w:val="20"/>
              </w:rPr>
            </w:pPr>
            <w:r>
              <w:rPr>
                <w:noProof/>
                <w:sz w:val="20"/>
              </w:rPr>
              <w:t>18 03 51</w:t>
            </w:r>
          </w:p>
        </w:tc>
        <w:tc>
          <w:tcPr>
            <w:tcW w:w="6521" w:type="dxa"/>
            <w:vAlign w:val="center"/>
          </w:tcPr>
          <w:p>
            <w:pPr>
              <w:widowControl w:val="0"/>
              <w:tabs>
                <w:tab w:val="left" w:pos="1350"/>
              </w:tabs>
              <w:spacing w:before="15" w:after="15"/>
              <w:jc w:val="both"/>
              <w:rPr>
                <w:noProof/>
                <w:sz w:val="16"/>
                <w:szCs w:val="16"/>
              </w:rPr>
            </w:pPr>
            <w:r>
              <w:rPr>
                <w:noProof/>
                <w:sz w:val="16"/>
              </w:rPr>
              <w:t>Приключване на операциите и програмите в областта на връщането, бежанците и миграционните потоци</w:t>
            </w:r>
          </w:p>
        </w:tc>
        <w:tc>
          <w:tcPr>
            <w:tcW w:w="1559" w:type="dxa"/>
            <w:vAlign w:val="center"/>
          </w:tcPr>
          <w:p>
            <w:pPr>
              <w:widowControl w:val="0"/>
              <w:spacing w:before="15" w:after="15"/>
              <w:jc w:val="right"/>
              <w:rPr>
                <w:noProof/>
                <w:sz w:val="20"/>
                <w:szCs w:val="20"/>
              </w:rPr>
            </w:pPr>
            <w:r>
              <w:rPr>
                <w:noProof/>
                <w:sz w:val="20"/>
              </w:rPr>
              <w:t>-31 500 000</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559" w:type="dxa"/>
            <w:shd w:val="clear" w:color="auto" w:fill="D9D9D9"/>
          </w:tcPr>
          <w:p>
            <w:pPr>
              <w:widowControl w:val="0"/>
              <w:spacing w:before="15" w:after="15"/>
              <w:jc w:val="right"/>
              <w:rPr>
                <w:b/>
                <w:noProof/>
                <w:sz w:val="20"/>
                <w:szCs w:val="20"/>
              </w:rPr>
            </w:pPr>
            <w:r>
              <w:rPr>
                <w:b/>
                <w:noProof/>
                <w:sz w:val="20"/>
              </w:rPr>
              <w:t>-157 500 000</w:t>
            </w:r>
          </w:p>
        </w:tc>
      </w:tr>
    </w:tbl>
    <w:p>
      <w:pPr>
        <w:tabs>
          <w:tab w:val="left" w:pos="851"/>
        </w:tabs>
        <w:spacing w:before="240"/>
        <w:rPr>
          <w:bCs/>
          <w:i/>
          <w:noProof/>
        </w:rPr>
      </w:pPr>
      <w:bookmarkStart w:id="38" w:name="_Toc462410054"/>
      <w:r>
        <w:rPr>
          <w:i/>
          <w:noProof/>
        </w:rPr>
        <w:t xml:space="preserve">2.3.2 </w:t>
      </w:r>
      <w:r>
        <w:rPr>
          <w:noProof/>
        </w:rPr>
        <w:tab/>
      </w:r>
      <w:r>
        <w:rPr>
          <w:i/>
          <w:noProof/>
        </w:rPr>
        <w:t>Фонд „Вътрешна сигурност“ (ФВС)</w:t>
      </w:r>
    </w:p>
    <w:p>
      <w:pPr>
        <w:autoSpaceDE w:val="0"/>
        <w:autoSpaceDN w:val="0"/>
        <w:adjustRightInd w:val="0"/>
        <w:spacing w:before="120" w:after="240"/>
        <w:jc w:val="both"/>
        <w:rPr>
          <w:noProof/>
        </w:rPr>
      </w:pPr>
      <w:r>
        <w:rPr>
          <w:noProof/>
        </w:rPr>
        <w:t>Намаляването на плащанията за фонд „Вътрешна сигурност“ се дължи на забавеното изпълнение на националните програми (както е обяснено по-горе), както и на закъснението в приемането на новата Система за влизане/излизане. Очаква се Регламентът за създаване на Система за влизане/излизане да влезе в сила през ноември 2017 г., след като през юли беше постигнато политическо споразумение. Вследствие на това Комисията възнамерява да прехвърли бюджетни кредити за поети задължения (на стойност 40 милиона евро), които понастоящем са в резерв, в съответствие с член 13, параграф 2, буква б) от Финансовия регламент. Предлага се съответните бюджетни кредити за плащания да бъдат освободени.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Бюджетен ред</w:t>
            </w:r>
          </w:p>
        </w:tc>
        <w:tc>
          <w:tcPr>
            <w:tcW w:w="6521" w:type="dxa"/>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c>
          <w:tcPr>
            <w:tcW w:w="1276" w:type="dxa"/>
            <w:vAlign w:val="center"/>
          </w:tcPr>
          <w:p>
            <w:pPr>
              <w:widowControl w:val="0"/>
              <w:spacing w:before="15" w:after="15"/>
              <w:ind w:right="-113"/>
              <w:jc w:val="both"/>
              <w:rPr>
                <w:noProof/>
                <w:sz w:val="20"/>
                <w:szCs w:val="20"/>
              </w:rPr>
            </w:pPr>
            <w:r>
              <w:rPr>
                <w:noProof/>
                <w:sz w:val="20"/>
              </w:rPr>
              <w:t>18 02 01 01</w:t>
            </w:r>
          </w:p>
        </w:tc>
        <w:tc>
          <w:tcPr>
            <w:tcW w:w="6521" w:type="dxa"/>
            <w:vAlign w:val="center"/>
          </w:tcPr>
          <w:p>
            <w:pPr>
              <w:rPr>
                <w:noProof/>
              </w:rPr>
            </w:pPr>
            <w:r>
              <w:rPr>
                <w:noProof/>
                <w:sz w:val="16"/>
              </w:rPr>
              <w:t>Подкрепа за управлението на границата и обща визова политика за улесняване на законното пътуване</w:t>
            </w:r>
          </w:p>
        </w:tc>
        <w:tc>
          <w:tcPr>
            <w:tcW w:w="1701" w:type="dxa"/>
            <w:vAlign w:val="center"/>
          </w:tcPr>
          <w:p>
            <w:pPr>
              <w:widowControl w:val="0"/>
              <w:spacing w:before="15" w:after="15"/>
              <w:jc w:val="right"/>
              <w:rPr>
                <w:noProof/>
                <w:sz w:val="20"/>
                <w:szCs w:val="20"/>
              </w:rPr>
            </w:pPr>
            <w:r>
              <w:rPr>
                <w:noProof/>
                <w:sz w:val="20"/>
              </w:rPr>
              <w:t>-84 000 000</w:t>
            </w:r>
          </w:p>
        </w:tc>
      </w:tr>
      <w:tr>
        <w:tc>
          <w:tcPr>
            <w:tcW w:w="1276" w:type="dxa"/>
            <w:vAlign w:val="center"/>
          </w:tcPr>
          <w:p>
            <w:pPr>
              <w:widowControl w:val="0"/>
              <w:spacing w:before="15" w:after="15"/>
              <w:ind w:right="-113"/>
              <w:jc w:val="both"/>
              <w:rPr>
                <w:noProof/>
                <w:sz w:val="20"/>
                <w:szCs w:val="20"/>
              </w:rPr>
            </w:pPr>
            <w:r>
              <w:rPr>
                <w:noProof/>
                <w:sz w:val="20"/>
              </w:rPr>
              <w:t>18 02 01 02</w:t>
            </w:r>
          </w:p>
        </w:tc>
        <w:tc>
          <w:tcPr>
            <w:tcW w:w="6521" w:type="dxa"/>
            <w:vAlign w:val="center"/>
          </w:tcPr>
          <w:p>
            <w:pPr>
              <w:rPr>
                <w:noProof/>
              </w:rPr>
            </w:pPr>
            <w:r>
              <w:rPr>
                <w:noProof/>
                <w:sz w:val="16"/>
              </w:rPr>
              <w:t>Предотвратяване на трансграничната организирана престъпност и борба с нея и по-добро управление на рисковете и кризите, свързани със сигурността</w:t>
            </w:r>
          </w:p>
        </w:tc>
        <w:tc>
          <w:tcPr>
            <w:tcW w:w="1701" w:type="dxa"/>
            <w:vAlign w:val="center"/>
          </w:tcPr>
          <w:p>
            <w:pPr>
              <w:widowControl w:val="0"/>
              <w:spacing w:before="15" w:after="15"/>
              <w:jc w:val="right"/>
              <w:rPr>
                <w:noProof/>
                <w:sz w:val="20"/>
                <w:szCs w:val="20"/>
              </w:rPr>
            </w:pPr>
            <w:r>
              <w:rPr>
                <w:noProof/>
                <w:sz w:val="20"/>
              </w:rPr>
              <w:t>-8 700 000</w:t>
            </w:r>
          </w:p>
        </w:tc>
      </w:tr>
      <w:tr>
        <w:tc>
          <w:tcPr>
            <w:tcW w:w="1276" w:type="dxa"/>
            <w:vAlign w:val="center"/>
          </w:tcPr>
          <w:p>
            <w:pPr>
              <w:widowControl w:val="0"/>
              <w:spacing w:before="15" w:after="15"/>
              <w:ind w:right="-113"/>
              <w:jc w:val="both"/>
              <w:rPr>
                <w:noProof/>
                <w:sz w:val="20"/>
                <w:szCs w:val="20"/>
              </w:rPr>
            </w:pPr>
            <w:r>
              <w:rPr>
                <w:noProof/>
                <w:sz w:val="20"/>
              </w:rPr>
              <w:t>18 02 51</w:t>
            </w:r>
          </w:p>
        </w:tc>
        <w:tc>
          <w:tcPr>
            <w:tcW w:w="6521" w:type="dxa"/>
            <w:vAlign w:val="center"/>
          </w:tcPr>
          <w:p>
            <w:pPr>
              <w:rPr>
                <w:noProof/>
              </w:rPr>
            </w:pPr>
            <w:r>
              <w:rPr>
                <w:noProof/>
                <w:sz w:val="16"/>
              </w:rPr>
              <w:t>Завършване на операциите и програмите в областта на външните граници, сигурността и гарантирането на свободите</w:t>
            </w:r>
          </w:p>
        </w:tc>
        <w:tc>
          <w:tcPr>
            <w:tcW w:w="1701" w:type="dxa"/>
            <w:vAlign w:val="center"/>
          </w:tcPr>
          <w:p>
            <w:pPr>
              <w:widowControl w:val="0"/>
              <w:spacing w:before="15" w:after="15"/>
              <w:jc w:val="right"/>
              <w:rPr>
                <w:noProof/>
                <w:sz w:val="20"/>
                <w:szCs w:val="20"/>
              </w:rPr>
            </w:pPr>
            <w:r>
              <w:rPr>
                <w:noProof/>
                <w:sz w:val="20"/>
              </w:rPr>
              <w:t>-9 450 000</w:t>
            </w:r>
          </w:p>
        </w:tc>
      </w:tr>
      <w:tr>
        <w:tc>
          <w:tcPr>
            <w:tcW w:w="1276" w:type="dxa"/>
            <w:vAlign w:val="center"/>
          </w:tcPr>
          <w:p>
            <w:pPr>
              <w:widowControl w:val="0"/>
              <w:spacing w:before="15" w:after="15"/>
              <w:ind w:right="-113"/>
              <w:jc w:val="both"/>
              <w:rPr>
                <w:noProof/>
                <w:sz w:val="20"/>
                <w:szCs w:val="20"/>
              </w:rPr>
            </w:pPr>
            <w:r>
              <w:rPr>
                <w:noProof/>
                <w:sz w:val="20"/>
              </w:rPr>
              <w:t>40 02 41</w:t>
            </w:r>
          </w:p>
        </w:tc>
        <w:tc>
          <w:tcPr>
            <w:tcW w:w="6521" w:type="dxa"/>
            <w:vAlign w:val="center"/>
          </w:tcPr>
          <w:p>
            <w:pPr>
              <w:rPr>
                <w:noProof/>
              </w:rPr>
            </w:pPr>
            <w:r>
              <w:rPr>
                <w:noProof/>
                <w:sz w:val="16"/>
              </w:rPr>
              <w:t>Многогодишни бюджетни кредити (</w:t>
            </w:r>
            <w:r>
              <w:rPr>
                <w:i/>
                <w:noProof/>
                <w:sz w:val="16"/>
              </w:rPr>
              <w:t>Резерв за бюджетна позиция 18 02 01 03 — Създаване на Система за влизане/излизане (СВИ) с цел регистриране на данните относно влизането и излизането и данните относно отказа за влизане на граждани на трети държави, преминаващи външните граници на държавите – членки на Европейския съюз</w:t>
            </w:r>
            <w:r>
              <w:rPr>
                <w:noProof/>
                <w:sz w:val="16"/>
              </w:rPr>
              <w:t>)</w:t>
            </w:r>
          </w:p>
        </w:tc>
        <w:tc>
          <w:tcPr>
            <w:tcW w:w="1701" w:type="dxa"/>
            <w:vAlign w:val="center"/>
          </w:tcPr>
          <w:p>
            <w:pPr>
              <w:widowControl w:val="0"/>
              <w:spacing w:before="15" w:after="15"/>
              <w:jc w:val="right"/>
              <w:rPr>
                <w:noProof/>
                <w:sz w:val="20"/>
                <w:szCs w:val="20"/>
                <w:highlight w:val="yellow"/>
              </w:rPr>
            </w:pPr>
            <w:r>
              <w:rPr>
                <w:noProof/>
                <w:sz w:val="20"/>
              </w:rPr>
              <w:t>-28 000 000</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tcPr>
          <w:p>
            <w:pPr>
              <w:widowControl w:val="0"/>
              <w:spacing w:before="15" w:after="15"/>
              <w:jc w:val="right"/>
              <w:rPr>
                <w:b/>
                <w:noProof/>
                <w:sz w:val="20"/>
                <w:szCs w:val="20"/>
              </w:rPr>
            </w:pPr>
            <w:r>
              <w:rPr>
                <w:b/>
                <w:noProof/>
                <w:sz w:val="20"/>
              </w:rPr>
              <w:t>-130 150 000</w:t>
            </w:r>
          </w:p>
        </w:tc>
      </w:tr>
    </w:tbl>
    <w:p>
      <w:pPr>
        <w:rPr>
          <w:rFonts w:eastAsia="Calibri"/>
          <w:noProof/>
        </w:rPr>
      </w:pPr>
      <w:r>
        <w:rPr>
          <w:noProof/>
        </w:rPr>
        <w:br w:type="page"/>
      </w:r>
    </w:p>
    <w:p>
      <w:pPr>
        <w:keepNext/>
        <w:tabs>
          <w:tab w:val="left" w:pos="850"/>
        </w:tabs>
        <w:spacing w:before="360" w:after="120"/>
        <w:ind w:left="850" w:hanging="850"/>
        <w:jc w:val="both"/>
        <w:outlineLvl w:val="1"/>
        <w:rPr>
          <w:rFonts w:eastAsia="Calibri"/>
          <w:b/>
          <w:noProof/>
        </w:rPr>
      </w:pPr>
      <w:bookmarkStart w:id="39" w:name="_Toc494994375"/>
      <w:bookmarkStart w:id="40" w:name="_Toc496260467"/>
      <w:r>
        <w:rPr>
          <w:b/>
          <w:noProof/>
        </w:rPr>
        <w:t>2.4</w:t>
      </w:r>
      <w:r>
        <w:rPr>
          <w:noProof/>
        </w:rPr>
        <w:tab/>
      </w:r>
      <w:bookmarkEnd w:id="38"/>
      <w:r>
        <w:rPr>
          <w:b/>
          <w:noProof/>
        </w:rPr>
        <w:t>Функция 4 — Глобална Европа</w:t>
      </w:r>
      <w:bookmarkEnd w:id="39"/>
      <w:bookmarkEnd w:id="40"/>
    </w:p>
    <w:bookmarkEnd w:id="24"/>
    <w:bookmarkEnd w:id="25"/>
    <w:p>
      <w:pPr>
        <w:tabs>
          <w:tab w:val="left" w:pos="851"/>
        </w:tabs>
        <w:spacing w:before="240"/>
        <w:rPr>
          <w:bCs/>
          <w:i/>
          <w:noProof/>
        </w:rPr>
      </w:pPr>
      <w:r>
        <w:rPr>
          <w:i/>
          <w:noProof/>
        </w:rPr>
        <w:t xml:space="preserve">2.4.1 </w:t>
      </w:r>
      <w:r>
        <w:rPr>
          <w:noProof/>
        </w:rPr>
        <w:tab/>
      </w:r>
      <w:r>
        <w:rPr>
          <w:i/>
          <w:noProof/>
        </w:rPr>
        <w:t>Инструмент за предприсъединителна помощ (ИПП II)</w:t>
      </w:r>
    </w:p>
    <w:p>
      <w:pPr>
        <w:autoSpaceDE w:val="0"/>
        <w:autoSpaceDN w:val="0"/>
        <w:adjustRightInd w:val="0"/>
        <w:spacing w:before="120" w:after="120"/>
        <w:jc w:val="both"/>
        <w:rPr>
          <w:noProof/>
        </w:rPr>
      </w:pPr>
      <w:r>
        <w:rPr>
          <w:noProof/>
        </w:rPr>
        <w:t>Предлага се намаление с обща сума в размер на 268,1 милиона евро бюджетни кредити за плащания, установени по няколко бюджетни реда за ИПП. Около 113 милиона евро са следствие от по-ниските нужди от плащания по линия на Механизма за бежанците в Турция вследствие на сложните преговори относно някои големи инфраструктурни проекти и произтичащите от това договорни закъснения. Останалият излишък в дял 22 се дължи на закъсненията при договарянето или изпълнението на договорите в Западните Балкани и Турция.</w:t>
      </w:r>
    </w:p>
    <w:p>
      <w:pPr>
        <w:autoSpaceDE w:val="0"/>
        <w:autoSpaceDN w:val="0"/>
        <w:adjustRightInd w:val="0"/>
        <w:spacing w:before="120" w:after="240"/>
        <w:jc w:val="both"/>
        <w:rPr>
          <w:noProof/>
        </w:rPr>
      </w:pPr>
      <w:r>
        <w:rPr>
          <w:noProof/>
        </w:rPr>
        <w:t>Бюджетните кредити за плащания също надвишават преразгледаните нужди в областта на трансграничното сътрудничество в дял 13 основно вследствие на резкия спад в актуализирана прогноза, представена от засегнатите държави, в сравнение с прогнозата, на която се основава бюджетът за 2017 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701"/>
      </w:tblGrid>
      <w:tr>
        <w:trPr>
          <w:tblHeader/>
        </w:trPr>
        <w:tc>
          <w:tcPr>
            <w:tcW w:w="1276" w:type="dxa"/>
            <w:shd w:val="clear" w:color="auto" w:fill="D9D9D9"/>
            <w:vAlign w:val="center"/>
          </w:tcPr>
          <w:p>
            <w:pPr>
              <w:widowControl w:val="0"/>
              <w:spacing w:before="15" w:after="15"/>
              <w:jc w:val="center"/>
              <w:rPr>
                <w:b/>
                <w:noProof/>
                <w:sz w:val="20"/>
                <w:szCs w:val="20"/>
              </w:rPr>
            </w:pPr>
            <w:r>
              <w:rPr>
                <w:b/>
                <w:noProof/>
                <w:sz w:val="20"/>
              </w:rPr>
              <w:t>Бюджетен ред</w:t>
            </w:r>
          </w:p>
        </w:tc>
        <w:tc>
          <w:tcPr>
            <w:tcW w:w="6521" w:type="dxa"/>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c>
          <w:tcPr>
            <w:tcW w:w="1276" w:type="dxa"/>
            <w:vAlign w:val="center"/>
          </w:tcPr>
          <w:p>
            <w:pPr>
              <w:widowControl w:val="0"/>
              <w:spacing w:before="15" w:after="15"/>
              <w:ind w:right="-113"/>
              <w:jc w:val="both"/>
              <w:rPr>
                <w:noProof/>
                <w:sz w:val="20"/>
                <w:szCs w:val="20"/>
              </w:rPr>
            </w:pPr>
            <w:r>
              <w:rPr>
                <w:noProof/>
                <w:sz w:val="20"/>
              </w:rPr>
              <w:t>13 05 02</w:t>
            </w:r>
          </w:p>
        </w:tc>
        <w:tc>
          <w:tcPr>
            <w:tcW w:w="6521" w:type="dxa"/>
            <w:vAlign w:val="center"/>
          </w:tcPr>
          <w:p>
            <w:pPr>
              <w:rPr>
                <w:bCs/>
                <w:iCs/>
                <w:noProof/>
                <w:sz w:val="16"/>
                <w:szCs w:val="16"/>
              </w:rPr>
            </w:pPr>
            <w:r>
              <w:rPr>
                <w:noProof/>
                <w:sz w:val="16"/>
              </w:rPr>
              <w:t>Инструмент за предприсъединителна помощ (ИПП) — Приключване на компонент „Регионално развитие“ (2007—2013 г.)</w:t>
            </w:r>
          </w:p>
        </w:tc>
        <w:tc>
          <w:tcPr>
            <w:tcW w:w="1701" w:type="dxa"/>
            <w:vAlign w:val="center"/>
          </w:tcPr>
          <w:p>
            <w:pPr>
              <w:widowControl w:val="0"/>
              <w:spacing w:before="15" w:after="15"/>
              <w:jc w:val="right"/>
              <w:rPr>
                <w:noProof/>
                <w:sz w:val="20"/>
                <w:szCs w:val="20"/>
              </w:rPr>
            </w:pPr>
            <w:r>
              <w:rPr>
                <w:noProof/>
                <w:sz w:val="20"/>
              </w:rPr>
              <w:t>-9 473 967</w:t>
            </w:r>
          </w:p>
        </w:tc>
      </w:tr>
      <w:tr>
        <w:tc>
          <w:tcPr>
            <w:tcW w:w="1276" w:type="dxa"/>
            <w:vAlign w:val="center"/>
          </w:tcPr>
          <w:p>
            <w:pPr>
              <w:widowControl w:val="0"/>
              <w:spacing w:before="15" w:after="15"/>
              <w:ind w:right="-113"/>
              <w:jc w:val="both"/>
              <w:rPr>
                <w:noProof/>
                <w:sz w:val="20"/>
                <w:szCs w:val="20"/>
              </w:rPr>
            </w:pPr>
            <w:r>
              <w:rPr>
                <w:noProof/>
                <w:sz w:val="20"/>
              </w:rPr>
              <w:t>13 05 63 02</w:t>
            </w:r>
          </w:p>
        </w:tc>
        <w:tc>
          <w:tcPr>
            <w:tcW w:w="6521" w:type="dxa"/>
            <w:vAlign w:val="center"/>
          </w:tcPr>
          <w:p>
            <w:pPr>
              <w:rPr>
                <w:bCs/>
                <w:iCs/>
                <w:noProof/>
                <w:sz w:val="16"/>
                <w:szCs w:val="16"/>
              </w:rPr>
            </w:pPr>
            <w:r>
              <w:rPr>
                <w:noProof/>
                <w:sz w:val="16"/>
              </w:rPr>
              <w:t>Трансгранично сътрудничество (ТГС) — вноска от бюджетен ред 4</w:t>
            </w:r>
          </w:p>
        </w:tc>
        <w:tc>
          <w:tcPr>
            <w:tcW w:w="1701" w:type="dxa"/>
            <w:vAlign w:val="center"/>
          </w:tcPr>
          <w:p>
            <w:pPr>
              <w:widowControl w:val="0"/>
              <w:spacing w:before="15" w:after="15"/>
              <w:jc w:val="right"/>
              <w:rPr>
                <w:noProof/>
                <w:sz w:val="20"/>
                <w:szCs w:val="20"/>
              </w:rPr>
            </w:pPr>
            <w:r>
              <w:rPr>
                <w:noProof/>
                <w:sz w:val="20"/>
              </w:rPr>
              <w:t>-21 988 054</w:t>
            </w:r>
          </w:p>
        </w:tc>
      </w:tr>
      <w:tr>
        <w:tc>
          <w:tcPr>
            <w:tcW w:w="1276" w:type="dxa"/>
            <w:vAlign w:val="center"/>
          </w:tcPr>
          <w:p>
            <w:pPr>
              <w:widowControl w:val="0"/>
              <w:spacing w:before="15" w:after="15"/>
              <w:ind w:right="-113"/>
              <w:jc w:val="both"/>
              <w:rPr>
                <w:noProof/>
                <w:sz w:val="20"/>
                <w:szCs w:val="20"/>
              </w:rPr>
            </w:pPr>
            <w:r>
              <w:rPr>
                <w:noProof/>
                <w:sz w:val="20"/>
              </w:rPr>
              <w:t>22 02 01 01</w:t>
            </w:r>
          </w:p>
        </w:tc>
        <w:tc>
          <w:tcPr>
            <w:tcW w:w="6521" w:type="dxa"/>
            <w:vAlign w:val="center"/>
          </w:tcPr>
          <w:p>
            <w:pPr>
              <w:rPr>
                <w:bCs/>
                <w:iCs/>
                <w:noProof/>
                <w:sz w:val="16"/>
                <w:szCs w:val="16"/>
              </w:rPr>
            </w:pPr>
            <w:r>
              <w:rPr>
                <w:noProof/>
                <w:sz w:val="16"/>
              </w:rPr>
              <w:t>Подкрепа за политическите реформи, както и за постепенното привеждане в съответствие с достиженията на правото на ЕС</w:t>
            </w:r>
          </w:p>
        </w:tc>
        <w:tc>
          <w:tcPr>
            <w:tcW w:w="1701" w:type="dxa"/>
            <w:vAlign w:val="center"/>
          </w:tcPr>
          <w:p>
            <w:pPr>
              <w:widowControl w:val="0"/>
              <w:spacing w:before="15" w:after="15"/>
              <w:jc w:val="right"/>
              <w:rPr>
                <w:noProof/>
                <w:sz w:val="20"/>
                <w:szCs w:val="20"/>
              </w:rPr>
            </w:pPr>
            <w:r>
              <w:rPr>
                <w:noProof/>
                <w:sz w:val="20"/>
              </w:rPr>
              <w:t>-74 886 680</w:t>
            </w:r>
          </w:p>
        </w:tc>
      </w:tr>
      <w:tr>
        <w:tc>
          <w:tcPr>
            <w:tcW w:w="1276" w:type="dxa"/>
            <w:vAlign w:val="center"/>
          </w:tcPr>
          <w:p>
            <w:pPr>
              <w:widowControl w:val="0"/>
              <w:spacing w:before="15" w:after="15"/>
              <w:ind w:right="-113"/>
              <w:jc w:val="both"/>
              <w:rPr>
                <w:noProof/>
                <w:sz w:val="20"/>
                <w:szCs w:val="20"/>
              </w:rPr>
            </w:pPr>
            <w:r>
              <w:rPr>
                <w:noProof/>
                <w:sz w:val="20"/>
              </w:rPr>
              <w:t>22 02 01 02</w:t>
            </w:r>
          </w:p>
        </w:tc>
        <w:tc>
          <w:tcPr>
            <w:tcW w:w="6521" w:type="dxa"/>
            <w:vAlign w:val="center"/>
          </w:tcPr>
          <w:p>
            <w:pPr>
              <w:rPr>
                <w:bCs/>
                <w:iCs/>
                <w:noProof/>
                <w:sz w:val="16"/>
                <w:szCs w:val="16"/>
              </w:rPr>
            </w:pPr>
            <w:r>
              <w:rPr>
                <w:noProof/>
                <w:sz w:val="16"/>
              </w:rPr>
              <w:t>Подкрепа за икономическото, социалното и териториалното развитие, както и за постепенното привеждане в съответствие с достиженията на правото на ЕС</w:t>
            </w:r>
          </w:p>
        </w:tc>
        <w:tc>
          <w:tcPr>
            <w:tcW w:w="1701" w:type="dxa"/>
            <w:vAlign w:val="center"/>
          </w:tcPr>
          <w:p>
            <w:pPr>
              <w:widowControl w:val="0"/>
              <w:spacing w:before="15" w:after="15"/>
              <w:jc w:val="right"/>
              <w:rPr>
                <w:noProof/>
                <w:sz w:val="20"/>
                <w:szCs w:val="20"/>
              </w:rPr>
            </w:pPr>
            <w:r>
              <w:rPr>
                <w:noProof/>
                <w:sz w:val="20"/>
              </w:rPr>
              <w:t>-27 107 354</w:t>
            </w:r>
          </w:p>
        </w:tc>
      </w:tr>
      <w:tr>
        <w:tc>
          <w:tcPr>
            <w:tcW w:w="1276" w:type="dxa"/>
            <w:vAlign w:val="center"/>
          </w:tcPr>
          <w:p>
            <w:pPr>
              <w:widowControl w:val="0"/>
              <w:spacing w:before="15" w:after="15"/>
              <w:ind w:right="-113"/>
              <w:jc w:val="both"/>
              <w:rPr>
                <w:noProof/>
                <w:sz w:val="20"/>
                <w:szCs w:val="20"/>
              </w:rPr>
            </w:pPr>
            <w:r>
              <w:rPr>
                <w:noProof/>
                <w:sz w:val="20"/>
              </w:rPr>
              <w:t>22 02 03 01</w:t>
            </w:r>
          </w:p>
        </w:tc>
        <w:tc>
          <w:tcPr>
            <w:tcW w:w="6521" w:type="dxa"/>
            <w:vAlign w:val="center"/>
          </w:tcPr>
          <w:p>
            <w:pPr>
              <w:rPr>
                <w:bCs/>
                <w:iCs/>
                <w:noProof/>
                <w:sz w:val="16"/>
                <w:szCs w:val="16"/>
              </w:rPr>
            </w:pPr>
            <w:r>
              <w:rPr>
                <w:noProof/>
                <w:sz w:val="16"/>
              </w:rPr>
              <w:t>Подкрепа за политическите реформи, както и за постепенното привеждане в съответствие с достиженията на правото на ЕС</w:t>
            </w:r>
          </w:p>
        </w:tc>
        <w:tc>
          <w:tcPr>
            <w:tcW w:w="1701" w:type="dxa"/>
            <w:vAlign w:val="center"/>
          </w:tcPr>
          <w:p>
            <w:pPr>
              <w:widowControl w:val="0"/>
              <w:spacing w:before="15" w:after="15"/>
              <w:jc w:val="right"/>
              <w:rPr>
                <w:noProof/>
                <w:sz w:val="20"/>
                <w:szCs w:val="20"/>
              </w:rPr>
            </w:pPr>
            <w:r>
              <w:rPr>
                <w:noProof/>
                <w:sz w:val="20"/>
              </w:rPr>
              <w:t>-25 583 372</w:t>
            </w:r>
          </w:p>
        </w:tc>
      </w:tr>
      <w:tr>
        <w:tc>
          <w:tcPr>
            <w:tcW w:w="1276" w:type="dxa"/>
            <w:vAlign w:val="center"/>
          </w:tcPr>
          <w:p>
            <w:pPr>
              <w:widowControl w:val="0"/>
              <w:spacing w:before="15" w:after="15"/>
              <w:ind w:right="-113"/>
              <w:jc w:val="both"/>
              <w:rPr>
                <w:noProof/>
                <w:sz w:val="20"/>
                <w:szCs w:val="20"/>
              </w:rPr>
            </w:pPr>
            <w:r>
              <w:rPr>
                <w:noProof/>
                <w:sz w:val="20"/>
              </w:rPr>
              <w:t>22 02 04 01</w:t>
            </w:r>
          </w:p>
        </w:tc>
        <w:tc>
          <w:tcPr>
            <w:tcW w:w="6521" w:type="dxa"/>
            <w:vAlign w:val="center"/>
          </w:tcPr>
          <w:p>
            <w:pPr>
              <w:rPr>
                <w:bCs/>
                <w:iCs/>
                <w:noProof/>
                <w:sz w:val="16"/>
                <w:szCs w:val="16"/>
              </w:rPr>
            </w:pPr>
            <w:r>
              <w:rPr>
                <w:noProof/>
                <w:sz w:val="16"/>
              </w:rPr>
              <w:t>Програми за няколко държави, регионална интеграция и териториално сътрудничество</w:t>
            </w:r>
          </w:p>
        </w:tc>
        <w:tc>
          <w:tcPr>
            <w:tcW w:w="1701" w:type="dxa"/>
            <w:vAlign w:val="center"/>
          </w:tcPr>
          <w:p>
            <w:pPr>
              <w:widowControl w:val="0"/>
              <w:spacing w:before="15" w:after="15"/>
              <w:jc w:val="right"/>
              <w:rPr>
                <w:noProof/>
                <w:sz w:val="20"/>
                <w:szCs w:val="20"/>
              </w:rPr>
            </w:pPr>
            <w:r>
              <w:rPr>
                <w:noProof/>
                <w:sz w:val="20"/>
              </w:rPr>
              <w:t>-94 444 080</w:t>
            </w:r>
          </w:p>
        </w:tc>
      </w:tr>
      <w:tr>
        <w:tc>
          <w:tcPr>
            <w:tcW w:w="1276" w:type="dxa"/>
            <w:vAlign w:val="center"/>
          </w:tcPr>
          <w:p>
            <w:pPr>
              <w:widowControl w:val="0"/>
              <w:spacing w:before="15" w:after="15"/>
              <w:ind w:right="-113"/>
              <w:jc w:val="both"/>
              <w:rPr>
                <w:noProof/>
                <w:sz w:val="20"/>
                <w:szCs w:val="20"/>
              </w:rPr>
            </w:pPr>
            <w:r>
              <w:rPr>
                <w:noProof/>
                <w:sz w:val="20"/>
              </w:rPr>
              <w:t>22 02 51</w:t>
            </w:r>
          </w:p>
        </w:tc>
        <w:tc>
          <w:tcPr>
            <w:tcW w:w="6521" w:type="dxa"/>
            <w:vAlign w:val="center"/>
          </w:tcPr>
          <w:p>
            <w:pPr>
              <w:rPr>
                <w:bCs/>
                <w:iCs/>
                <w:noProof/>
                <w:sz w:val="16"/>
                <w:szCs w:val="16"/>
              </w:rPr>
            </w:pPr>
            <w:r>
              <w:rPr>
                <w:noProof/>
                <w:sz w:val="16"/>
              </w:rPr>
              <w:t>Приключване на дейностите в областта на предишната предприсъединителна помощ (преди 2014 г.)</w:t>
            </w:r>
          </w:p>
        </w:tc>
        <w:tc>
          <w:tcPr>
            <w:tcW w:w="1701" w:type="dxa"/>
            <w:vAlign w:val="center"/>
          </w:tcPr>
          <w:p>
            <w:pPr>
              <w:widowControl w:val="0"/>
              <w:spacing w:before="15" w:after="15"/>
              <w:jc w:val="right"/>
              <w:rPr>
                <w:noProof/>
                <w:sz w:val="20"/>
                <w:szCs w:val="20"/>
                <w:highlight w:val="yellow"/>
              </w:rPr>
            </w:pPr>
            <w:r>
              <w:rPr>
                <w:noProof/>
                <w:sz w:val="20"/>
              </w:rPr>
              <w:t>-14 617 033</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tcPr>
          <w:p>
            <w:pPr>
              <w:widowControl w:val="0"/>
              <w:spacing w:before="15" w:after="15"/>
              <w:jc w:val="right"/>
              <w:rPr>
                <w:b/>
                <w:noProof/>
                <w:sz w:val="20"/>
                <w:szCs w:val="20"/>
              </w:rPr>
            </w:pPr>
            <w:r>
              <w:rPr>
                <w:b/>
                <w:noProof/>
                <w:sz w:val="20"/>
              </w:rPr>
              <w:t>-268 100 540</w:t>
            </w:r>
          </w:p>
        </w:tc>
      </w:tr>
    </w:tbl>
    <w:p>
      <w:pPr>
        <w:tabs>
          <w:tab w:val="left" w:pos="851"/>
        </w:tabs>
        <w:spacing w:before="240"/>
        <w:rPr>
          <w:bCs/>
          <w:i/>
          <w:noProof/>
        </w:rPr>
      </w:pPr>
      <w:r>
        <w:rPr>
          <w:i/>
          <w:noProof/>
        </w:rPr>
        <w:t xml:space="preserve">2.4.2 </w:t>
      </w:r>
      <w:r>
        <w:rPr>
          <w:noProof/>
        </w:rPr>
        <w:tab/>
      </w:r>
      <w:r>
        <w:rPr>
          <w:i/>
          <w:noProof/>
        </w:rPr>
        <w:t>Европейски инструмент за съседство (ЕИС)</w:t>
      </w:r>
    </w:p>
    <w:p>
      <w:pPr>
        <w:autoSpaceDE w:val="0"/>
        <w:autoSpaceDN w:val="0"/>
        <w:adjustRightInd w:val="0"/>
        <w:spacing w:before="120" w:after="120"/>
        <w:jc w:val="both"/>
        <w:rPr>
          <w:noProof/>
        </w:rPr>
      </w:pPr>
      <w:r>
        <w:rPr>
          <w:noProof/>
        </w:rPr>
        <w:t>Предлага се намаление с обща сума в размер на 434,1 милиона евро бюджетни кредити за плащания, установени по няколко бюджетни реда за ЕИС. Около 300 милиона евро се дължат на закъснения в изплащането на няколко транша бюджетна подкрепа за Египет, Мароко, Молдова, Армения и Азербайджан, тъй като договорените критерии за тяхното изплащане не са били изпълнени по график.</w:t>
      </w:r>
    </w:p>
    <w:p>
      <w:pPr>
        <w:autoSpaceDE w:val="0"/>
        <w:autoSpaceDN w:val="0"/>
        <w:adjustRightInd w:val="0"/>
        <w:spacing w:before="120" w:after="240"/>
        <w:jc w:val="both"/>
        <w:rPr>
          <w:noProof/>
        </w:rPr>
      </w:pPr>
      <w:r>
        <w:rPr>
          <w:noProof/>
        </w:rPr>
        <w:t>Оставащата сума от бюджетни кредити за плащания, които могат да бъдат освободени, се отнася до отлагания вследствие на затруднения при изпълнението на проектите. Например проблеми от правно естество, както и настоящата политическа ситуация в Газа се отразяват на гладкото изпълнение на няколко договора по бюджетен ред 22 04 01 04. Освен това няколко плащания са отложени вследствие на закъснения при сключването на споразуменията между правителството на Египет и международните финансови институции в рамките на операциите за смесено финансиране. Накрая, по няколко договора плащанията са отложени вследствие на закъснения при получаването на исканията за плащане от изпълнителите или заради допълнителни удостоверителни документи, свързани със специфични искания за плащане.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701"/>
      </w:tblGrid>
      <w:tr>
        <w:trPr>
          <w:tblHeader/>
        </w:trPr>
        <w:tc>
          <w:tcPr>
            <w:tcW w:w="1276" w:type="dxa"/>
            <w:shd w:val="clear" w:color="auto" w:fill="D9D9D9"/>
            <w:vAlign w:val="center"/>
          </w:tcPr>
          <w:p>
            <w:pPr>
              <w:widowControl w:val="0"/>
              <w:spacing w:before="15" w:after="15"/>
              <w:rPr>
                <w:b/>
                <w:noProof/>
                <w:sz w:val="20"/>
                <w:szCs w:val="20"/>
              </w:rPr>
            </w:pPr>
            <w:r>
              <w:rPr>
                <w:b/>
                <w:noProof/>
                <w:sz w:val="20"/>
              </w:rPr>
              <w:t>Бюджетен ред</w:t>
            </w:r>
          </w:p>
        </w:tc>
        <w:tc>
          <w:tcPr>
            <w:tcW w:w="6521" w:type="dxa"/>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c>
          <w:tcPr>
            <w:tcW w:w="1276" w:type="dxa"/>
            <w:vAlign w:val="center"/>
          </w:tcPr>
          <w:p>
            <w:pPr>
              <w:widowControl w:val="0"/>
              <w:spacing w:before="15" w:after="15"/>
              <w:ind w:right="-113"/>
              <w:jc w:val="both"/>
              <w:rPr>
                <w:noProof/>
                <w:sz w:val="20"/>
                <w:szCs w:val="20"/>
              </w:rPr>
            </w:pPr>
            <w:r>
              <w:rPr>
                <w:noProof/>
                <w:sz w:val="20"/>
              </w:rPr>
              <w:t>22 04 01 01</w:t>
            </w:r>
          </w:p>
        </w:tc>
        <w:tc>
          <w:tcPr>
            <w:tcW w:w="6521" w:type="dxa"/>
            <w:vAlign w:val="center"/>
          </w:tcPr>
          <w:p>
            <w:pPr>
              <w:rPr>
                <w:bCs/>
                <w:iCs/>
                <w:noProof/>
                <w:sz w:val="16"/>
                <w:szCs w:val="16"/>
              </w:rPr>
            </w:pPr>
            <w:r>
              <w:rPr>
                <w:noProof/>
                <w:sz w:val="16"/>
              </w:rPr>
              <w:t>Средиземноморски държави — Права на човека, добро управление и мобилност</w:t>
            </w:r>
          </w:p>
        </w:tc>
        <w:tc>
          <w:tcPr>
            <w:tcW w:w="1701" w:type="dxa"/>
            <w:vAlign w:val="center"/>
          </w:tcPr>
          <w:p>
            <w:pPr>
              <w:widowControl w:val="0"/>
              <w:spacing w:before="15" w:after="15"/>
              <w:jc w:val="right"/>
              <w:rPr>
                <w:noProof/>
                <w:sz w:val="20"/>
                <w:szCs w:val="20"/>
              </w:rPr>
            </w:pPr>
            <w:r>
              <w:rPr>
                <w:noProof/>
                <w:sz w:val="20"/>
              </w:rPr>
              <w:t>-6 200 513</w:t>
            </w:r>
          </w:p>
        </w:tc>
      </w:tr>
      <w:tr>
        <w:tc>
          <w:tcPr>
            <w:tcW w:w="1276" w:type="dxa"/>
            <w:vAlign w:val="center"/>
          </w:tcPr>
          <w:p>
            <w:pPr>
              <w:widowControl w:val="0"/>
              <w:spacing w:before="15" w:after="15"/>
              <w:ind w:right="-113"/>
              <w:jc w:val="both"/>
              <w:rPr>
                <w:noProof/>
                <w:sz w:val="20"/>
                <w:szCs w:val="20"/>
              </w:rPr>
            </w:pPr>
            <w:r>
              <w:rPr>
                <w:noProof/>
                <w:sz w:val="20"/>
              </w:rPr>
              <w:t>22 04 01 02</w:t>
            </w:r>
          </w:p>
        </w:tc>
        <w:tc>
          <w:tcPr>
            <w:tcW w:w="6521" w:type="dxa"/>
            <w:vAlign w:val="center"/>
          </w:tcPr>
          <w:p>
            <w:pPr>
              <w:rPr>
                <w:bCs/>
                <w:iCs/>
                <w:noProof/>
                <w:sz w:val="16"/>
                <w:szCs w:val="16"/>
              </w:rPr>
            </w:pPr>
            <w:r>
              <w:rPr>
                <w:noProof/>
                <w:sz w:val="16"/>
              </w:rPr>
              <w:t>Средиземноморски страни — Намаляване на бедността и устойчиво развитие</w:t>
            </w:r>
          </w:p>
        </w:tc>
        <w:tc>
          <w:tcPr>
            <w:tcW w:w="1701" w:type="dxa"/>
            <w:vAlign w:val="center"/>
          </w:tcPr>
          <w:p>
            <w:pPr>
              <w:widowControl w:val="0"/>
              <w:spacing w:before="15" w:after="15"/>
              <w:jc w:val="right"/>
              <w:rPr>
                <w:noProof/>
                <w:sz w:val="20"/>
                <w:szCs w:val="20"/>
              </w:rPr>
            </w:pPr>
            <w:r>
              <w:rPr>
                <w:noProof/>
                <w:sz w:val="20"/>
              </w:rPr>
              <w:t>-85 959 584</w:t>
            </w:r>
          </w:p>
        </w:tc>
      </w:tr>
      <w:tr>
        <w:tc>
          <w:tcPr>
            <w:tcW w:w="1276" w:type="dxa"/>
            <w:vAlign w:val="center"/>
          </w:tcPr>
          <w:p>
            <w:pPr>
              <w:widowControl w:val="0"/>
              <w:spacing w:before="15" w:after="15"/>
              <w:ind w:right="-113"/>
              <w:jc w:val="both"/>
              <w:rPr>
                <w:noProof/>
                <w:sz w:val="20"/>
                <w:szCs w:val="20"/>
              </w:rPr>
            </w:pPr>
            <w:r>
              <w:rPr>
                <w:noProof/>
                <w:sz w:val="20"/>
              </w:rPr>
              <w:t>22 04 01 04</w:t>
            </w:r>
          </w:p>
        </w:tc>
        <w:tc>
          <w:tcPr>
            <w:tcW w:w="6521" w:type="dxa"/>
            <w:vAlign w:val="center"/>
          </w:tcPr>
          <w:p>
            <w:pPr>
              <w:rPr>
                <w:bCs/>
                <w:iCs/>
                <w:noProof/>
                <w:sz w:val="16"/>
                <w:szCs w:val="16"/>
              </w:rPr>
            </w:pPr>
            <w:r>
              <w:rPr>
                <w:noProof/>
                <w:sz w:val="16"/>
              </w:rPr>
              <w:t>Подкрепа на мирния процес и финансова помощ за Палестина и за Агенцията на ООН за подпомагане и строителство за палестинските бежанци в Близкия изток (UNRWA)</w:t>
            </w:r>
          </w:p>
        </w:tc>
        <w:tc>
          <w:tcPr>
            <w:tcW w:w="1701" w:type="dxa"/>
            <w:vAlign w:val="center"/>
          </w:tcPr>
          <w:p>
            <w:pPr>
              <w:widowControl w:val="0"/>
              <w:spacing w:before="15" w:after="15"/>
              <w:jc w:val="right"/>
              <w:rPr>
                <w:noProof/>
                <w:sz w:val="20"/>
                <w:szCs w:val="20"/>
              </w:rPr>
            </w:pPr>
            <w:r>
              <w:rPr>
                <w:noProof/>
                <w:sz w:val="20"/>
              </w:rPr>
              <w:t>-56 028 674</w:t>
            </w:r>
          </w:p>
        </w:tc>
      </w:tr>
      <w:tr>
        <w:tc>
          <w:tcPr>
            <w:tcW w:w="1276" w:type="dxa"/>
            <w:vAlign w:val="center"/>
          </w:tcPr>
          <w:p>
            <w:pPr>
              <w:widowControl w:val="0"/>
              <w:spacing w:before="15" w:after="15"/>
              <w:ind w:right="-113"/>
              <w:jc w:val="both"/>
              <w:rPr>
                <w:noProof/>
                <w:sz w:val="20"/>
                <w:szCs w:val="20"/>
              </w:rPr>
            </w:pPr>
            <w:r>
              <w:rPr>
                <w:noProof/>
                <w:sz w:val="20"/>
              </w:rPr>
              <w:t>22 04 02 01</w:t>
            </w:r>
          </w:p>
        </w:tc>
        <w:tc>
          <w:tcPr>
            <w:tcW w:w="6521" w:type="dxa"/>
            <w:vAlign w:val="center"/>
          </w:tcPr>
          <w:p>
            <w:pPr>
              <w:rPr>
                <w:bCs/>
                <w:iCs/>
                <w:noProof/>
                <w:sz w:val="16"/>
                <w:szCs w:val="16"/>
              </w:rPr>
            </w:pPr>
            <w:r>
              <w:rPr>
                <w:noProof/>
                <w:sz w:val="16"/>
              </w:rPr>
              <w:t>Източно партньорство — Права на човека, добро управление и мобилност</w:t>
            </w:r>
          </w:p>
        </w:tc>
        <w:tc>
          <w:tcPr>
            <w:tcW w:w="1701" w:type="dxa"/>
            <w:vAlign w:val="center"/>
          </w:tcPr>
          <w:p>
            <w:pPr>
              <w:widowControl w:val="0"/>
              <w:spacing w:before="15" w:after="15"/>
              <w:jc w:val="right"/>
              <w:rPr>
                <w:noProof/>
                <w:sz w:val="20"/>
                <w:szCs w:val="20"/>
              </w:rPr>
            </w:pPr>
            <w:r>
              <w:rPr>
                <w:noProof/>
                <w:sz w:val="20"/>
              </w:rPr>
              <w:t>-25 995 110</w:t>
            </w:r>
          </w:p>
        </w:tc>
      </w:tr>
      <w:tr>
        <w:tc>
          <w:tcPr>
            <w:tcW w:w="1276" w:type="dxa"/>
            <w:vAlign w:val="center"/>
          </w:tcPr>
          <w:p>
            <w:pPr>
              <w:widowControl w:val="0"/>
              <w:spacing w:before="15" w:after="15"/>
              <w:ind w:right="-113"/>
              <w:jc w:val="both"/>
              <w:rPr>
                <w:noProof/>
                <w:sz w:val="20"/>
                <w:szCs w:val="20"/>
              </w:rPr>
            </w:pPr>
            <w:r>
              <w:rPr>
                <w:noProof/>
                <w:sz w:val="20"/>
              </w:rPr>
              <w:t>22 04 02 02</w:t>
            </w:r>
          </w:p>
        </w:tc>
        <w:tc>
          <w:tcPr>
            <w:tcW w:w="6521" w:type="dxa"/>
            <w:vAlign w:val="center"/>
          </w:tcPr>
          <w:p>
            <w:pPr>
              <w:rPr>
                <w:bCs/>
                <w:iCs/>
                <w:noProof/>
                <w:sz w:val="16"/>
                <w:szCs w:val="16"/>
              </w:rPr>
            </w:pPr>
            <w:r>
              <w:rPr>
                <w:noProof/>
                <w:sz w:val="16"/>
              </w:rPr>
              <w:t>Източно партньорство — Намаляване на бедността и устойчиво развитие</w:t>
            </w:r>
          </w:p>
        </w:tc>
        <w:tc>
          <w:tcPr>
            <w:tcW w:w="1701" w:type="dxa"/>
            <w:vAlign w:val="center"/>
          </w:tcPr>
          <w:p>
            <w:pPr>
              <w:widowControl w:val="0"/>
              <w:spacing w:before="15" w:after="15"/>
              <w:jc w:val="right"/>
              <w:rPr>
                <w:noProof/>
                <w:sz w:val="20"/>
                <w:szCs w:val="20"/>
              </w:rPr>
            </w:pPr>
            <w:r>
              <w:rPr>
                <w:noProof/>
                <w:sz w:val="20"/>
              </w:rPr>
              <w:t>-103 090 754</w:t>
            </w:r>
          </w:p>
        </w:tc>
      </w:tr>
      <w:tr>
        <w:tc>
          <w:tcPr>
            <w:tcW w:w="1276" w:type="dxa"/>
            <w:vAlign w:val="center"/>
          </w:tcPr>
          <w:p>
            <w:pPr>
              <w:widowControl w:val="0"/>
              <w:spacing w:before="15" w:after="15"/>
              <w:ind w:right="-113"/>
              <w:jc w:val="both"/>
              <w:rPr>
                <w:noProof/>
                <w:sz w:val="20"/>
                <w:szCs w:val="20"/>
              </w:rPr>
            </w:pPr>
            <w:r>
              <w:rPr>
                <w:noProof/>
                <w:sz w:val="20"/>
              </w:rPr>
              <w:t>22 04 03 03</w:t>
            </w:r>
          </w:p>
        </w:tc>
        <w:tc>
          <w:tcPr>
            <w:tcW w:w="6521" w:type="dxa"/>
            <w:vAlign w:val="center"/>
          </w:tcPr>
          <w:p>
            <w:pPr>
              <w:rPr>
                <w:bCs/>
                <w:iCs/>
                <w:noProof/>
                <w:sz w:val="16"/>
                <w:szCs w:val="16"/>
              </w:rPr>
            </w:pPr>
            <w:r>
              <w:rPr>
                <w:noProof/>
                <w:sz w:val="16"/>
              </w:rPr>
              <w:t>Подкрепа за друго многостранно сътрудничество в съседните на ЕС страни— Интегриращата програма</w:t>
            </w:r>
          </w:p>
        </w:tc>
        <w:tc>
          <w:tcPr>
            <w:tcW w:w="1701" w:type="dxa"/>
            <w:vAlign w:val="center"/>
          </w:tcPr>
          <w:p>
            <w:pPr>
              <w:widowControl w:val="0"/>
              <w:spacing w:before="15" w:after="15"/>
              <w:jc w:val="right"/>
              <w:rPr>
                <w:noProof/>
                <w:sz w:val="20"/>
                <w:szCs w:val="20"/>
              </w:rPr>
            </w:pPr>
            <w:r>
              <w:rPr>
                <w:noProof/>
                <w:sz w:val="20"/>
              </w:rPr>
              <w:t>-58 339 566</w:t>
            </w:r>
          </w:p>
        </w:tc>
      </w:tr>
      <w:tr>
        <w:tc>
          <w:tcPr>
            <w:tcW w:w="1276" w:type="dxa"/>
            <w:vAlign w:val="center"/>
          </w:tcPr>
          <w:p>
            <w:pPr>
              <w:widowControl w:val="0"/>
              <w:spacing w:before="15" w:after="15"/>
              <w:ind w:right="-113"/>
              <w:jc w:val="both"/>
              <w:rPr>
                <w:noProof/>
                <w:sz w:val="20"/>
                <w:szCs w:val="20"/>
              </w:rPr>
            </w:pPr>
            <w:r>
              <w:rPr>
                <w:noProof/>
                <w:sz w:val="20"/>
              </w:rPr>
              <w:t>22 04 03 04</w:t>
            </w:r>
          </w:p>
        </w:tc>
        <w:tc>
          <w:tcPr>
            <w:tcW w:w="6521" w:type="dxa"/>
            <w:vAlign w:val="center"/>
          </w:tcPr>
          <w:p>
            <w:pPr>
              <w:rPr>
                <w:bCs/>
                <w:iCs/>
                <w:noProof/>
                <w:sz w:val="16"/>
                <w:szCs w:val="16"/>
              </w:rPr>
            </w:pPr>
            <w:r>
              <w:rPr>
                <w:noProof/>
                <w:sz w:val="16"/>
              </w:rPr>
              <w:t>Друго многостранно сътрудничество в съседните на ЕС страни — Мерки за подкрепа</w:t>
            </w:r>
          </w:p>
        </w:tc>
        <w:tc>
          <w:tcPr>
            <w:tcW w:w="1701" w:type="dxa"/>
            <w:vAlign w:val="center"/>
          </w:tcPr>
          <w:p>
            <w:pPr>
              <w:widowControl w:val="0"/>
              <w:spacing w:before="15" w:after="15"/>
              <w:jc w:val="right"/>
              <w:rPr>
                <w:noProof/>
                <w:sz w:val="20"/>
                <w:szCs w:val="20"/>
              </w:rPr>
            </w:pPr>
            <w:r>
              <w:rPr>
                <w:noProof/>
                <w:sz w:val="20"/>
              </w:rPr>
              <w:t>-1 239 476</w:t>
            </w:r>
          </w:p>
        </w:tc>
      </w:tr>
      <w:tr>
        <w:tc>
          <w:tcPr>
            <w:tcW w:w="1276" w:type="dxa"/>
            <w:vAlign w:val="center"/>
          </w:tcPr>
          <w:p>
            <w:pPr>
              <w:widowControl w:val="0"/>
              <w:spacing w:before="15" w:after="15"/>
              <w:ind w:right="-113"/>
              <w:jc w:val="both"/>
              <w:rPr>
                <w:noProof/>
                <w:sz w:val="20"/>
                <w:szCs w:val="20"/>
              </w:rPr>
            </w:pPr>
            <w:r>
              <w:rPr>
                <w:noProof/>
                <w:sz w:val="20"/>
              </w:rPr>
              <w:t>22 04 51</w:t>
            </w:r>
          </w:p>
        </w:tc>
        <w:tc>
          <w:tcPr>
            <w:tcW w:w="6521" w:type="dxa"/>
            <w:vAlign w:val="center"/>
          </w:tcPr>
          <w:p>
            <w:pPr>
              <w:rPr>
                <w:noProof/>
              </w:rPr>
            </w:pPr>
            <w:r>
              <w:rPr>
                <w:noProof/>
                <w:sz w:val="16"/>
              </w:rPr>
              <w:t>Приключване на действията в рамките на програмата „Европейска политика за съседство и отношения с Русия“ (преди 2014 г.)</w:t>
            </w:r>
          </w:p>
        </w:tc>
        <w:tc>
          <w:tcPr>
            <w:tcW w:w="1701" w:type="dxa"/>
            <w:vAlign w:val="center"/>
          </w:tcPr>
          <w:p>
            <w:pPr>
              <w:widowControl w:val="0"/>
              <w:spacing w:before="15" w:after="15"/>
              <w:jc w:val="right"/>
              <w:rPr>
                <w:noProof/>
                <w:sz w:val="20"/>
                <w:szCs w:val="20"/>
                <w:highlight w:val="yellow"/>
              </w:rPr>
            </w:pPr>
            <w:r>
              <w:rPr>
                <w:noProof/>
                <w:sz w:val="20"/>
              </w:rPr>
              <w:t>-97 282 992</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tcPr>
          <w:p>
            <w:pPr>
              <w:widowControl w:val="0"/>
              <w:spacing w:before="15" w:after="15"/>
              <w:jc w:val="right"/>
              <w:rPr>
                <w:b/>
                <w:noProof/>
                <w:sz w:val="20"/>
                <w:szCs w:val="20"/>
              </w:rPr>
            </w:pPr>
            <w:r>
              <w:rPr>
                <w:b/>
                <w:noProof/>
                <w:sz w:val="20"/>
              </w:rPr>
              <w:t>-434 136 669</w:t>
            </w:r>
          </w:p>
        </w:tc>
      </w:tr>
    </w:tbl>
    <w:p>
      <w:pPr>
        <w:keepNext/>
        <w:tabs>
          <w:tab w:val="left" w:pos="850"/>
        </w:tabs>
        <w:spacing w:before="360" w:after="120"/>
        <w:ind w:left="850" w:hanging="850"/>
        <w:jc w:val="both"/>
        <w:outlineLvl w:val="1"/>
        <w:rPr>
          <w:rFonts w:eastAsia="Calibri"/>
          <w:b/>
          <w:noProof/>
        </w:rPr>
      </w:pPr>
      <w:bookmarkStart w:id="41" w:name="_Toc494994376"/>
      <w:bookmarkStart w:id="42" w:name="_Toc496260468"/>
      <w:r>
        <w:rPr>
          <w:b/>
          <w:noProof/>
        </w:rPr>
        <w:t>2.5</w:t>
      </w:r>
      <w:r>
        <w:rPr>
          <w:noProof/>
        </w:rPr>
        <w:tab/>
      </w:r>
      <w:r>
        <w:rPr>
          <w:b/>
          <w:noProof/>
        </w:rPr>
        <w:t>Фонд „Солидарност“ на Европейския съюз (ФСЕС)</w:t>
      </w:r>
      <w:bookmarkEnd w:id="41"/>
      <w:bookmarkEnd w:id="42"/>
    </w:p>
    <w:p>
      <w:pPr>
        <w:autoSpaceDE w:val="0"/>
        <w:autoSpaceDN w:val="0"/>
        <w:adjustRightInd w:val="0"/>
        <w:spacing w:before="120" w:after="240"/>
        <w:jc w:val="both"/>
        <w:rPr>
          <w:noProof/>
        </w:rPr>
      </w:pPr>
      <w:r>
        <w:rPr>
          <w:noProof/>
        </w:rPr>
        <w:t>През 2017 г. не е отправяно искане за предварително финансиране в рамките на фонд „Солидарност“ на ЕС и пълната сума от 50 милиона евро, вписана за тази цел в бюджета за 2017 г. към момента на приемането му, продължава да бъде налична. На този етап Комисията предлага да запази 4 милиона евро по бюджетна статия 13 06 01 за посрещане на евентуални непредвидени искания. Следователно сумата от 46 милиона евро бюджетни кредити за поети задължения и бюджетни кредити за плащания може да бъде освободена.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Бюджетен ред</w:t>
            </w:r>
          </w:p>
        </w:tc>
        <w:tc>
          <w:tcPr>
            <w:tcW w:w="4961" w:type="dxa"/>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c>
          <w:tcPr>
            <w:tcW w:w="1276" w:type="dxa"/>
            <w:vAlign w:val="center"/>
          </w:tcPr>
          <w:p>
            <w:pPr>
              <w:widowControl w:val="0"/>
              <w:spacing w:before="15" w:after="15"/>
              <w:ind w:right="-113"/>
              <w:jc w:val="both"/>
              <w:rPr>
                <w:noProof/>
                <w:sz w:val="20"/>
                <w:szCs w:val="20"/>
              </w:rPr>
            </w:pPr>
            <w:r>
              <w:rPr>
                <w:noProof/>
                <w:sz w:val="20"/>
              </w:rPr>
              <w:t>13 06 01</w:t>
            </w:r>
          </w:p>
        </w:tc>
        <w:tc>
          <w:tcPr>
            <w:tcW w:w="4961" w:type="dxa"/>
            <w:vAlign w:val="center"/>
          </w:tcPr>
          <w:p>
            <w:pPr>
              <w:widowControl w:val="0"/>
              <w:tabs>
                <w:tab w:val="left" w:pos="1350"/>
              </w:tabs>
              <w:spacing w:before="15" w:after="15"/>
              <w:jc w:val="both"/>
              <w:rPr>
                <w:noProof/>
                <w:sz w:val="16"/>
                <w:szCs w:val="16"/>
              </w:rPr>
            </w:pPr>
            <w:r>
              <w:rPr>
                <w:noProof/>
                <w:sz w:val="16"/>
              </w:rPr>
              <w:t>Подпомагане на държавите членки в случай на мащабно природно бедствие със сериозно отражение върху условията на живот, околната среда или икономиката</w:t>
            </w:r>
          </w:p>
        </w:tc>
        <w:tc>
          <w:tcPr>
            <w:tcW w:w="1701" w:type="dxa"/>
            <w:vAlign w:val="center"/>
          </w:tcPr>
          <w:p>
            <w:pPr>
              <w:widowControl w:val="0"/>
              <w:spacing w:before="15" w:after="15"/>
              <w:jc w:val="right"/>
              <w:rPr>
                <w:noProof/>
                <w:sz w:val="20"/>
                <w:szCs w:val="20"/>
              </w:rPr>
            </w:pPr>
            <w:r>
              <w:rPr>
                <w:noProof/>
                <w:sz w:val="20"/>
              </w:rPr>
              <w:t>-46 000 000</w:t>
            </w:r>
          </w:p>
        </w:tc>
        <w:tc>
          <w:tcPr>
            <w:tcW w:w="1701" w:type="dxa"/>
            <w:vAlign w:val="center"/>
          </w:tcPr>
          <w:p>
            <w:pPr>
              <w:widowControl w:val="0"/>
              <w:spacing w:before="15" w:after="15"/>
              <w:jc w:val="right"/>
              <w:rPr>
                <w:noProof/>
                <w:sz w:val="20"/>
                <w:szCs w:val="20"/>
              </w:rPr>
            </w:pPr>
            <w:r>
              <w:rPr>
                <w:noProof/>
                <w:sz w:val="20"/>
              </w:rPr>
              <w:t>-46 000 000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tcPr>
          <w:p>
            <w:pPr>
              <w:widowControl w:val="0"/>
              <w:spacing w:before="15" w:after="15"/>
              <w:jc w:val="right"/>
              <w:rPr>
                <w:b/>
                <w:noProof/>
                <w:sz w:val="20"/>
                <w:szCs w:val="20"/>
              </w:rPr>
            </w:pPr>
            <w:r>
              <w:rPr>
                <w:b/>
                <w:noProof/>
                <w:sz w:val="20"/>
              </w:rPr>
              <w:t>-46 000 000</w:t>
            </w:r>
          </w:p>
        </w:tc>
        <w:tc>
          <w:tcPr>
            <w:tcW w:w="1701" w:type="dxa"/>
            <w:shd w:val="clear" w:color="auto" w:fill="D9D9D9"/>
          </w:tcPr>
          <w:p>
            <w:pPr>
              <w:widowControl w:val="0"/>
              <w:spacing w:before="15" w:after="15"/>
              <w:jc w:val="right"/>
              <w:rPr>
                <w:b/>
                <w:noProof/>
                <w:sz w:val="20"/>
                <w:szCs w:val="20"/>
              </w:rPr>
            </w:pPr>
            <w:r>
              <w:rPr>
                <w:b/>
                <w:noProof/>
                <w:sz w:val="20"/>
              </w:rPr>
              <w:t>-46 000 000</w:t>
            </w:r>
          </w:p>
        </w:tc>
      </w:tr>
    </w:tbl>
    <w:p>
      <w:pPr>
        <w:keepNext/>
        <w:tabs>
          <w:tab w:val="left" w:pos="850"/>
        </w:tabs>
        <w:spacing w:before="240" w:after="120"/>
        <w:ind w:left="851" w:hanging="851"/>
        <w:jc w:val="both"/>
        <w:outlineLvl w:val="0"/>
        <w:rPr>
          <w:noProof/>
        </w:rPr>
      </w:pPr>
      <w:bookmarkStart w:id="43" w:name="_Toc494994377"/>
      <w:bookmarkStart w:id="44" w:name="_Toc496260469"/>
      <w:r>
        <w:rPr>
          <w:b/>
          <w:smallCaps/>
          <w:noProof/>
        </w:rPr>
        <w:t>3.</w:t>
      </w:r>
      <w:r>
        <w:rPr>
          <w:noProof/>
        </w:rPr>
        <w:tab/>
      </w:r>
      <w:r>
        <w:rPr>
          <w:b/>
          <w:smallCaps/>
          <w:noProof/>
        </w:rPr>
        <w:t>Актуализация на приходите</w:t>
      </w:r>
      <w:bookmarkEnd w:id="43"/>
      <w:bookmarkEnd w:id="44"/>
      <w:r>
        <w:rPr>
          <w:b/>
          <w:smallCaps/>
          <w:noProof/>
        </w:rPr>
        <w:t xml:space="preserve"> </w:t>
      </w:r>
    </w:p>
    <w:p>
      <w:pPr>
        <w:keepNext/>
        <w:tabs>
          <w:tab w:val="left" w:pos="850"/>
        </w:tabs>
        <w:spacing w:before="360" w:after="120"/>
        <w:ind w:left="850" w:hanging="850"/>
        <w:jc w:val="both"/>
        <w:outlineLvl w:val="1"/>
        <w:rPr>
          <w:rFonts w:eastAsia="Calibri"/>
          <w:b/>
          <w:noProof/>
        </w:rPr>
      </w:pPr>
      <w:bookmarkStart w:id="45" w:name="_Toc462410058"/>
      <w:bookmarkStart w:id="46" w:name="_Toc494994378"/>
      <w:bookmarkStart w:id="47" w:name="_Toc496260470"/>
      <w:r>
        <w:rPr>
          <w:b/>
          <w:noProof/>
        </w:rPr>
        <w:t>3.1</w:t>
      </w:r>
      <w:r>
        <w:rPr>
          <w:noProof/>
        </w:rPr>
        <w:tab/>
      </w:r>
      <w:r>
        <w:rPr>
          <w:b/>
          <w:noProof/>
        </w:rPr>
        <w:t>Общо отражение на ПКБ № 6/2017 върху разпределението на общите плащания по собствените ресурси между държавите членки</w:t>
      </w:r>
      <w:bookmarkEnd w:id="45"/>
      <w:bookmarkEnd w:id="46"/>
      <w:bookmarkEnd w:id="47"/>
    </w:p>
    <w:p>
      <w:pPr>
        <w:spacing w:before="120" w:after="120"/>
        <w:jc w:val="both"/>
        <w:rPr>
          <w:noProof/>
        </w:rPr>
      </w:pPr>
      <w:r>
        <w:rPr>
          <w:noProof/>
        </w:rPr>
        <w:t>Тъй като с настоящия ПКБ се намаляват бюджетните кредити за плащания в бюджета за 2017 г., ПКБ ще се отрази на общата сума, дължима от държавите членки за този бюджет. Има обаче и три корекции по отношение на приходната част на бюджета, които трябва да се вземат предвид. Първата от тези корекции представлява актуализация на прогнозите за традиционните собствени ресурси (ТСР), както и за данъка върху добавената стойност (ДДС) и брутния национален доход (БНД), които се актуализират, за да се вземат предвид по-актуални икономически прогнози. Втората и третата корекция по отношение на приходната част се отнасят до актуализацията на корекцията за Обединеното кралство и до нивото на глобите в областта на конкуренцията, което е станало окончателно в края на септември 2017 г. Тези три корекции са представени в точки 3.2, 3.3 и 3.4 по-долу.</w:t>
      </w:r>
    </w:p>
    <w:p>
      <w:pPr>
        <w:spacing w:before="120" w:after="120"/>
        <w:jc w:val="both"/>
        <w:rPr>
          <w:noProof/>
        </w:rPr>
      </w:pPr>
      <w:r>
        <w:rPr>
          <w:noProof/>
        </w:rPr>
        <w:t>Общото отражение на корекциите на разходите и приходите в настоящия ПКБ е представено в обобщаващата таблица по-долу. Таблицата показва също така разпределението на общите плащания по собствените ресурси между държавите членки: както са вписани в бюджета за 2017 г., изменен с коригиращ бюджет (КБ) № 2/2017</w:t>
      </w:r>
      <w:r>
        <w:rPr>
          <w:noProof/>
          <w:vertAlign w:val="superscript"/>
        </w:rPr>
        <w:footnoteReference w:id="12"/>
      </w:r>
      <w:r>
        <w:rPr>
          <w:noProof/>
        </w:rPr>
        <w:t>, и накрая в настоящия ПКБ.</w:t>
      </w:r>
    </w:p>
    <w:p>
      <w:pPr>
        <w:jc w:val="center"/>
        <w:rPr>
          <w:b/>
          <w:noProof/>
        </w:rPr>
      </w:pPr>
      <w:r>
        <w:rPr>
          <w:b/>
          <w:noProof/>
        </w:rPr>
        <w:t>Разпределение на общите плащания по собствените ресурси по държави членки (в млн. евро)</w:t>
      </w:r>
    </w:p>
    <w:p>
      <w:pPr>
        <w:rPr>
          <w:b/>
          <w:noProof/>
        </w:rPr>
      </w:pPr>
    </w:p>
    <w:tbl>
      <w:tblPr>
        <w:tblW w:w="5440" w:type="dxa"/>
        <w:jc w:val="center"/>
        <w:tblLook w:val="04A0" w:firstRow="1" w:lastRow="0" w:firstColumn="1" w:lastColumn="0" w:noHBand="0" w:noVBand="1"/>
      </w:tblPr>
      <w:tblGrid>
        <w:gridCol w:w="960"/>
        <w:gridCol w:w="1460"/>
        <w:gridCol w:w="1520"/>
        <w:gridCol w:w="1500"/>
      </w:tblGrid>
      <w:tr>
        <w:trPr>
          <w:trHeight w:val="230"/>
          <w:tblHeader/>
          <w:jc w:val="cent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pPr>
              <w:jc w:val="center"/>
              <w:rPr>
                <w:b/>
                <w:bCs/>
                <w:noProof/>
                <w:color w:val="000000"/>
                <w:sz w:val="20"/>
                <w:szCs w:val="20"/>
              </w:rPr>
            </w:pPr>
          </w:p>
        </w:tc>
        <w:tc>
          <w:tcPr>
            <w:tcW w:w="146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noProof/>
                <w:color w:val="000000"/>
                <w:sz w:val="20"/>
              </w:rPr>
              <w:t>Бюджет за 2017 г.</w:t>
            </w:r>
          </w:p>
        </w:tc>
        <w:tc>
          <w:tcPr>
            <w:tcW w:w="152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noProof/>
                <w:color w:val="000000"/>
                <w:sz w:val="20"/>
              </w:rPr>
              <w:t>КБ № 2/2017</w:t>
            </w:r>
          </w:p>
        </w:tc>
        <w:tc>
          <w:tcPr>
            <w:tcW w:w="150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noProof/>
                <w:color w:val="000000"/>
                <w:sz w:val="20"/>
              </w:rPr>
              <w:t>ПКБ № 6/2017</w:t>
            </w:r>
          </w:p>
        </w:tc>
      </w:tr>
      <w:tr>
        <w:trPr>
          <w:trHeight w:val="23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szCs w:val="20"/>
              </w:rPr>
            </w:pPr>
          </w:p>
        </w:tc>
        <w:tc>
          <w:tcPr>
            <w:tcW w:w="146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c>
          <w:tcPr>
            <w:tcW w:w="152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r>
      <w:tr>
        <w:trPr>
          <w:trHeight w:val="2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szCs w:val="20"/>
              </w:rPr>
            </w:pPr>
          </w:p>
        </w:tc>
        <w:tc>
          <w:tcPr>
            <w:tcW w:w="146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rPr>
              <w:t>(1)</w:t>
            </w:r>
          </w:p>
        </w:tc>
        <w:tc>
          <w:tcPr>
            <w:tcW w:w="152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rPr>
              <w:t>(2)</w:t>
            </w:r>
          </w:p>
        </w:tc>
        <w:tc>
          <w:tcPr>
            <w:tcW w:w="150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rPr>
              <w:t>(3)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BE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5 593,8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5 412,4</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5 232,8</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BG</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437,1</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418,4</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425,3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CZ</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1 591,4</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1 523,0</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1 459,0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DK</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2 562,8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2 441,6</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2 234,4</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DE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27 133,2</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25 759,2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23 823,1</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210,4</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201,3</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187,8</w:t>
            </w:r>
          </w:p>
        </w:tc>
      </w:tr>
      <w:tr>
        <w:trPr>
          <w:trHeight w:val="2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IE</w:t>
            </w:r>
          </w:p>
        </w:tc>
        <w:tc>
          <w:tcPr>
            <w:tcW w:w="146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1 966,4</w:t>
            </w:r>
          </w:p>
        </w:tc>
        <w:tc>
          <w:tcPr>
            <w:tcW w:w="152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1 881,3</w:t>
            </w:r>
          </w:p>
        </w:tc>
        <w:tc>
          <w:tcPr>
            <w:tcW w:w="1500" w:type="dxa"/>
            <w:tcBorders>
              <w:top w:val="single" w:sz="4" w:space="0" w:color="auto"/>
              <w:left w:val="nil"/>
              <w:bottom w:val="nil"/>
              <w:right w:val="single" w:sz="4" w:space="0" w:color="auto"/>
            </w:tcBorders>
            <w:shd w:val="clear" w:color="auto" w:fill="auto"/>
            <w:noWrap/>
          </w:tcPr>
          <w:p>
            <w:pPr>
              <w:jc w:val="right"/>
              <w:rPr>
                <w:noProof/>
                <w:sz w:val="20"/>
                <w:szCs w:val="20"/>
              </w:rPr>
            </w:pPr>
            <w:r>
              <w:rPr>
                <w:noProof/>
                <w:sz w:val="20"/>
              </w:rPr>
              <w:t>1 870,7</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EL</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1 618,8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1 543,1</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1 431,7</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ES</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10 802,0</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10 319,7</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9 768,3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FR</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20 461,9</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19 494,2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18 167,2</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HR</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427,8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408,7</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386,2</w:t>
            </w:r>
          </w:p>
        </w:tc>
      </w:tr>
      <w:tr>
        <w:trPr>
          <w:trHeight w:val="2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IT</w:t>
            </w:r>
          </w:p>
        </w:tc>
        <w:tc>
          <w:tcPr>
            <w:tcW w:w="146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rPr>
              <w:t>15 373,8</w:t>
            </w:r>
          </w:p>
        </w:tc>
        <w:tc>
          <w:tcPr>
            <w:tcW w:w="152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rPr>
              <w:t>14 662,3</w:t>
            </w:r>
          </w:p>
        </w:tc>
        <w:tc>
          <w:tcPr>
            <w:tcW w:w="1500" w:type="dxa"/>
            <w:tcBorders>
              <w:top w:val="nil"/>
              <w:left w:val="nil"/>
              <w:bottom w:val="single" w:sz="4" w:space="0" w:color="auto"/>
              <w:right w:val="single" w:sz="4" w:space="0" w:color="auto"/>
            </w:tcBorders>
            <w:shd w:val="clear" w:color="auto" w:fill="auto"/>
            <w:noWrap/>
          </w:tcPr>
          <w:p>
            <w:pPr>
              <w:jc w:val="right"/>
              <w:rPr>
                <w:noProof/>
                <w:sz w:val="20"/>
                <w:szCs w:val="20"/>
              </w:rPr>
            </w:pPr>
            <w:r>
              <w:rPr>
                <w:noProof/>
                <w:sz w:val="20"/>
              </w:rPr>
              <w:t>13 770,2</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CY</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165,6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158,2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151,1</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LV</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250,1</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238,8</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226,0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LT</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401,6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385,2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356,0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LU</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318,6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303,5</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294,4</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HU</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1 072,0</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1 023,9</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965,5</w:t>
            </w:r>
          </w:p>
        </w:tc>
      </w:tr>
      <w:tr>
        <w:trPr>
          <w:trHeight w:val="2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MT</w:t>
            </w:r>
          </w:p>
        </w:tc>
        <w:tc>
          <w:tcPr>
            <w:tcW w:w="146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92,9</w:t>
            </w:r>
          </w:p>
        </w:tc>
        <w:tc>
          <w:tcPr>
            <w:tcW w:w="152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88,9</w:t>
            </w:r>
          </w:p>
        </w:tc>
        <w:tc>
          <w:tcPr>
            <w:tcW w:w="1500" w:type="dxa"/>
            <w:tcBorders>
              <w:top w:val="single" w:sz="4" w:space="0" w:color="auto"/>
              <w:left w:val="nil"/>
              <w:bottom w:val="nil"/>
              <w:right w:val="single" w:sz="4" w:space="0" w:color="auto"/>
            </w:tcBorders>
            <w:shd w:val="clear" w:color="auto" w:fill="auto"/>
            <w:noWrap/>
          </w:tcPr>
          <w:p>
            <w:pPr>
              <w:jc w:val="right"/>
              <w:rPr>
                <w:noProof/>
                <w:sz w:val="20"/>
                <w:szCs w:val="20"/>
              </w:rPr>
            </w:pPr>
            <w:r>
              <w:rPr>
                <w:noProof/>
                <w:sz w:val="20"/>
              </w:rPr>
              <w:t>84,0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NL</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6 764,9</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6 464,0</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5 941,6</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AT</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2 943,7</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2 795,1</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2 634,8</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PL</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4 102,9</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3 923,0</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3 613,0</w:t>
            </w:r>
          </w:p>
        </w:tc>
      </w:tr>
      <w:tr>
        <w:trPr>
          <w:trHeight w:val="2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PT</w:t>
            </w:r>
          </w:p>
        </w:tc>
        <w:tc>
          <w:tcPr>
            <w:tcW w:w="146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rPr>
              <w:t>1 671,7</w:t>
            </w:r>
          </w:p>
        </w:tc>
        <w:tc>
          <w:tcPr>
            <w:tcW w:w="152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rPr>
              <w:t>1 593,7</w:t>
            </w:r>
          </w:p>
        </w:tc>
        <w:tc>
          <w:tcPr>
            <w:tcW w:w="1500" w:type="dxa"/>
            <w:tcBorders>
              <w:top w:val="nil"/>
              <w:left w:val="nil"/>
              <w:bottom w:val="single" w:sz="4" w:space="0" w:color="auto"/>
              <w:right w:val="single" w:sz="4" w:space="0" w:color="auto"/>
            </w:tcBorders>
            <w:shd w:val="clear" w:color="auto" w:fill="auto"/>
            <w:noWrap/>
          </w:tcPr>
          <w:p>
            <w:pPr>
              <w:jc w:val="right"/>
              <w:rPr>
                <w:noProof/>
                <w:sz w:val="20"/>
                <w:szCs w:val="20"/>
              </w:rPr>
            </w:pPr>
            <w:r>
              <w:rPr>
                <w:noProof/>
                <w:sz w:val="20"/>
              </w:rPr>
              <w:t>1 504,4</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RO</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1 512,7</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1 439,2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1 357,0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SI</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402,1</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385,3</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363,2</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SK</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733,7</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699,9</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662,7</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FI</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1 881,4</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1 791,2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1 707,6</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3 899,8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3 686,8</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3 218,3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UK</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17 324,6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16 271,7</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13 647,6</w:t>
            </w:r>
          </w:p>
        </w:tc>
      </w:tr>
      <w:tr>
        <w:trPr>
          <w:trHeight w:val="20"/>
          <w:jc w:val="center"/>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EU</w:t>
            </w:r>
          </w:p>
        </w:tc>
        <w:tc>
          <w:tcPr>
            <w:tcW w:w="146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szCs w:val="20"/>
              </w:rPr>
            </w:pPr>
            <w:r>
              <w:rPr>
                <w:b/>
                <w:noProof/>
                <w:sz w:val="20"/>
              </w:rPr>
              <w:t>131 718,0</w:t>
            </w:r>
          </w:p>
        </w:tc>
        <w:tc>
          <w:tcPr>
            <w:tcW w:w="1520" w:type="dxa"/>
            <w:tcBorders>
              <w:top w:val="single" w:sz="4" w:space="0" w:color="auto"/>
              <w:left w:val="nil"/>
              <w:bottom w:val="single" w:sz="8" w:space="0" w:color="auto"/>
              <w:right w:val="single" w:sz="4" w:space="0" w:color="auto"/>
            </w:tcBorders>
            <w:shd w:val="clear" w:color="auto" w:fill="auto"/>
            <w:vAlign w:val="center"/>
          </w:tcPr>
          <w:p>
            <w:pPr>
              <w:jc w:val="right"/>
              <w:rPr>
                <w:b/>
                <w:noProof/>
                <w:sz w:val="20"/>
                <w:szCs w:val="20"/>
              </w:rPr>
            </w:pPr>
            <w:r>
              <w:rPr>
                <w:b/>
                <w:noProof/>
                <w:sz w:val="20"/>
              </w:rPr>
              <w:t>125 313,4</w:t>
            </w:r>
          </w:p>
        </w:tc>
        <w:tc>
          <w:tcPr>
            <w:tcW w:w="150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szCs w:val="20"/>
              </w:rPr>
            </w:pPr>
            <w:r>
              <w:rPr>
                <w:b/>
                <w:noProof/>
                <w:sz w:val="20"/>
              </w:rPr>
              <w:t>115 483,8</w:t>
            </w:r>
          </w:p>
        </w:tc>
      </w:tr>
    </w:tbl>
    <w:p>
      <w:pPr>
        <w:keepNext/>
        <w:tabs>
          <w:tab w:val="left" w:pos="850"/>
        </w:tabs>
        <w:spacing w:before="360" w:after="120"/>
        <w:ind w:left="850" w:hanging="850"/>
        <w:jc w:val="both"/>
        <w:outlineLvl w:val="1"/>
        <w:rPr>
          <w:rFonts w:eastAsia="Calibri"/>
          <w:b/>
          <w:noProof/>
        </w:rPr>
      </w:pPr>
      <w:bookmarkStart w:id="48" w:name="_Toc462410059"/>
      <w:bookmarkStart w:id="49" w:name="_Toc494994379"/>
      <w:bookmarkStart w:id="50" w:name="_Toc496260471"/>
      <w:r>
        <w:rPr>
          <w:b/>
          <w:noProof/>
        </w:rPr>
        <w:t>3.2</w:t>
      </w:r>
      <w:r>
        <w:rPr>
          <w:noProof/>
        </w:rPr>
        <w:tab/>
      </w:r>
      <w:r>
        <w:rPr>
          <w:b/>
          <w:noProof/>
        </w:rPr>
        <w:t>Преразглеждане на прогнозата за ТСР и за базите за ДДС и БНД</w:t>
      </w:r>
      <w:bookmarkEnd w:id="48"/>
      <w:bookmarkEnd w:id="49"/>
      <w:bookmarkEnd w:id="50"/>
    </w:p>
    <w:p>
      <w:pPr>
        <w:spacing w:before="120" w:after="120"/>
        <w:jc w:val="both"/>
        <w:rPr>
          <w:noProof/>
        </w:rPr>
      </w:pPr>
      <w:bookmarkStart w:id="51" w:name="_Toc421699312"/>
      <w:bookmarkStart w:id="52" w:name="_Toc461544621"/>
      <w:bookmarkStart w:id="53" w:name="_Toc462410060"/>
      <w:bookmarkStart w:id="54" w:name="_Toc390436796"/>
      <w:bookmarkStart w:id="55" w:name="_Toc420941901"/>
      <w:bookmarkStart w:id="56" w:name="_Toc294673193"/>
      <w:bookmarkStart w:id="57" w:name="_Toc357005413"/>
      <w:bookmarkStart w:id="58" w:name="_Toc358885561"/>
      <w:r>
        <w:rPr>
          <w:noProof/>
        </w:rPr>
        <w:t>Съгласно установената практика Комисията предлага да преразгледа финансирането на бюджета въз основа на по-актуални икономически прогнози, одобрени на заседание на Консултативния комитет по собствените ресурси (ККСР).</w:t>
      </w:r>
    </w:p>
    <w:p>
      <w:pPr>
        <w:spacing w:before="120" w:after="120"/>
        <w:jc w:val="both"/>
        <w:rPr>
          <w:noProof/>
        </w:rPr>
      </w:pPr>
      <w:r>
        <w:rPr>
          <w:noProof/>
        </w:rPr>
        <w:t>Преразглеждането се отнася до прогнозата за традиционните собствени ресурси, които трябва да бъдат изплатени в бюджета за 2017 г., както и до прогнозата за базите за ДДС и БНД за 2017 г. Прогнозата в бюджета за 2017 г. бе определена на 166-ото заседание на ККСР, проведено на 18 май 2016 г. Преразгледаната прогноза, взета под внимание в настоящия ПКБ, бе договорена на 169-ото заседание на ККСР, проведено на 19 май 2017 г. Използването на актуализирана прогноза за собствените ресурси подобрява точността на прогнозите за приходите и оттам на плащанията, които се изисква държавите членки да извършват в хода на бюджетната година.</w:t>
      </w:r>
    </w:p>
    <w:p>
      <w:pPr>
        <w:spacing w:before="120" w:after="120"/>
        <w:jc w:val="both"/>
        <w:rPr>
          <w:noProof/>
        </w:rPr>
      </w:pPr>
      <w:r>
        <w:rPr>
          <w:noProof/>
        </w:rPr>
        <w:t>В сравнение с прогнозите, приети през май 2016 г., тези от май 2017 г. се променят по следния начин</w:t>
      </w:r>
      <w:r>
        <w:rPr>
          <w:noProof/>
          <w:vertAlign w:val="superscript"/>
        </w:rPr>
        <w:footnoteReference w:id="13"/>
      </w:r>
      <w:r>
        <w:rPr>
          <w:noProof/>
        </w:rPr>
        <w:t>:</w:t>
      </w:r>
    </w:p>
    <w:p>
      <w:pPr>
        <w:numPr>
          <w:ilvl w:val="0"/>
          <w:numId w:val="2"/>
        </w:numPr>
        <w:spacing w:before="120" w:after="120"/>
        <w:jc w:val="both"/>
        <w:rPr>
          <w:noProof/>
        </w:rPr>
      </w:pPr>
      <w:r>
        <w:rPr>
          <w:noProof/>
        </w:rPr>
        <w:t>Към момента общата нетна прогноза за ТСР за 2017 г. възлиза на 20 507,3 милиона евро (след приспадане на 20 % за разходи по събирането), което представлява намаление от -4,47 % спрямо прогнозата от 21 467,0 милиона евро, включена в бюджета за 2017 г. Комисията сравни резултатите от традиционната методика за прогнозиране на ККСР (въз основа на макроикономическата прогноза от пролетта на 2017 г.) с резултатите от екстраполацията на база на най-новите данни за събраните мита (януари—април 2017 г.). Тъй като разликата между двата метода беше относително голяма (1 220 милиарда евро), традиционната актуализирана прогноза на ККСР за ТСР е напълно коригирана спрямо прогнозата по метода на екстраполиране.</w:t>
      </w:r>
    </w:p>
    <w:p>
      <w:pPr>
        <w:numPr>
          <w:ilvl w:val="0"/>
          <w:numId w:val="2"/>
        </w:numPr>
        <w:spacing w:before="120" w:after="120"/>
        <w:jc w:val="both"/>
        <w:rPr>
          <w:noProof/>
        </w:rPr>
      </w:pPr>
      <w:r>
        <w:rPr>
          <w:noProof/>
        </w:rPr>
        <w:t xml:space="preserve">Прогнозата за общата база за ДДС без таван за 2017 г. за ЕС е на стойност 6 487 607,8 милиона евро, което представлява увеличение с +0,16 % в сравнение с прогнозата от май 2016 г. на стойност 6 477 447,9 милиона евро. Прогнозата за общата база за ДДС </w:t>
      </w:r>
      <w:r>
        <w:rPr>
          <w:i/>
          <w:noProof/>
        </w:rPr>
        <w:t>с таван</w:t>
      </w:r>
      <w:r>
        <w:rPr>
          <w:noProof/>
        </w:rPr>
        <w:t xml:space="preserve"> за 2017 г. за ЕС</w:t>
      </w:r>
      <w:r>
        <w:rPr>
          <w:noProof/>
          <w:vertAlign w:val="superscript"/>
        </w:rPr>
        <w:footnoteReference w:id="14"/>
      </w:r>
      <w:r>
        <w:rPr>
          <w:noProof/>
        </w:rPr>
        <w:t xml:space="preserve"> е на стойност 6 468 770,4 милиона евро, което представлява увеличение с +0,15 % в сравнение с прогнозата от май 2016 г. на стойност 6 459 187,15 милиона евро.</w:t>
      </w:r>
    </w:p>
    <w:p>
      <w:pPr>
        <w:numPr>
          <w:ilvl w:val="0"/>
          <w:numId w:val="2"/>
        </w:numPr>
        <w:spacing w:before="120" w:after="120"/>
        <w:jc w:val="both"/>
        <w:rPr>
          <w:noProof/>
        </w:rPr>
      </w:pPr>
      <w:r>
        <w:rPr>
          <w:noProof/>
        </w:rPr>
        <w:t>Прогнозата за общата база за БНД за 2017 г. за ЕС е на стойност 15 177 843,6 милиона евро, което представлява намаление (-1,51 %) в сравнение с прогнозата от май 2016 г. на стойност 15 410 553,3 милиона евро.</w:t>
      </w:r>
    </w:p>
    <w:p>
      <w:pPr>
        <w:jc w:val="both"/>
        <w:rPr>
          <w:noProof/>
        </w:rPr>
      </w:pPr>
      <w:r>
        <w:rPr>
          <w:noProof/>
        </w:rPr>
        <w:t>За конвертиране на прогнозите за базите за ДДС и БНД от национални валути в евро (за деветте държави членки, които не са членки на еврозоната) бяха използвани обменните курсове от 30 декември 2016 г. По този начин се избягва изкривяване, тъй като това е курсът, който се използва за конвертиране на вписаните в бюджета плащания по собствените ресурси от евро в национална валута, когато се изискват сумите (съгласно член 10а, параграф 1 от Регламент № 609/2014 на Съвета).</w:t>
      </w:r>
    </w:p>
    <w:p>
      <w:pPr>
        <w:spacing w:before="120" w:after="120"/>
        <w:jc w:val="both"/>
        <w:rPr>
          <w:noProof/>
        </w:rPr>
      </w:pPr>
      <w:r>
        <w:rPr>
          <w:noProof/>
        </w:rPr>
        <w:t>Преразгледаните прогнози за ТСР, за базите за ДДС без таван и за базите за БНД за 2017 г., приети на 169-ото заседание на ККСР от 19 май 2017 г., са посочени в следната таблица:</w:t>
      </w:r>
    </w:p>
    <w:p>
      <w:pPr>
        <w:keepNext/>
        <w:jc w:val="center"/>
        <w:rPr>
          <w:b/>
          <w:i/>
          <w:noProof/>
        </w:rPr>
      </w:pPr>
      <w:r>
        <w:rPr>
          <w:b/>
          <w:noProof/>
        </w:rPr>
        <w:t xml:space="preserve">Преразгледани прогнози за ТСР и за базите за ДДС и БНД за 2017 г. </w:t>
      </w:r>
      <w:r>
        <w:rPr>
          <w:b/>
          <w:i/>
          <w:noProof/>
        </w:rPr>
        <w:t>(в млн. евро)</w:t>
      </w:r>
    </w:p>
    <w:tbl>
      <w:tblPr>
        <w:tblW w:w="0" w:type="auto"/>
        <w:jc w:val="center"/>
        <w:tblLayout w:type="fixed"/>
        <w:tblLook w:val="0000" w:firstRow="0" w:lastRow="0" w:firstColumn="0" w:lastColumn="0" w:noHBand="0" w:noVBand="0"/>
      </w:tblPr>
      <w:tblGrid>
        <w:gridCol w:w="829"/>
        <w:gridCol w:w="1404"/>
        <w:gridCol w:w="1404"/>
        <w:gridCol w:w="1404"/>
        <w:gridCol w:w="1404"/>
        <w:gridCol w:w="1404"/>
      </w:tblGrid>
      <w:tr>
        <w:trPr>
          <w:trHeight w:val="742"/>
          <w:tblHeader/>
          <w:jc w:val="center"/>
        </w:trPr>
        <w:tc>
          <w:tcPr>
            <w:tcW w:w="829" w:type="dxa"/>
            <w:tcBorders>
              <w:bottom w:val="single" w:sz="12" w:space="0" w:color="auto"/>
              <w:right w:val="single" w:sz="12" w:space="0" w:color="000000"/>
            </w:tcBorders>
          </w:tcPr>
          <w:p>
            <w:pPr>
              <w:keepNext/>
              <w:autoSpaceDE w:val="0"/>
              <w:autoSpaceDN w:val="0"/>
              <w:adjustRightInd w:val="0"/>
              <w:jc w:val="right"/>
              <w:rPr>
                <w:b/>
                <w:bCs/>
                <w:noProof/>
                <w:color w:val="000000"/>
                <w:sz w:val="20"/>
              </w:rPr>
            </w:pPr>
            <w:bookmarkStart w:id="59" w:name="OLE_LINK1"/>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Налози</w:t>
            </w:r>
          </w:p>
          <w:p>
            <w:pPr>
              <w:keepNext/>
              <w:autoSpaceDE w:val="0"/>
              <w:autoSpaceDN w:val="0"/>
              <w:adjustRightInd w:val="0"/>
              <w:jc w:val="center"/>
              <w:rPr>
                <w:b/>
                <w:bCs/>
                <w:noProof/>
                <w:color w:val="000000"/>
                <w:sz w:val="20"/>
              </w:rPr>
            </w:pPr>
            <w:r>
              <w:rPr>
                <w:b/>
                <w:noProof/>
                <w:color w:val="000000"/>
                <w:sz w:val="20"/>
              </w:rPr>
              <w:t>върху захарта</w:t>
            </w:r>
          </w:p>
          <w:p>
            <w:pPr>
              <w:keepNext/>
              <w:autoSpaceDE w:val="0"/>
              <w:autoSpaceDN w:val="0"/>
              <w:adjustRightInd w:val="0"/>
              <w:jc w:val="center"/>
              <w:rPr>
                <w:b/>
                <w:bCs/>
                <w:noProof/>
                <w:color w:val="000000"/>
                <w:sz w:val="20"/>
              </w:rPr>
            </w:pPr>
            <w:r>
              <w:rPr>
                <w:b/>
                <w:i/>
                <w:noProof/>
                <w:color w:val="000000"/>
                <w:sz w:val="20"/>
              </w:rPr>
              <w:t xml:space="preserve">(80 %)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Мита</w:t>
            </w:r>
          </w:p>
          <w:p>
            <w:pPr>
              <w:keepNext/>
              <w:autoSpaceDE w:val="0"/>
              <w:autoSpaceDN w:val="0"/>
              <w:adjustRightInd w:val="0"/>
              <w:jc w:val="center"/>
              <w:rPr>
                <w:b/>
                <w:bCs/>
                <w:i/>
                <w:iCs/>
                <w:noProof/>
                <w:color w:val="000000"/>
                <w:sz w:val="20"/>
              </w:rPr>
            </w:pPr>
            <w:r>
              <w:rPr>
                <w:b/>
                <w:i/>
                <w:noProof/>
                <w:color w:val="000000"/>
                <w:sz w:val="20"/>
              </w:rPr>
              <w:t>(80 %)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Бази за ДДС без таван</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Бази за БНД</w:t>
            </w:r>
          </w:p>
        </w:tc>
        <w:tc>
          <w:tcPr>
            <w:tcW w:w="1404" w:type="dxa"/>
            <w:tcBorders>
              <w:top w:val="single" w:sz="12" w:space="0" w:color="auto"/>
              <w:left w:val="single" w:sz="2" w:space="0" w:color="000000"/>
              <w:bottom w:val="single" w:sz="12" w:space="0" w:color="auto"/>
              <w:right w:val="single" w:sz="12" w:space="0" w:color="auto"/>
            </w:tcBorders>
            <w:shd w:val="clear" w:color="auto" w:fill="E0E0E0"/>
            <w:vAlign w:val="center"/>
          </w:tcPr>
          <w:p>
            <w:pPr>
              <w:keepNext/>
              <w:autoSpaceDE w:val="0"/>
              <w:autoSpaceDN w:val="0"/>
              <w:adjustRightInd w:val="0"/>
              <w:jc w:val="center"/>
              <w:rPr>
                <w:b/>
                <w:bCs/>
                <w:i/>
                <w:iCs/>
                <w:noProof/>
                <w:color w:val="000000"/>
                <w:sz w:val="20"/>
              </w:rPr>
            </w:pPr>
            <w:r>
              <w:rPr>
                <w:b/>
                <w:i/>
                <w:noProof/>
                <w:color w:val="000000"/>
                <w:sz w:val="20"/>
              </w:rPr>
              <w:t>Бази за ДДС</w:t>
            </w:r>
          </w:p>
          <w:p>
            <w:pPr>
              <w:keepNext/>
              <w:autoSpaceDE w:val="0"/>
              <w:autoSpaceDN w:val="0"/>
              <w:adjustRightInd w:val="0"/>
              <w:jc w:val="center"/>
              <w:rPr>
                <w:b/>
                <w:bCs/>
                <w:i/>
                <w:iCs/>
                <w:noProof/>
                <w:color w:val="000000"/>
                <w:sz w:val="20"/>
              </w:rPr>
            </w:pPr>
            <w:r>
              <w:rPr>
                <w:b/>
                <w:i/>
                <w:noProof/>
                <w:color w:val="000000"/>
                <w:sz w:val="20"/>
              </w:rPr>
              <w:t>с таван</w:t>
            </w:r>
            <w:r>
              <w:rPr>
                <w:b/>
                <w:i/>
                <w:noProof/>
                <w:color w:val="000000"/>
                <w:sz w:val="20"/>
                <w:vertAlign w:val="superscript"/>
              </w:rPr>
              <w:footnoteReference w:id="15"/>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BE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7,0</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 xml:space="preserve">2 180,8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181 702,0</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 xml:space="preserve">430 857,3 </w:t>
            </w:r>
          </w:p>
        </w:tc>
        <w:tc>
          <w:tcPr>
            <w:tcW w:w="1404" w:type="dxa"/>
            <w:tcBorders>
              <w:top w:val="single" w:sz="12" w:space="0" w:color="auto"/>
              <w:left w:val="single" w:sz="2" w:space="0" w:color="000000"/>
              <w:bottom w:val="single" w:sz="2" w:space="0" w:color="000000"/>
              <w:right w:val="single" w:sz="12" w:space="0" w:color="auto"/>
            </w:tcBorders>
            <w:shd w:val="clear" w:color="auto" w:fill="auto"/>
            <w:vAlign w:val="center"/>
          </w:tcPr>
          <w:p>
            <w:pPr>
              <w:ind w:left="20"/>
              <w:contextualSpacing/>
              <w:jc w:val="right"/>
              <w:rPr>
                <w:noProof/>
                <w:color w:val="000000"/>
                <w:sz w:val="20"/>
              </w:rPr>
            </w:pPr>
            <w:r>
              <w:rPr>
                <w:noProof/>
                <w:color w:val="000000"/>
                <w:sz w:val="20"/>
              </w:rPr>
              <w:t xml:space="preserve">181 702,0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BG</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0,4</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 xml:space="preserve">74,3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23 169,3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48 254,9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23 169,3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CZ</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3,6</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253,9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69 591,7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170 821,6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69 591,7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DK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3,6</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333,1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109 543,6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294 073,0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109 543,6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DE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28,1</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4 214,7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1 344 582,5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3 292 895,8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1 344 582,5 </w:t>
            </w:r>
          </w:p>
        </w:tc>
      </w:tr>
      <w:tr>
        <w:trPr>
          <w:trHeight w:val="247"/>
          <w:jc w:val="center"/>
        </w:trPr>
        <w:tc>
          <w:tcPr>
            <w:tcW w:w="829" w:type="dxa"/>
            <w:tcBorders>
              <w:top w:val="single" w:sz="2" w:space="0" w:color="000000"/>
              <w:left w:val="single" w:sz="12" w:space="0" w:color="auto"/>
              <w:bottom w:val="single" w:sz="2"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EE</w:t>
            </w:r>
          </w:p>
        </w:tc>
        <w:tc>
          <w:tcPr>
            <w:tcW w:w="1404" w:type="dxa"/>
            <w:tcBorders>
              <w:top w:val="single" w:sz="2" w:space="0" w:color="000000"/>
              <w:left w:val="single" w:sz="2" w:space="0" w:color="000000"/>
              <w:bottom w:val="single" w:sz="2" w:space="0" w:color="auto"/>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rPr>
            </w:pPr>
            <w:r>
              <w:rPr>
                <w:noProof/>
                <w:color w:val="000000"/>
                <w:sz w:val="20"/>
              </w:rPr>
              <w:t xml:space="preserve">29,1 </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rPr>
            </w:pPr>
            <w:r>
              <w:rPr>
                <w:noProof/>
                <w:color w:val="000000"/>
                <w:sz w:val="20"/>
              </w:rPr>
              <w:t xml:space="preserve">11 013,6 </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rPr>
            </w:pPr>
            <w:r>
              <w:rPr>
                <w:noProof/>
                <w:color w:val="000000"/>
                <w:sz w:val="20"/>
              </w:rPr>
              <w:t xml:space="preserve">21 710,8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10 855,4 </w:t>
            </w:r>
          </w:p>
        </w:tc>
      </w:tr>
      <w:tr>
        <w:trPr>
          <w:trHeight w:val="247"/>
          <w:jc w:val="center"/>
        </w:trPr>
        <w:tc>
          <w:tcPr>
            <w:tcW w:w="829" w:type="dxa"/>
            <w:tcBorders>
              <w:top w:val="single" w:sz="2"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IE</w:t>
            </w:r>
          </w:p>
        </w:tc>
        <w:tc>
          <w:tcPr>
            <w:tcW w:w="1404" w:type="dxa"/>
            <w:tcBorders>
              <w:top w:val="single" w:sz="2"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277,1 </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82 328,0 </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231 429,7 </w:t>
            </w:r>
          </w:p>
        </w:tc>
        <w:tc>
          <w:tcPr>
            <w:tcW w:w="1404" w:type="dxa"/>
            <w:tcBorders>
              <w:top w:val="single" w:sz="2" w:space="0" w:color="000000"/>
              <w:left w:val="single" w:sz="2" w:space="0" w:color="000000"/>
              <w:bottom w:val="single" w:sz="2" w:space="0" w:color="auto"/>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82 328,0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EL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1,5</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156,9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72 702,4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181 726,6 </w:t>
            </w:r>
          </w:p>
        </w:tc>
        <w:tc>
          <w:tcPr>
            <w:tcW w:w="1404" w:type="dxa"/>
            <w:tcBorders>
              <w:top w:val="single" w:sz="2" w:space="0" w:color="auto"/>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72 702,4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ES</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5,0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1 521,4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511 216,1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1 157 887,3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511 216,1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FR</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33,0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1 599,0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1 016 719,6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2 324 154,3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1 016 719,6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HR</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1,9</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45,8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28 337,3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46 300,3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23 150,2 </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IT</w:t>
            </w:r>
          </w:p>
        </w:tc>
        <w:tc>
          <w:tcPr>
            <w:tcW w:w="1404" w:type="dxa"/>
            <w:tcBorders>
              <w:top w:val="single" w:sz="2" w:space="0" w:color="000000"/>
              <w:left w:val="single" w:sz="2" w:space="0" w:color="000000"/>
              <w:bottom w:val="single" w:sz="4" w:space="0" w:color="auto"/>
              <w:right w:val="single" w:sz="2" w:space="0" w:color="000000"/>
            </w:tcBorders>
            <w:vAlign w:val="center"/>
          </w:tcPr>
          <w:p>
            <w:pPr>
              <w:ind w:left="20"/>
              <w:contextualSpacing/>
              <w:jc w:val="right"/>
              <w:rPr>
                <w:noProof/>
                <w:color w:val="000000"/>
                <w:sz w:val="20"/>
              </w:rPr>
            </w:pPr>
            <w:r>
              <w:rPr>
                <w:noProof/>
                <w:color w:val="000000"/>
                <w:sz w:val="20"/>
              </w:rPr>
              <w:t>5,0</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1 910,7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649 635,8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1 705 264,7 </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649 635,8 </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CY</w:t>
            </w:r>
          </w:p>
        </w:tc>
        <w:tc>
          <w:tcPr>
            <w:tcW w:w="1404" w:type="dxa"/>
            <w:tcBorders>
              <w:top w:val="single" w:sz="4"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20,3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12 082,5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17 909,5 </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8 954,8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LV</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40,7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10 662,9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26 452,1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10 662,9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LT</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0,9</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77,0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16 556,7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39 240,8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16 556,7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LU</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19,5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26 940,4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37 268,3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18 634,2 </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HU</w:t>
            </w:r>
          </w:p>
        </w:tc>
        <w:tc>
          <w:tcPr>
            <w:tcW w:w="1404" w:type="dxa"/>
            <w:tcBorders>
              <w:top w:val="single" w:sz="2" w:space="0" w:color="000000"/>
              <w:left w:val="single" w:sz="2" w:space="0" w:color="000000"/>
              <w:bottom w:val="single" w:sz="4" w:space="0" w:color="auto"/>
              <w:right w:val="single" w:sz="2" w:space="0" w:color="000000"/>
            </w:tcBorders>
            <w:vAlign w:val="center"/>
          </w:tcPr>
          <w:p>
            <w:pPr>
              <w:ind w:left="20"/>
              <w:contextualSpacing/>
              <w:jc w:val="right"/>
              <w:rPr>
                <w:noProof/>
                <w:color w:val="000000"/>
                <w:sz w:val="20"/>
              </w:rPr>
            </w:pPr>
            <w:r>
              <w:rPr>
                <w:noProof/>
                <w:color w:val="000000"/>
                <w:sz w:val="20"/>
              </w:rPr>
              <w:t>2,2</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140,1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48 357,0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116 824,7 </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48 357,0 </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MT</w:t>
            </w:r>
          </w:p>
        </w:tc>
        <w:tc>
          <w:tcPr>
            <w:tcW w:w="1404" w:type="dxa"/>
            <w:tcBorders>
              <w:top w:val="single" w:sz="4"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11,9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6 757,1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9 843,1 </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4 921,6</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NL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7,7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2 433,2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304 311,3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712 882,7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304 311,3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AT</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204,1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168 078,0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360 646,5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168 078,0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PL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13,7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608,6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179 446,7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422 847,6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179 446,7 </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PT</w:t>
            </w:r>
          </w:p>
        </w:tc>
        <w:tc>
          <w:tcPr>
            <w:tcW w:w="1404" w:type="dxa"/>
            <w:tcBorders>
              <w:top w:val="dotted" w:sz="6"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0,2</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138,3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93 756,3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187 067,6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93 533,8 </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RO</w:t>
            </w:r>
          </w:p>
        </w:tc>
        <w:tc>
          <w:tcPr>
            <w:tcW w:w="1404" w:type="dxa"/>
            <w:tcBorders>
              <w:top w:val="dotted" w:sz="6"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1,0</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148,0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63 769,3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174 951,6 </w:t>
            </w:r>
          </w:p>
        </w:tc>
        <w:tc>
          <w:tcPr>
            <w:tcW w:w="1404" w:type="dxa"/>
            <w:tcBorders>
              <w:top w:val="dotted" w:sz="6" w:space="0" w:color="auto"/>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63 769,3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SI</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67,6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19 185,3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40 910,3 </w:t>
            </w:r>
          </w:p>
        </w:tc>
        <w:tc>
          <w:tcPr>
            <w:tcW w:w="1404" w:type="dxa"/>
            <w:tcBorders>
              <w:top w:val="single" w:sz="2" w:space="0" w:color="000000"/>
              <w:left w:val="single" w:sz="2" w:space="0" w:color="000000"/>
              <w:bottom w:val="single" w:sz="2" w:space="0" w:color="000000"/>
              <w:right w:val="single" w:sz="12" w:space="0" w:color="auto"/>
            </w:tcBorders>
            <w:shd w:val="clear" w:color="C0C0C0" w:fill="auto"/>
            <w:vAlign w:val="center"/>
          </w:tcPr>
          <w:p>
            <w:pPr>
              <w:contextualSpacing/>
              <w:jc w:val="right"/>
              <w:rPr>
                <w:noProof/>
                <w:color w:val="000000"/>
                <w:sz w:val="20"/>
              </w:rPr>
            </w:pPr>
            <w:r>
              <w:rPr>
                <w:noProof/>
                <w:color w:val="000000"/>
                <w:sz w:val="20"/>
              </w:rPr>
              <w:t xml:space="preserve">19 185,3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95,7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28 850,4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82 304,9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28 850,4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FI</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0,8</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140,5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94 101,7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220 743,3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94 101,7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2,8</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497,4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208 548,1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488 888,5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208 548,1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UK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10,10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3 134,5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1 105 662,2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2 333 685,8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1 105 662,2 </w:t>
            </w:r>
          </w:p>
        </w:tc>
      </w:tr>
      <w:tr>
        <w:trPr>
          <w:trHeight w:val="276"/>
          <w:jc w:val="center"/>
        </w:trPr>
        <w:tc>
          <w:tcPr>
            <w:tcW w:w="829" w:type="dxa"/>
            <w:tcBorders>
              <w:top w:val="single" w:sz="12" w:space="0" w:color="auto"/>
              <w:left w:val="single" w:sz="12" w:space="0" w:color="auto"/>
              <w:bottom w:val="single" w:sz="12"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EU-28</w:t>
            </w:r>
          </w:p>
        </w:tc>
        <w:tc>
          <w:tcPr>
            <w:tcW w:w="1404" w:type="dxa"/>
            <w:tcBorders>
              <w:top w:val="single" w:sz="12" w:space="0" w:color="auto"/>
              <w:left w:val="single" w:sz="2" w:space="0" w:color="000000"/>
              <w:bottom w:val="single" w:sz="12" w:space="0" w:color="auto"/>
              <w:right w:val="single" w:sz="2" w:space="0" w:color="000000"/>
            </w:tcBorders>
            <w:vAlign w:val="center"/>
          </w:tcPr>
          <w:p>
            <w:pPr>
              <w:ind w:left="20"/>
              <w:contextualSpacing/>
              <w:jc w:val="right"/>
              <w:rPr>
                <w:b/>
                <w:bCs/>
                <w:noProof/>
                <w:color w:val="000000"/>
                <w:sz w:val="20"/>
              </w:rPr>
            </w:pPr>
            <w:r>
              <w:rPr>
                <w:b/>
                <w:noProof/>
                <w:color w:val="000000"/>
                <w:sz w:val="20"/>
              </w:rPr>
              <w:t>133,3</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rPr>
            </w:pPr>
            <w:r>
              <w:rPr>
                <w:b/>
                <w:noProof/>
                <w:color w:val="000000"/>
                <w:sz w:val="20"/>
              </w:rPr>
              <w:t xml:space="preserve">20 374,0 </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rPr>
            </w:pPr>
            <w:r>
              <w:rPr>
                <w:b/>
                <w:noProof/>
                <w:color w:val="000000"/>
                <w:sz w:val="20"/>
              </w:rPr>
              <w:t xml:space="preserve">6 487 607,8 </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rPr>
            </w:pPr>
            <w:r>
              <w:rPr>
                <w:b/>
                <w:noProof/>
                <w:color w:val="000000"/>
                <w:sz w:val="20"/>
              </w:rPr>
              <w:t xml:space="preserve">15 177 843,6 </w:t>
            </w:r>
          </w:p>
        </w:tc>
        <w:tc>
          <w:tcPr>
            <w:tcW w:w="1404" w:type="dxa"/>
            <w:tcBorders>
              <w:top w:val="single" w:sz="12" w:space="0" w:color="auto"/>
              <w:left w:val="single" w:sz="2" w:space="0" w:color="000000"/>
              <w:bottom w:val="single" w:sz="12" w:space="0" w:color="auto"/>
              <w:right w:val="single" w:sz="12" w:space="0" w:color="auto"/>
            </w:tcBorders>
            <w:vAlign w:val="center"/>
          </w:tcPr>
          <w:p>
            <w:pPr>
              <w:contextualSpacing/>
              <w:jc w:val="right"/>
              <w:rPr>
                <w:b/>
                <w:bCs/>
                <w:noProof/>
                <w:color w:val="000000"/>
                <w:sz w:val="20"/>
              </w:rPr>
            </w:pPr>
            <w:r>
              <w:rPr>
                <w:b/>
                <w:noProof/>
                <w:color w:val="000000"/>
                <w:sz w:val="20"/>
              </w:rPr>
              <w:t xml:space="preserve">6 468 770,4 </w:t>
            </w:r>
          </w:p>
        </w:tc>
      </w:tr>
    </w:tbl>
    <w:p>
      <w:pPr>
        <w:keepNext/>
        <w:tabs>
          <w:tab w:val="left" w:pos="850"/>
        </w:tabs>
        <w:spacing w:before="360" w:after="120"/>
        <w:ind w:left="850" w:hanging="850"/>
        <w:jc w:val="both"/>
        <w:outlineLvl w:val="1"/>
        <w:rPr>
          <w:rFonts w:eastAsia="Calibri"/>
          <w:b/>
          <w:noProof/>
        </w:rPr>
      </w:pPr>
      <w:bookmarkStart w:id="60" w:name="_Toc494994380"/>
      <w:bookmarkStart w:id="61" w:name="_Toc496260472"/>
      <w:bookmarkEnd w:id="59"/>
      <w:r>
        <w:rPr>
          <w:b/>
          <w:noProof/>
        </w:rPr>
        <w:t>3.3</w:t>
      </w:r>
      <w:r>
        <w:rPr>
          <w:noProof/>
        </w:rPr>
        <w:tab/>
      </w:r>
      <w:r>
        <w:rPr>
          <w:b/>
          <w:noProof/>
        </w:rPr>
        <w:t>Корекция за Обединеното кралство за 2016 и 2013 г.</w:t>
      </w:r>
      <w:bookmarkEnd w:id="51"/>
      <w:bookmarkEnd w:id="52"/>
      <w:bookmarkEnd w:id="53"/>
      <w:bookmarkEnd w:id="60"/>
      <w:bookmarkEnd w:id="61"/>
    </w:p>
    <w:p>
      <w:pPr>
        <w:tabs>
          <w:tab w:val="left" w:pos="850"/>
        </w:tabs>
        <w:rPr>
          <w:bCs/>
          <w:i/>
          <w:noProof/>
        </w:rPr>
      </w:pPr>
      <w:bookmarkStart w:id="62" w:name="_Toc294673194"/>
      <w:bookmarkStart w:id="63" w:name="_Toc357005414"/>
      <w:bookmarkStart w:id="64" w:name="_Toc390436797"/>
      <w:bookmarkStart w:id="65" w:name="_Toc420941902"/>
      <w:bookmarkStart w:id="66" w:name="_Toc461544622"/>
      <w:bookmarkEnd w:id="54"/>
      <w:bookmarkEnd w:id="55"/>
      <w:r>
        <w:rPr>
          <w:i/>
          <w:noProof/>
        </w:rPr>
        <w:t>3.3.1</w:t>
      </w:r>
      <w:r>
        <w:rPr>
          <w:noProof/>
        </w:rPr>
        <w:tab/>
      </w:r>
      <w:r>
        <w:rPr>
          <w:i/>
          <w:noProof/>
        </w:rPr>
        <w:t>Въведение</w:t>
      </w:r>
      <w:bookmarkEnd w:id="62"/>
      <w:bookmarkEnd w:id="63"/>
      <w:bookmarkEnd w:id="64"/>
      <w:bookmarkEnd w:id="65"/>
      <w:bookmarkEnd w:id="66"/>
    </w:p>
    <w:p>
      <w:pPr>
        <w:spacing w:before="120" w:after="120"/>
        <w:jc w:val="both"/>
        <w:rPr>
          <w:noProof/>
        </w:rPr>
      </w:pPr>
      <w:r>
        <w:rPr>
          <w:noProof/>
        </w:rPr>
        <w:t>Корекцията на бюджетните дисбаланси в полза на Обединеното кралство (корекция за Обединеното кралство), която следва да бъде предвидена в настоящия ПКБ, се отнася за две години: 2013 и 2016 г.</w:t>
      </w:r>
    </w:p>
    <w:p>
      <w:pPr>
        <w:rPr>
          <w:noProof/>
        </w:rPr>
      </w:pPr>
      <w:r>
        <w:rPr>
          <w:noProof/>
        </w:rPr>
        <w:t>По отношение на корекцията за Обединеното кралство за 2013 г. се прилагат разпоредбите на Решение 2007/436/ЕО, Евратом на Съвета относно системата на собствените ресурси на Европейските общности</w:t>
      </w:r>
      <w:r>
        <w:rPr>
          <w:noProof/>
          <w:vertAlign w:val="superscript"/>
        </w:rPr>
        <w:footnoteReference w:id="16"/>
      </w:r>
      <w:r>
        <w:rPr>
          <w:noProof/>
        </w:rPr>
        <w:t xml:space="preserve"> и придружаващият го работен документ (</w:t>
      </w:r>
      <w:r>
        <w:rPr>
          <w:i/>
          <w:noProof/>
        </w:rPr>
        <w:t>Метод за изчисляване от 2007 г.</w:t>
      </w:r>
      <w:r>
        <w:rPr>
          <w:noProof/>
          <w:vertAlign w:val="superscript"/>
        </w:rPr>
        <w:footnoteReference w:id="17"/>
      </w:r>
      <w:r>
        <w:rPr>
          <w:noProof/>
        </w:rPr>
        <w:t xml:space="preserve">). Според разпоредбите на посоченото решение нетните „извънредни приходи“ от ТСР на Обединеното кралство, произтичащи от увеличаването от 2001 г. насам на процента от ТСР, който държавите членки задържат като компенсация за разходите си по събирането, се неутрализират, а разпределените разходи се коригират с общите разпределени разходи в държавите членки, които са се присъединили към ЕС след 30 април 2004 г., с изключение на преките селскостопански плащания и свързаните с пазара разходи, както и частта от разходите за развитие на селските райони, произхождаща от ФЕОГА, секция „Гарантиране“. </w:t>
      </w:r>
    </w:p>
    <w:p>
      <w:pPr>
        <w:jc w:val="both"/>
        <w:rPr>
          <w:noProof/>
        </w:rPr>
      </w:pPr>
      <w:r>
        <w:rPr>
          <w:noProof/>
        </w:rPr>
        <w:t>По отношение на корекцията за Обединеното кралство за 2016 г. се прилагат разпоредбите на Решение 2014/335/ЕС, Евратом на Съвета относно системата на собствените ресурси на Европейския съюз</w:t>
      </w:r>
      <w:r>
        <w:rPr>
          <w:rStyle w:val="FootnoteReference"/>
          <w:noProof/>
        </w:rPr>
        <w:footnoteReference w:id="18"/>
      </w:r>
      <w:r>
        <w:rPr>
          <w:noProof/>
        </w:rPr>
        <w:t xml:space="preserve"> и придружаващият го работен документ (</w:t>
      </w:r>
      <w:r>
        <w:rPr>
          <w:i/>
          <w:noProof/>
        </w:rPr>
        <w:t>Метод за изчисляване от 2014 г.</w:t>
      </w:r>
      <w:r>
        <w:rPr>
          <w:noProof/>
          <w:vertAlign w:val="superscript"/>
        </w:rPr>
        <w:footnoteReference w:id="19"/>
      </w:r>
      <w:r>
        <w:rPr>
          <w:noProof/>
        </w:rPr>
        <w:t xml:space="preserve">). Според разпоредбите на посоченото решение нетните „извънредни приходи“ от ТСР на Обединеното кралство, произтичащи от увеличаването от 2001 г. насам на процента от ТСР, който държавите членки задържат като компенсация за разходите си по събирането, се неутрализират (като се вземат предвид разходите по събирането от 20 %), а разпределените разходи се коригират с общите разпределени разходи в държавите членки, които са се присъединили към ЕС след 30 април 2004 г., с изключение на преките селскостопански плащания и свързаните с пазара разходи, както и частта от разходите за развитие на селските райони, произхождаща от ФЕОГА, секция „Гарантиране“. </w:t>
      </w:r>
    </w:p>
    <w:p>
      <w:pPr>
        <w:spacing w:before="120" w:after="120"/>
        <w:jc w:val="both"/>
        <w:rPr>
          <w:noProof/>
        </w:rPr>
      </w:pPr>
      <w:r>
        <w:rPr>
          <w:noProof/>
        </w:rPr>
        <w:t>Освен това делът на Австрия, Германия, Нидерландия и Швеция във финансирането на корекцията за Обединеното кралство е намален на една четвърт от обичайната му стойност за корекциите за 2013 г. и 2016 г. Това намаление се финансира от другите държави членки, с изключение на Обединеното кралство.</w:t>
      </w:r>
    </w:p>
    <w:p>
      <w:pPr>
        <w:spacing w:before="120" w:after="120"/>
        <w:jc w:val="both"/>
        <w:rPr>
          <w:noProof/>
        </w:rPr>
      </w:pPr>
      <w:r>
        <w:rPr>
          <w:noProof/>
        </w:rPr>
        <w:t xml:space="preserve">Разликата между </w:t>
      </w:r>
      <w:r>
        <w:rPr>
          <w:i/>
          <w:noProof/>
        </w:rPr>
        <w:t>окончателния размер</w:t>
      </w:r>
      <w:r>
        <w:rPr>
          <w:noProof/>
        </w:rPr>
        <w:t xml:space="preserve"> </w:t>
      </w:r>
      <w:r>
        <w:rPr>
          <w:i/>
          <w:noProof/>
        </w:rPr>
        <w:t>на корекцията за Обединеното кралство за 2013 г.</w:t>
      </w:r>
      <w:r>
        <w:rPr>
          <w:noProof/>
        </w:rPr>
        <w:t xml:space="preserve"> и размера, включен преди това в бюджета (</w:t>
      </w:r>
      <w:r>
        <w:rPr>
          <w:i/>
          <w:noProof/>
        </w:rPr>
        <w:t>втората актуализация</w:t>
      </w:r>
      <w:r>
        <w:rPr>
          <w:noProof/>
        </w:rPr>
        <w:t xml:space="preserve">, записана в КБ № 5/2016), е записана в глава 35 от настоящия ПКБ. </w:t>
      </w:r>
    </w:p>
    <w:p>
      <w:pPr>
        <w:spacing w:before="120" w:after="120"/>
        <w:jc w:val="both"/>
        <w:rPr>
          <w:noProof/>
        </w:rPr>
      </w:pPr>
      <w:r>
        <w:rPr>
          <w:noProof/>
        </w:rPr>
        <w:t xml:space="preserve">Разликата между </w:t>
      </w:r>
      <w:r>
        <w:rPr>
          <w:i/>
          <w:noProof/>
        </w:rPr>
        <w:t>размера на</w:t>
      </w:r>
      <w:r>
        <w:rPr>
          <w:noProof/>
        </w:rPr>
        <w:t xml:space="preserve"> </w:t>
      </w:r>
      <w:r>
        <w:rPr>
          <w:i/>
          <w:noProof/>
        </w:rPr>
        <w:t>първата актуализация</w:t>
      </w:r>
      <w:r>
        <w:rPr>
          <w:noProof/>
        </w:rPr>
        <w:t xml:space="preserve"> </w:t>
      </w:r>
      <w:r>
        <w:rPr>
          <w:i/>
          <w:noProof/>
        </w:rPr>
        <w:t>на корекцията за Обединеното кралство за 2016 г.</w:t>
      </w:r>
      <w:r>
        <w:rPr>
          <w:noProof/>
        </w:rPr>
        <w:t xml:space="preserve"> и размера, включен преди това в бюджета (</w:t>
      </w:r>
      <w:r>
        <w:rPr>
          <w:i/>
          <w:noProof/>
        </w:rPr>
        <w:t>временния размер</w:t>
      </w:r>
      <w:r>
        <w:rPr>
          <w:noProof/>
        </w:rPr>
        <w:t>, записан в бюджета за 2017 г.), е записана в глава 15 от настоящия ПКБ.</w:t>
      </w:r>
    </w:p>
    <w:p>
      <w:pPr>
        <w:tabs>
          <w:tab w:val="left" w:pos="850"/>
        </w:tabs>
        <w:rPr>
          <w:bCs/>
          <w:i/>
          <w:noProof/>
        </w:rPr>
      </w:pPr>
      <w:bookmarkStart w:id="67" w:name="_Toc231879704"/>
      <w:bookmarkStart w:id="68" w:name="_Toc293417236"/>
      <w:bookmarkStart w:id="69" w:name="_Toc294673195"/>
      <w:bookmarkStart w:id="70" w:name="_Toc357005415"/>
      <w:bookmarkStart w:id="71" w:name="_Toc390436798"/>
      <w:bookmarkStart w:id="72" w:name="_Toc420941903"/>
      <w:bookmarkStart w:id="73" w:name="_Toc461544623"/>
      <w:bookmarkStart w:id="74" w:name="_Toc462410061"/>
      <w:bookmarkEnd w:id="56"/>
      <w:bookmarkEnd w:id="57"/>
      <w:bookmarkEnd w:id="58"/>
      <w:r>
        <w:rPr>
          <w:i/>
          <w:noProof/>
        </w:rPr>
        <w:t>3.3.2</w:t>
      </w:r>
      <w:r>
        <w:rPr>
          <w:noProof/>
        </w:rPr>
        <w:tab/>
      </w:r>
      <w:r>
        <w:rPr>
          <w:i/>
          <w:noProof/>
        </w:rPr>
        <w:t>Изчисляване на корекциите</w:t>
      </w:r>
      <w:bookmarkEnd w:id="67"/>
      <w:bookmarkEnd w:id="68"/>
      <w:bookmarkEnd w:id="69"/>
      <w:bookmarkEnd w:id="70"/>
      <w:bookmarkEnd w:id="71"/>
      <w:bookmarkEnd w:id="72"/>
      <w:bookmarkEnd w:id="73"/>
    </w:p>
    <w:p>
      <w:pPr>
        <w:spacing w:before="120" w:after="120"/>
        <w:jc w:val="both"/>
        <w:rPr>
          <w:noProof/>
        </w:rPr>
      </w:pPr>
      <w:r>
        <w:rPr>
          <w:noProof/>
        </w:rPr>
        <w:t xml:space="preserve">В настоящия ПКБ са записани изчисляването и финансирането на </w:t>
      </w:r>
      <w:r>
        <w:rPr>
          <w:i/>
          <w:noProof/>
        </w:rPr>
        <w:t>първата актуализация</w:t>
      </w:r>
      <w:r>
        <w:rPr>
          <w:noProof/>
        </w:rPr>
        <w:t xml:space="preserve"> на корекцията за Обединеното кралство </w:t>
      </w:r>
      <w:r>
        <w:rPr>
          <w:i/>
          <w:noProof/>
        </w:rPr>
        <w:t>за 2016 г.</w:t>
      </w:r>
      <w:r>
        <w:rPr>
          <w:noProof/>
        </w:rPr>
        <w:t xml:space="preserve">, както и </w:t>
      </w:r>
      <w:r>
        <w:rPr>
          <w:i/>
          <w:noProof/>
        </w:rPr>
        <w:t>окончателният размер</w:t>
      </w:r>
      <w:r>
        <w:rPr>
          <w:noProof/>
        </w:rPr>
        <w:t xml:space="preserve"> на корекцията за Обединеното кралство </w:t>
      </w:r>
      <w:r>
        <w:rPr>
          <w:i/>
          <w:noProof/>
        </w:rPr>
        <w:t>за 2013 г.</w:t>
      </w:r>
    </w:p>
    <w:p>
      <w:pPr>
        <w:spacing w:before="120" w:after="120"/>
        <w:jc w:val="both"/>
        <w:rPr>
          <w:noProof/>
        </w:rPr>
      </w:pPr>
      <w:r>
        <w:rPr>
          <w:noProof/>
        </w:rPr>
        <w:t xml:space="preserve">Актуализацията на корекциите за 2013 и 2016 г. се дължи основно на актуализацията на базите за ДДС и БНД, изпратени от държавите членки през есента на 2016 г. Освен това в актуализацията на корекцията за 2016 г. са взети предвид и разпределените разходи от 2016 г. </w:t>
      </w:r>
    </w:p>
    <w:p>
      <w:pPr>
        <w:rPr>
          <w:bCs/>
          <w:noProof/>
          <w:szCs w:val="28"/>
          <w:u w:val="single"/>
        </w:rPr>
      </w:pPr>
      <w:bookmarkStart w:id="75" w:name="_Toc231879705"/>
      <w:r>
        <w:rPr>
          <w:noProof/>
          <w:u w:val="single"/>
        </w:rPr>
        <w:t>3.3.2.1</w:t>
      </w:r>
      <w:r>
        <w:rPr>
          <w:noProof/>
          <w:u w:val="single"/>
        </w:rPr>
        <w:tab/>
        <w:t>Корекция за Обединеното кралство за 2016 г.</w:t>
      </w:r>
    </w:p>
    <w:bookmarkEnd w:id="75"/>
    <w:p>
      <w:pPr>
        <w:spacing w:before="120" w:after="120"/>
        <w:jc w:val="both"/>
        <w:rPr>
          <w:noProof/>
        </w:rPr>
      </w:pPr>
      <w:r>
        <w:rPr>
          <w:noProof/>
        </w:rPr>
        <w:t xml:space="preserve">В следната таблица се обобщават промените между </w:t>
      </w:r>
      <w:r>
        <w:rPr>
          <w:i/>
          <w:noProof/>
        </w:rPr>
        <w:t>временния размер</w:t>
      </w:r>
      <w:r>
        <w:rPr>
          <w:noProof/>
        </w:rPr>
        <w:t xml:space="preserve"> на корекцията за Обединеното кралство за 2016 г., записан в бюджета за 2017 г., и </w:t>
      </w:r>
      <w:r>
        <w:rPr>
          <w:i/>
          <w:noProof/>
        </w:rPr>
        <w:t>първата актуализация</w:t>
      </w:r>
      <w:r>
        <w:rPr>
          <w:noProof/>
        </w:rPr>
        <w:t xml:space="preserve"> на корекцията за Обединеното кралство за 2016 г., която ще бъде записана в настоящия ПКБ.</w:t>
      </w: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jc w:val="center"/>
              <w:rPr>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jc w:val="center"/>
              <w:rPr>
                <w:b/>
                <w:noProof/>
                <w:color w:val="000000"/>
              </w:rPr>
            </w:pPr>
            <w:r>
              <w:rPr>
                <w:b/>
                <w:noProof/>
                <w:color w:val="000000"/>
              </w:rPr>
              <w:t>Корекция за Обединеното кралство за 2016 г.</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 xml:space="preserve">Корекция за Обединеното </w:t>
            </w:r>
            <w:r>
              <w:rPr>
                <w:b/>
                <w:noProof/>
                <w:color w:val="000000"/>
                <w:spacing w:val="6"/>
                <w:sz w:val="20"/>
              </w:rPr>
              <w:t>кралство за 2016 г.</w:t>
            </w:r>
          </w:p>
          <w:p>
            <w:pPr>
              <w:autoSpaceDE w:val="0"/>
              <w:autoSpaceDN w:val="0"/>
              <w:adjustRightInd w:val="0"/>
              <w:jc w:val="center"/>
              <w:rPr>
                <w:noProof/>
                <w:color w:val="000000"/>
                <w:sz w:val="20"/>
              </w:rPr>
            </w:pPr>
            <w:r>
              <w:rPr>
                <w:b/>
                <w:noProof/>
                <w:color w:val="000000"/>
                <w:sz w:val="20"/>
              </w:rPr>
              <w:t>ВРЕМЕННА СУМА</w:t>
            </w:r>
          </w:p>
          <w:p>
            <w:pPr>
              <w:autoSpaceDE w:val="0"/>
              <w:autoSpaceDN w:val="0"/>
              <w:adjustRightInd w:val="0"/>
              <w:jc w:val="center"/>
              <w:rPr>
                <w:b/>
                <w:noProof/>
                <w:color w:val="000000"/>
                <w:sz w:val="20"/>
              </w:rPr>
            </w:pPr>
            <w:r>
              <w:rPr>
                <w:b/>
                <w:noProof/>
                <w:color w:val="000000"/>
                <w:sz w:val="20"/>
              </w:rPr>
              <w:t>Бюджет за 2017 г.</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 xml:space="preserve">Корекция за Обединеното </w:t>
            </w:r>
            <w:r>
              <w:rPr>
                <w:b/>
                <w:noProof/>
                <w:color w:val="000000"/>
                <w:spacing w:val="6"/>
                <w:sz w:val="20"/>
              </w:rPr>
              <w:t>кралство за 2016 г.</w:t>
            </w:r>
          </w:p>
          <w:p>
            <w:pPr>
              <w:autoSpaceDE w:val="0"/>
              <w:autoSpaceDN w:val="0"/>
              <w:adjustRightInd w:val="0"/>
              <w:jc w:val="center"/>
              <w:rPr>
                <w:b/>
                <w:bCs/>
                <w:noProof/>
                <w:color w:val="000000"/>
                <w:sz w:val="20"/>
              </w:rPr>
            </w:pPr>
            <w:r>
              <w:rPr>
                <w:b/>
                <w:noProof/>
                <w:color w:val="000000"/>
                <w:sz w:val="20"/>
              </w:rPr>
              <w:t>ПЪРВА АКТУАЛИЗАЦИЯ</w:t>
            </w:r>
          </w:p>
          <w:p>
            <w:pPr>
              <w:autoSpaceDE w:val="0"/>
              <w:autoSpaceDN w:val="0"/>
              <w:adjustRightInd w:val="0"/>
              <w:jc w:val="center"/>
              <w:rPr>
                <w:b/>
                <w:noProof/>
                <w:color w:val="000000"/>
                <w:sz w:val="20"/>
              </w:rPr>
            </w:pPr>
            <w:r>
              <w:rPr>
                <w:b/>
                <w:noProof/>
                <w:color w:val="000000"/>
                <w:sz w:val="20"/>
              </w:rPr>
              <w:t>ПКБ № 6/2017</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rPr>
            </w:pPr>
            <w:r>
              <w:rPr>
                <w:b/>
                <w:i/>
                <w:noProof/>
                <w:color w:val="000000"/>
                <w:sz w:val="20"/>
              </w:rPr>
              <w:t>Разлика</w:t>
            </w:r>
          </w:p>
        </w:tc>
      </w:tr>
      <w:tr>
        <w:trPr>
          <w:jc w:val="center"/>
        </w:trPr>
        <w:tc>
          <w:tcPr>
            <w:tcW w:w="550" w:type="dxa"/>
            <w:vMerge/>
            <w:tcBorders>
              <w:bottom w:val="double" w:sz="6" w:space="0" w:color="auto"/>
              <w:right w:val="nil"/>
            </w:tcBorders>
            <w:shd w:val="clear" w:color="auto" w:fill="auto"/>
            <w:noWrap/>
            <w:vAlign w:val="center"/>
          </w:tcPr>
          <w:p>
            <w:pPr>
              <w:jc w:val="center"/>
              <w:rPr>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Дял на Обединеното кралство от базата за ДДС без таван</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18,0077 %</w:t>
            </w:r>
          </w:p>
        </w:tc>
        <w:tc>
          <w:tcPr>
            <w:tcW w:w="180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17,5900 %</w:t>
            </w:r>
          </w:p>
        </w:tc>
        <w:tc>
          <w:tcPr>
            <w:tcW w:w="180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-0,4177 %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Дял на Обединеното кралство в общите разпределени разходи, коригирани с разходите за разширяването</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7,2983 %</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7,6814 %</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+0,3832 %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10,7095 %</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9,9086 %</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-0,8009 %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Общ размер на разпределените разходи</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129 383 323 229</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117 477 286 403</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- 11 906 036 826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Разходи, свързани с разширяването</w:t>
            </w:r>
            <w:r>
              <w:rPr>
                <w:noProof/>
                <w:sz w:val="20"/>
              </w:rPr>
              <w:br/>
              <w:t>= (5а) + (5б)</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34 414 600 712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25 506 896 869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- 8 907 703 843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(5а)</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Предприсъединителни разходи</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pacing w:val="-8"/>
                <w:sz w:val="20"/>
              </w:rPr>
            </w:pPr>
            <w:r>
              <w:rPr>
                <w:noProof/>
                <w:spacing w:val="-8"/>
                <w:sz w:val="20"/>
              </w:rPr>
              <w:t>(5б)</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Разходи, свързани с член 4, параграф 1, буква ж)</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34 414 600 712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25 506 896 869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- 8 907 703 843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Общ размер на разпределените разходи, коригиран с разходите за разширяването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94 968 722 517</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91 970 389 534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- 2 998 332 984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Първоначален размер на корекцията за Обединеното кралство = (3) х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6 712 622 123</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6 014 542 348</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- 698 079 776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Предимство за Обединеното кралство</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1 524 007 149</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1 128 635 343</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- 395 371 806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Основна корекция за Обединеното кралство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5 188 614 974</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4 885 907 005</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- 302 707 970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Извънредни приходи от ТСР</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- 49 835 714</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- 46 683 873</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+ 3 151 841</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Корекция за Обединеното кралство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5 238 450 688</w:t>
            </w:r>
          </w:p>
        </w:tc>
        <w:tc>
          <w:tcPr>
            <w:tcW w:w="180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4 932 590 878</w:t>
            </w:r>
          </w:p>
        </w:tc>
        <w:tc>
          <w:tcPr>
            <w:tcW w:w="180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- 305 859 810</w:t>
            </w:r>
          </w:p>
        </w:tc>
      </w:tr>
    </w:tbl>
    <w:p>
      <w:pPr>
        <w:tabs>
          <w:tab w:val="num" w:pos="851"/>
        </w:tabs>
        <w:spacing w:before="120" w:after="120"/>
        <w:jc w:val="both"/>
        <w:rPr>
          <w:noProof/>
        </w:rPr>
      </w:pPr>
      <w:r>
        <w:rPr>
          <w:noProof/>
        </w:rPr>
        <w:t xml:space="preserve">Размерът на </w:t>
      </w:r>
      <w:r>
        <w:rPr>
          <w:i/>
          <w:noProof/>
        </w:rPr>
        <w:t>първата актуализация</w:t>
      </w:r>
      <w:r>
        <w:rPr>
          <w:noProof/>
        </w:rPr>
        <w:t xml:space="preserve"> на корекцията за Обединеното кралство за 2016 г. е с около 306 милиона евро по-нисък в сравнение с </w:t>
      </w:r>
      <w:r>
        <w:rPr>
          <w:i/>
          <w:noProof/>
        </w:rPr>
        <w:t>временния размер</w:t>
      </w:r>
      <w:r>
        <w:rPr>
          <w:noProof/>
        </w:rPr>
        <w:t xml:space="preserve"> на корекцията за Обединеното кралство за 2016 г., записан в бюджета за 2017 г.</w:t>
      </w:r>
    </w:p>
    <w:p>
      <w:pPr>
        <w:tabs>
          <w:tab w:val="left" w:pos="851"/>
        </w:tabs>
        <w:rPr>
          <w:bCs/>
          <w:noProof/>
          <w:szCs w:val="28"/>
          <w:u w:val="single"/>
        </w:rPr>
      </w:pPr>
      <w:r>
        <w:rPr>
          <w:noProof/>
          <w:u w:val="single"/>
        </w:rPr>
        <w:t>3.3.2.2</w:t>
      </w:r>
      <w:r>
        <w:rPr>
          <w:noProof/>
          <w:u w:val="single"/>
        </w:rPr>
        <w:tab/>
        <w:t xml:space="preserve"> Корекция за Обединеното кралство за 2013 г.</w:t>
      </w:r>
    </w:p>
    <w:p>
      <w:pPr>
        <w:spacing w:before="120" w:after="120"/>
        <w:jc w:val="both"/>
        <w:rPr>
          <w:noProof/>
        </w:rPr>
      </w:pPr>
      <w:r>
        <w:rPr>
          <w:noProof/>
        </w:rPr>
        <w:t xml:space="preserve">В следната таблица се обобщават промените между </w:t>
      </w:r>
      <w:r>
        <w:rPr>
          <w:i/>
          <w:noProof/>
        </w:rPr>
        <w:t>втората актуализация</w:t>
      </w:r>
      <w:r>
        <w:rPr>
          <w:noProof/>
        </w:rPr>
        <w:t xml:space="preserve"> на корекцията за Обединеното кралство за 2013 г., записана в КБ № 5/2016, и </w:t>
      </w:r>
      <w:r>
        <w:rPr>
          <w:i/>
          <w:noProof/>
        </w:rPr>
        <w:t>окончателния размер</w:t>
      </w:r>
      <w:r>
        <w:rPr>
          <w:noProof/>
        </w:rPr>
        <w:t xml:space="preserve"> на корекцията за Обединеното кралство за 2013 г., който ще бъде записан в настоящия ПКБ.</w:t>
      </w:r>
    </w:p>
    <w:p>
      <w:pPr>
        <w:rPr>
          <w:noProof/>
        </w:rPr>
      </w:pPr>
      <w:r>
        <w:rPr>
          <w:noProof/>
        </w:rPr>
        <w:br w:type="page"/>
      </w:r>
    </w:p>
    <w:tbl>
      <w:tblPr>
        <w:tblW w:w="9135" w:type="dxa"/>
        <w:jc w:val="center"/>
        <w:tblLayout w:type="fixed"/>
        <w:tblLook w:val="0000" w:firstRow="0" w:lastRow="0" w:firstColumn="0" w:lastColumn="0" w:noHBand="0" w:noVBand="0"/>
      </w:tblPr>
      <w:tblGrid>
        <w:gridCol w:w="550"/>
        <w:gridCol w:w="3185"/>
        <w:gridCol w:w="1800"/>
        <w:gridCol w:w="1680"/>
        <w:gridCol w:w="1920"/>
      </w:tblGrid>
      <w:tr>
        <w:trPr>
          <w:trHeight w:val="831"/>
          <w:tblHeader/>
          <w:jc w:val="center"/>
        </w:trPr>
        <w:tc>
          <w:tcPr>
            <w:tcW w:w="550" w:type="dxa"/>
            <w:tcBorders>
              <w:top w:val="nil"/>
              <w:left w:val="nil"/>
              <w:right w:val="nil"/>
            </w:tcBorders>
            <w:shd w:val="clear" w:color="auto" w:fill="auto"/>
            <w:noWrap/>
            <w:vAlign w:val="bottom"/>
          </w:tcPr>
          <w:p>
            <w:pPr>
              <w:rPr>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jc w:val="center"/>
              <w:rPr>
                <w:b/>
                <w:noProof/>
                <w:color w:val="000000"/>
              </w:rPr>
            </w:pPr>
            <w:r>
              <w:rPr>
                <w:b/>
                <w:noProof/>
                <w:color w:val="000000"/>
              </w:rPr>
              <w:t>Корекция за Обединеното кралство за 2013 г.</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rPr>
            </w:pPr>
            <w:r>
              <w:rPr>
                <w:b/>
                <w:noProof/>
                <w:sz w:val="20"/>
              </w:rPr>
              <w:t xml:space="preserve">Корекция за Обединеното </w:t>
            </w:r>
            <w:r>
              <w:rPr>
                <w:b/>
                <w:noProof/>
                <w:spacing w:val="6"/>
                <w:sz w:val="20"/>
              </w:rPr>
              <w:t>кралство за 2013 г.</w:t>
            </w:r>
            <w:r>
              <w:rPr>
                <w:b/>
                <w:bCs/>
                <w:noProof/>
                <w:sz w:val="20"/>
              </w:rPr>
              <w:br/>
            </w:r>
            <w:r>
              <w:rPr>
                <w:b/>
                <w:noProof/>
                <w:sz w:val="20"/>
              </w:rPr>
              <w:t xml:space="preserve">ВТОРА АКТУАЛИЗАЦИЯ </w:t>
            </w:r>
            <w:r>
              <w:rPr>
                <w:b/>
                <w:bCs/>
                <w:noProof/>
                <w:sz w:val="20"/>
              </w:rPr>
              <w:br/>
            </w:r>
            <w:r>
              <w:rPr>
                <w:b/>
                <w:noProof/>
                <w:sz w:val="20"/>
              </w:rPr>
              <w:t>КБ № 5/2016</w:t>
            </w:r>
          </w:p>
        </w:tc>
        <w:tc>
          <w:tcPr>
            <w:tcW w:w="1680"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rPr>
            </w:pPr>
            <w:r>
              <w:rPr>
                <w:b/>
                <w:noProof/>
                <w:sz w:val="20"/>
              </w:rPr>
              <w:t>Корекция за Обединеното кралство за 2013 г.</w:t>
            </w:r>
            <w:r>
              <w:rPr>
                <w:b/>
                <w:bCs/>
                <w:noProof/>
                <w:sz w:val="20"/>
              </w:rPr>
              <w:br/>
            </w:r>
            <w:r>
              <w:rPr>
                <w:b/>
                <w:noProof/>
                <w:sz w:val="20"/>
              </w:rPr>
              <w:t>ОКОНЧАТЕЛЕН РАЗМЕР</w:t>
            </w:r>
            <w:r>
              <w:rPr>
                <w:b/>
                <w:bCs/>
                <w:noProof/>
                <w:sz w:val="20"/>
              </w:rPr>
              <w:br/>
            </w:r>
            <w:r>
              <w:rPr>
                <w:b/>
                <w:noProof/>
                <w:sz w:val="20"/>
              </w:rPr>
              <w:t>ПКБ № 6/2017</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rPr>
            </w:pPr>
            <w:r>
              <w:rPr>
                <w:b/>
                <w:i/>
                <w:noProof/>
                <w:sz w:val="20"/>
              </w:rPr>
              <w:t>Разлика</w:t>
            </w:r>
          </w:p>
        </w:tc>
      </w:tr>
      <w:tr>
        <w:trPr>
          <w:jc w:val="center"/>
        </w:trPr>
        <w:tc>
          <w:tcPr>
            <w:tcW w:w="550" w:type="dxa"/>
            <w:tcBorders>
              <w:bottom w:val="double" w:sz="6" w:space="0" w:color="auto"/>
              <w:right w:val="nil"/>
            </w:tcBorders>
            <w:shd w:val="clear" w:color="auto" w:fill="auto"/>
            <w:noWrap/>
            <w:vAlign w:val="center"/>
          </w:tcPr>
          <w:p>
            <w:pPr>
              <w:jc w:val="center"/>
              <w:rPr>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68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92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Дял на Обединеното кралство от базата за ДДС без таван</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16,0378 %</w:t>
            </w:r>
          </w:p>
        </w:tc>
        <w:tc>
          <w:tcPr>
            <w:tcW w:w="168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16,2955 %</w:t>
            </w:r>
          </w:p>
        </w:tc>
        <w:tc>
          <w:tcPr>
            <w:tcW w:w="192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+ 0,2577 %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Дял на Обединеното кралство в общите разпределени разходи, коригирани с разходите за разширяването</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6,0959 %</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6,0959 %</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+ 0,0000 %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9,9418 %</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10,1996 %</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+ 0,2577 %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Общ размер на разпределените разходи</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134 745 129 775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134 745 129 775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Разходи, свързани с разширяването</w:t>
            </w:r>
            <w:r>
              <w:rPr>
                <w:noProof/>
                <w:sz w:val="20"/>
              </w:rPr>
              <w:br/>
              <w:t>= (5а) + (5б)</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31 288 595 815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31 288 595 815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(5а)</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Предприсъединителни разходи</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w:t>
            </w:r>
            <w:r>
              <w:rPr>
                <w:noProof/>
                <w:spacing w:val="-8"/>
                <w:sz w:val="20"/>
              </w:rPr>
              <w:t>5б)</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Разходи, свързани с член 4, параграф 1, буква ж)</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31 288 595 815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31 288 595 815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Общ размер на разпределените разходи, коригиран с разходите за разширяването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103 456 533 960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103 456 533 960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Първоначален размер на корекцията за Обединеното кралство = (3) х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6 788 418 578</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6 964 389 260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+ 175 970 682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Предимство за Обединеното кралство</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846 456 483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931 944 129</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+ 85 487 646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Основна корекция за Обединеното кралство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5 941 962 095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6 032 445 131</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+90 483 036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Извънредни приходи от ТСР</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18 914 477</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10 994 751</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- 7 919 725</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Корекция за Обединеното кралство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5 923 047 619</w:t>
            </w:r>
          </w:p>
        </w:tc>
        <w:tc>
          <w:tcPr>
            <w:tcW w:w="168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6 021 450 379</w:t>
            </w:r>
          </w:p>
        </w:tc>
        <w:tc>
          <w:tcPr>
            <w:tcW w:w="192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+98 402 760</w:t>
            </w:r>
          </w:p>
        </w:tc>
      </w:tr>
    </w:tbl>
    <w:p>
      <w:pPr>
        <w:spacing w:before="120" w:after="120"/>
        <w:jc w:val="both"/>
        <w:rPr>
          <w:noProof/>
        </w:rPr>
      </w:pPr>
      <w:r>
        <w:rPr>
          <w:i/>
          <w:noProof/>
        </w:rPr>
        <w:t>Окончателният размер</w:t>
      </w:r>
      <w:r>
        <w:rPr>
          <w:noProof/>
        </w:rPr>
        <w:t xml:space="preserve"> на корекцията за Обединеното кралство за 2013 г. е с 98 милиона евро по-висок от </w:t>
      </w:r>
      <w:r>
        <w:rPr>
          <w:i/>
          <w:noProof/>
        </w:rPr>
        <w:t>втората актуализация</w:t>
      </w:r>
      <w:r>
        <w:rPr>
          <w:noProof/>
        </w:rPr>
        <w:t xml:space="preserve"> на корекцията за Обединеното кралство за 2013 г., записана в КБ № 5/2016, най-вече вследствие на актуализациите на базите за ДДС и БНД, изпратени от държавите членки през есента на 2016 г.</w:t>
      </w:r>
    </w:p>
    <w:p>
      <w:pPr>
        <w:tabs>
          <w:tab w:val="left" w:pos="850"/>
        </w:tabs>
        <w:spacing w:after="120"/>
        <w:ind w:left="851" w:hanging="851"/>
        <w:rPr>
          <w:bCs/>
          <w:i/>
          <w:noProof/>
        </w:rPr>
      </w:pPr>
      <w:bookmarkStart w:id="76" w:name="_Toc231879708"/>
      <w:bookmarkStart w:id="77" w:name="_Toc293417237"/>
      <w:bookmarkStart w:id="78" w:name="_Toc294673196"/>
      <w:bookmarkStart w:id="79" w:name="_Toc357005416"/>
      <w:bookmarkStart w:id="80" w:name="_Toc390436799"/>
      <w:bookmarkStart w:id="81" w:name="_Toc420941904"/>
      <w:bookmarkStart w:id="82" w:name="_Toc461544624"/>
      <w:r>
        <w:rPr>
          <w:i/>
          <w:noProof/>
        </w:rPr>
        <w:t>3.3.3</w:t>
      </w:r>
      <w:r>
        <w:rPr>
          <w:noProof/>
        </w:rPr>
        <w:tab/>
      </w:r>
      <w:r>
        <w:rPr>
          <w:i/>
          <w:noProof/>
        </w:rPr>
        <w:t>Вписване в ПКБ № 6/2017 на първата актуализация на корекцията за Обединеното кралство за 2016 г. и на окончателния размер на корекцията за Обединеното кралство за 2013 г.</w:t>
      </w:r>
      <w:bookmarkEnd w:id="76"/>
      <w:bookmarkEnd w:id="77"/>
      <w:bookmarkEnd w:id="78"/>
      <w:bookmarkEnd w:id="79"/>
      <w:bookmarkEnd w:id="80"/>
      <w:bookmarkEnd w:id="81"/>
      <w:bookmarkEnd w:id="82"/>
      <w:r>
        <w:rPr>
          <w:i/>
          <w:noProof/>
        </w:rPr>
        <w:t xml:space="preserve"> </w:t>
      </w:r>
    </w:p>
    <w:p>
      <w:pPr>
        <w:tabs>
          <w:tab w:val="left" w:pos="851"/>
        </w:tabs>
        <w:rPr>
          <w:bCs/>
          <w:noProof/>
          <w:szCs w:val="28"/>
          <w:u w:val="single"/>
        </w:rPr>
      </w:pPr>
      <w:bookmarkStart w:id="83" w:name="_Toc231879709"/>
      <w:r>
        <w:rPr>
          <w:noProof/>
          <w:u w:val="single"/>
        </w:rPr>
        <w:t>3.3.3.1</w:t>
      </w:r>
      <w:r>
        <w:rPr>
          <w:noProof/>
          <w:u w:val="single"/>
        </w:rPr>
        <w:tab/>
        <w:t>Корекция за Обединеното кралство за 2013 г. (глава 35)</w:t>
      </w:r>
    </w:p>
    <w:p>
      <w:pPr>
        <w:spacing w:before="120" w:after="120"/>
        <w:jc w:val="both"/>
        <w:rPr>
          <w:noProof/>
        </w:rPr>
      </w:pPr>
      <w:r>
        <w:rPr>
          <w:noProof/>
        </w:rPr>
        <w:t xml:space="preserve">Размерът на корекцията за Обединеното кралство, който подлежи на включване в глава 35 от настоящия ПКБ, е разликата между </w:t>
      </w:r>
      <w:r>
        <w:rPr>
          <w:i/>
          <w:noProof/>
        </w:rPr>
        <w:t>окончателния размер</w:t>
      </w:r>
      <w:r>
        <w:rPr>
          <w:noProof/>
        </w:rPr>
        <w:t xml:space="preserve"> на корекцията за Обединеното кралство за 2013 г. (т.е. 6 021 450 379 EUR) и </w:t>
      </w:r>
      <w:r>
        <w:rPr>
          <w:i/>
          <w:noProof/>
        </w:rPr>
        <w:t>втората актуализация</w:t>
      </w:r>
      <w:r>
        <w:rPr>
          <w:noProof/>
        </w:rPr>
        <w:t xml:space="preserve"> на корекцията за Обединеното кралство за 2013 г. (т.е. 5 923 047 619 EUR, записани в КБ № 5/2016), която възлиза на 98 402 760 EUR.</w:t>
      </w:r>
    </w:p>
    <w:p>
      <w:pPr>
        <w:spacing w:before="120" w:after="240"/>
        <w:jc w:val="both"/>
        <w:rPr>
          <w:noProof/>
        </w:rPr>
      </w:pPr>
      <w:r>
        <w:rPr>
          <w:noProof/>
        </w:rPr>
        <w:t>Тази сума следва да бъде финансирана съобразно преразгледаните бази за БНД за 2013 г., известни в края на 2016 г. Включването на тази сума в глава 35 от бюджета е обобщено по-долу:</w:t>
      </w: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pacing w:val="-4"/>
                <w:sz w:val="20"/>
              </w:rPr>
            </w:pPr>
            <w:r>
              <w:rPr>
                <w:b/>
                <w:noProof/>
                <w:spacing w:val="-4"/>
                <w:sz w:val="20"/>
              </w:rPr>
              <w:t>Корекция за Обединеното кралство за 2013 г. — глава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3 427 431</w:t>
            </w:r>
          </w:p>
        </w:tc>
        <w:tc>
          <w:tcPr>
            <w:tcW w:w="809" w:type="dxa"/>
            <w:tcBorders>
              <w:top w:val="nil"/>
              <w:left w:val="nil"/>
              <w:bottom w:val="nil"/>
              <w:right w:val="nil"/>
            </w:tcBorders>
            <w:shd w:val="clear" w:color="auto" w:fill="auto"/>
            <w:noWrap/>
          </w:tcPr>
          <w:p>
            <w:pPr>
              <w:jc w:val="center"/>
              <w:rPr>
                <w:b/>
                <w:noProof/>
                <w:sz w:val="20"/>
              </w:rPr>
            </w:pPr>
            <w:r>
              <w:rPr>
                <w:b/>
                <w:noProof/>
                <w:sz w:val="20"/>
              </w:rPr>
              <w:t>LU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2 999 679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1 515 290</w:t>
            </w:r>
          </w:p>
        </w:tc>
        <w:tc>
          <w:tcPr>
            <w:tcW w:w="809" w:type="dxa"/>
            <w:tcBorders>
              <w:top w:val="nil"/>
              <w:left w:val="nil"/>
              <w:bottom w:val="nil"/>
              <w:right w:val="nil"/>
            </w:tcBorders>
            <w:shd w:val="clear" w:color="auto" w:fill="auto"/>
            <w:noWrap/>
          </w:tcPr>
          <w:p>
            <w:pPr>
              <w:jc w:val="center"/>
              <w:rPr>
                <w:b/>
                <w:noProof/>
                <w:sz w:val="20"/>
              </w:rPr>
            </w:pPr>
            <w:r>
              <w:rPr>
                <w:b/>
                <w:noProof/>
                <w:sz w:val="20"/>
              </w:rPr>
              <w:t>HU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1 214 768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2 998 256</w:t>
            </w:r>
          </w:p>
        </w:tc>
        <w:tc>
          <w:tcPr>
            <w:tcW w:w="809" w:type="dxa"/>
            <w:tcBorders>
              <w:top w:val="nil"/>
              <w:left w:val="nil"/>
              <w:bottom w:val="nil"/>
              <w:right w:val="nil"/>
            </w:tcBorders>
            <w:shd w:val="clear" w:color="auto" w:fill="auto"/>
            <w:noWrap/>
          </w:tcPr>
          <w:p>
            <w:pPr>
              <w:jc w:val="center"/>
              <w:rPr>
                <w:b/>
                <w:noProof/>
                <w:sz w:val="20"/>
              </w:rPr>
            </w:pPr>
            <w:r>
              <w:rPr>
                <w:b/>
                <w:noProof/>
                <w:sz w:val="20"/>
              </w:rPr>
              <w:t>MT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320 388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6 889 492</w:t>
            </w:r>
          </w:p>
        </w:tc>
        <w:tc>
          <w:tcPr>
            <w:tcW w:w="809" w:type="dxa"/>
            <w:tcBorders>
              <w:top w:val="nil"/>
              <w:left w:val="nil"/>
              <w:bottom w:val="nil"/>
              <w:right w:val="nil"/>
            </w:tcBorders>
            <w:shd w:val="clear" w:color="auto" w:fill="auto"/>
            <w:noWrap/>
          </w:tcPr>
          <w:p>
            <w:pPr>
              <w:jc w:val="center"/>
              <w:rPr>
                <w:b/>
                <w:noProof/>
                <w:sz w:val="20"/>
              </w:rPr>
            </w:pPr>
            <w:r>
              <w:rPr>
                <w:b/>
                <w:noProof/>
                <w:sz w:val="20"/>
              </w:rPr>
              <w:t>NL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1 151 037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8 754 255</w:t>
            </w:r>
          </w:p>
        </w:tc>
        <w:tc>
          <w:tcPr>
            <w:tcW w:w="809" w:type="dxa"/>
            <w:tcBorders>
              <w:top w:val="nil"/>
              <w:left w:val="nil"/>
              <w:bottom w:val="nil"/>
              <w:right w:val="nil"/>
            </w:tcBorders>
            <w:shd w:val="clear" w:color="auto" w:fill="auto"/>
            <w:noWrap/>
          </w:tcPr>
          <w:p>
            <w:pPr>
              <w:jc w:val="center"/>
              <w:rPr>
                <w:b/>
                <w:noProof/>
                <w:sz w:val="20"/>
              </w:rPr>
            </w:pPr>
            <w:r>
              <w:rPr>
                <w:b/>
                <w:noProof/>
                <w:sz w:val="20"/>
              </w:rPr>
              <w:t>AT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418 805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368 634</w:t>
            </w:r>
          </w:p>
        </w:tc>
        <w:tc>
          <w:tcPr>
            <w:tcW w:w="809" w:type="dxa"/>
            <w:tcBorders>
              <w:top w:val="nil"/>
              <w:left w:val="nil"/>
              <w:bottom w:val="nil"/>
              <w:right w:val="nil"/>
            </w:tcBorders>
            <w:shd w:val="clear" w:color="auto" w:fill="auto"/>
            <w:noWrap/>
          </w:tcPr>
          <w:p>
            <w:pPr>
              <w:jc w:val="center"/>
              <w:rPr>
                <w:b/>
                <w:noProof/>
                <w:sz w:val="20"/>
              </w:rPr>
            </w:pPr>
            <w:r>
              <w:rPr>
                <w:b/>
                <w:noProof/>
                <w:sz w:val="20"/>
              </w:rPr>
              <w:t>PL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2 257 310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5 640 096</w:t>
            </w:r>
          </w:p>
        </w:tc>
        <w:tc>
          <w:tcPr>
            <w:tcW w:w="809" w:type="dxa"/>
            <w:tcBorders>
              <w:top w:val="nil"/>
              <w:left w:val="nil"/>
              <w:bottom w:val="nil"/>
              <w:right w:val="nil"/>
            </w:tcBorders>
            <w:shd w:val="clear" w:color="auto" w:fill="auto"/>
            <w:noWrap/>
          </w:tcPr>
          <w:p>
            <w:pPr>
              <w:jc w:val="center"/>
              <w:rPr>
                <w:b/>
                <w:noProof/>
                <w:sz w:val="20"/>
              </w:rPr>
            </w:pPr>
            <w:r>
              <w:rPr>
                <w:b/>
                <w:noProof/>
                <w:sz w:val="20"/>
              </w:rPr>
              <w:t>PT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1 399 728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EL</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2 191 253</w:t>
            </w:r>
          </w:p>
        </w:tc>
        <w:tc>
          <w:tcPr>
            <w:tcW w:w="809" w:type="dxa"/>
            <w:tcBorders>
              <w:top w:val="nil"/>
              <w:left w:val="nil"/>
              <w:bottom w:val="nil"/>
              <w:right w:val="nil"/>
            </w:tcBorders>
            <w:shd w:val="clear" w:color="auto" w:fill="auto"/>
            <w:noWrap/>
          </w:tcPr>
          <w:p>
            <w:pPr>
              <w:jc w:val="center"/>
              <w:rPr>
                <w:b/>
                <w:noProof/>
                <w:sz w:val="20"/>
              </w:rPr>
            </w:pPr>
            <w:r>
              <w:rPr>
                <w:b/>
                <w:noProof/>
                <w:sz w:val="20"/>
              </w:rPr>
              <w:t>RO</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2 993 513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ES</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- 651 779</w:t>
            </w:r>
          </w:p>
        </w:tc>
        <w:tc>
          <w:tcPr>
            <w:tcW w:w="809" w:type="dxa"/>
            <w:tcBorders>
              <w:top w:val="nil"/>
              <w:left w:val="nil"/>
              <w:bottom w:val="nil"/>
              <w:right w:val="nil"/>
            </w:tcBorders>
            <w:shd w:val="clear" w:color="auto" w:fill="auto"/>
            <w:noWrap/>
          </w:tcPr>
          <w:p>
            <w:pPr>
              <w:jc w:val="center"/>
              <w:rPr>
                <w:b/>
                <w:noProof/>
                <w:sz w:val="20"/>
              </w:rPr>
            </w:pPr>
            <w:r>
              <w:rPr>
                <w:b/>
                <w:noProof/>
                <w:sz w:val="20"/>
              </w:rPr>
              <w:t>SI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916 682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FR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18 525 521</w:t>
            </w:r>
          </w:p>
        </w:tc>
        <w:tc>
          <w:tcPr>
            <w:tcW w:w="809" w:type="dxa"/>
            <w:tcBorders>
              <w:top w:val="nil"/>
              <w:left w:val="nil"/>
              <w:bottom w:val="nil"/>
              <w:right w:val="nil"/>
            </w:tcBorders>
            <w:shd w:val="clear" w:color="auto" w:fill="auto"/>
            <w:noWrap/>
          </w:tcPr>
          <w:p>
            <w:pPr>
              <w:jc w:val="center"/>
              <w:rPr>
                <w:b/>
                <w:noProof/>
                <w:sz w:val="20"/>
              </w:rPr>
            </w:pPr>
            <w:r>
              <w:rPr>
                <w:b/>
                <w:noProof/>
                <w:sz w:val="20"/>
              </w:rPr>
              <w:t>SK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2 214 808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HR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824 776</w:t>
            </w:r>
          </w:p>
        </w:tc>
        <w:tc>
          <w:tcPr>
            <w:tcW w:w="809" w:type="dxa"/>
            <w:tcBorders>
              <w:top w:val="nil"/>
              <w:left w:val="nil"/>
              <w:bottom w:val="nil"/>
              <w:right w:val="nil"/>
            </w:tcBorders>
            <w:shd w:val="clear" w:color="auto" w:fill="auto"/>
            <w:noWrap/>
          </w:tcPr>
          <w:p>
            <w:pPr>
              <w:jc w:val="center"/>
              <w:rPr>
                <w:b/>
                <w:noProof/>
                <w:sz w:val="20"/>
              </w:rPr>
            </w:pPr>
            <w:r>
              <w:rPr>
                <w:b/>
                <w:noProof/>
                <w:sz w:val="20"/>
              </w:rPr>
              <w:t>FI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4 965 839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IT</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25 072 902</w:t>
            </w:r>
          </w:p>
        </w:tc>
        <w:tc>
          <w:tcPr>
            <w:tcW w:w="809" w:type="dxa"/>
            <w:tcBorders>
              <w:top w:val="nil"/>
              <w:left w:val="nil"/>
              <w:bottom w:val="nil"/>
              <w:right w:val="nil"/>
            </w:tcBorders>
            <w:shd w:val="clear" w:color="auto" w:fill="auto"/>
            <w:noWrap/>
          </w:tcPr>
          <w:p>
            <w:pPr>
              <w:jc w:val="center"/>
              <w:rPr>
                <w:b/>
                <w:noProof/>
                <w:sz w:val="20"/>
              </w:rPr>
            </w:pPr>
            <w:r>
              <w:rPr>
                <w:b/>
                <w:noProof/>
                <w:sz w:val="20"/>
              </w:rPr>
              <w:t>SE</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565 841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CY</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228 695</w:t>
            </w:r>
          </w:p>
        </w:tc>
        <w:tc>
          <w:tcPr>
            <w:tcW w:w="809" w:type="dxa"/>
            <w:tcBorders>
              <w:top w:val="nil"/>
              <w:left w:val="nil"/>
              <w:bottom w:val="nil"/>
              <w:right w:val="nil"/>
            </w:tcBorders>
            <w:shd w:val="clear" w:color="auto" w:fill="auto"/>
            <w:noWrap/>
          </w:tcPr>
          <w:p>
            <w:pPr>
              <w:jc w:val="center"/>
              <w:rPr>
                <w:b/>
                <w:noProof/>
                <w:sz w:val="20"/>
              </w:rPr>
            </w:pPr>
          </w:p>
        </w:tc>
        <w:tc>
          <w:tcPr>
            <w:tcW w:w="1479" w:type="dxa"/>
            <w:tcBorders>
              <w:top w:val="nil"/>
              <w:left w:val="nil"/>
              <w:bottom w:val="nil"/>
              <w:right w:val="single" w:sz="8" w:space="0" w:color="auto"/>
            </w:tcBorders>
            <w:shd w:val="clear" w:color="auto" w:fill="auto"/>
            <w:noWrap/>
            <w:vAlign w:val="center"/>
          </w:tcPr>
          <w:p>
            <w:pPr>
              <w:jc w:val="right"/>
              <w:rPr>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LV</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81 908</w:t>
            </w:r>
          </w:p>
        </w:tc>
        <w:tc>
          <w:tcPr>
            <w:tcW w:w="809" w:type="dxa"/>
            <w:tcBorders>
              <w:top w:val="nil"/>
              <w:left w:val="nil"/>
              <w:bottom w:val="nil"/>
              <w:right w:val="nil"/>
            </w:tcBorders>
            <w:shd w:val="clear" w:color="auto" w:fill="auto"/>
            <w:noWrap/>
          </w:tcPr>
          <w:p>
            <w:pPr>
              <w:jc w:val="center"/>
              <w:rPr>
                <w:b/>
                <w:noProof/>
                <w:sz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- 98 402 760</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rPr>
            </w:pPr>
            <w:r>
              <w:rPr>
                <w:noProof/>
                <w:sz w:val="20"/>
              </w:rPr>
              <w:t>1 117 632</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rPr>
            </w:pPr>
            <w:r>
              <w:rPr>
                <w:b/>
                <w:noProof/>
                <w:sz w:val="20"/>
              </w:rPr>
              <w:t>Общо</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rPr>
            </w:pPr>
            <w:r>
              <w:rPr>
                <w:b/>
                <w:noProof/>
                <w:sz w:val="20"/>
              </w:rPr>
              <w:t>0</w:t>
            </w:r>
          </w:p>
        </w:tc>
      </w:tr>
    </w:tbl>
    <w:p>
      <w:pPr>
        <w:tabs>
          <w:tab w:val="left" w:pos="851"/>
        </w:tabs>
        <w:rPr>
          <w:bCs/>
          <w:noProof/>
          <w:szCs w:val="28"/>
          <w:u w:val="single"/>
        </w:rPr>
      </w:pPr>
    </w:p>
    <w:p>
      <w:pPr>
        <w:rPr>
          <w:bCs/>
          <w:noProof/>
          <w:szCs w:val="28"/>
          <w:u w:val="single"/>
        </w:rPr>
      </w:pPr>
      <w:r>
        <w:rPr>
          <w:noProof/>
        </w:rPr>
        <w:br w:type="page"/>
      </w:r>
    </w:p>
    <w:p>
      <w:pPr>
        <w:tabs>
          <w:tab w:val="left" w:pos="851"/>
        </w:tabs>
        <w:rPr>
          <w:bCs/>
          <w:noProof/>
          <w:szCs w:val="28"/>
          <w:u w:val="single"/>
        </w:rPr>
      </w:pPr>
      <w:r>
        <w:rPr>
          <w:noProof/>
          <w:u w:val="single"/>
        </w:rPr>
        <w:t>3.3.3.2</w:t>
      </w:r>
      <w:r>
        <w:rPr>
          <w:noProof/>
          <w:u w:val="single"/>
        </w:rPr>
        <w:tab/>
        <w:t>Корекция за Обединеното кралство за 2016 г. (глава 15)</w:t>
      </w:r>
    </w:p>
    <w:bookmarkEnd w:id="83"/>
    <w:p>
      <w:pPr>
        <w:spacing w:before="60" w:after="60"/>
        <w:jc w:val="both"/>
        <w:rPr>
          <w:noProof/>
        </w:rPr>
      </w:pPr>
      <w:r>
        <w:rPr>
          <w:noProof/>
        </w:rPr>
        <w:t xml:space="preserve">Размерът на </w:t>
      </w:r>
      <w:r>
        <w:rPr>
          <w:i/>
          <w:noProof/>
        </w:rPr>
        <w:t>първата актуализация</w:t>
      </w:r>
      <w:r>
        <w:rPr>
          <w:noProof/>
        </w:rPr>
        <w:t xml:space="preserve"> на корекцията за Обединеното кралство за 2016 г. съответства на 4 932 590 878 EUR, което е с 305 859 810 EUR по-малко от сумата, вписана в бюджета за 2017 г. ( 5 238 450 688 EUR).</w:t>
      </w:r>
    </w:p>
    <w:p>
      <w:pPr>
        <w:spacing w:before="120" w:after="240"/>
        <w:jc w:val="both"/>
        <w:rPr>
          <w:noProof/>
        </w:rPr>
      </w:pPr>
      <w:r>
        <w:rPr>
          <w:noProof/>
        </w:rPr>
        <w:t>Тази сума следва да бъде финансирана съобразно преразгледаните бази за БНД за 2017 г. в настоящия ПКБ. Включването на тази сума в глава 15 от бюджета е обобщено по-долу:</w:t>
      </w:r>
    </w:p>
    <w:tbl>
      <w:tblPr>
        <w:tblW w:w="4540" w:type="dxa"/>
        <w:jc w:val="center"/>
        <w:tblLook w:val="0000" w:firstRow="0" w:lastRow="0" w:firstColumn="0" w:lastColumn="0" w:noHBand="0" w:noVBand="0"/>
      </w:tblPr>
      <w:tblGrid>
        <w:gridCol w:w="549"/>
        <w:gridCol w:w="1666"/>
        <w:gridCol w:w="793"/>
        <w:gridCol w:w="1532"/>
      </w:tblGrid>
      <w:tr>
        <w:trPr>
          <w:jc w:val="center"/>
        </w:trPr>
        <w:tc>
          <w:tcPr>
            <w:tcW w:w="454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jc w:val="center"/>
              <w:rPr>
                <w:b/>
                <w:bCs/>
                <w:noProof/>
                <w:sz w:val="20"/>
              </w:rPr>
            </w:pPr>
            <w:r>
              <w:rPr>
                <w:b/>
                <w:noProof/>
                <w:sz w:val="20"/>
              </w:rPr>
              <w:t>Корекция за Обединеното кралство за 2016 г. — глава 15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BE</w:t>
            </w:r>
          </w:p>
        </w:tc>
        <w:tc>
          <w:tcPr>
            <w:tcW w:w="1666" w:type="dxa"/>
            <w:tcBorders>
              <w:top w:val="nil"/>
              <w:left w:val="nil"/>
              <w:bottom w:val="nil"/>
              <w:right w:val="nil"/>
            </w:tcBorders>
            <w:shd w:val="clear" w:color="auto" w:fill="auto"/>
            <w:noWrap/>
          </w:tcPr>
          <w:p>
            <w:pPr>
              <w:jc w:val="right"/>
              <w:rPr>
                <w:noProof/>
                <w:sz w:val="20"/>
                <w:highlight w:val="yellow"/>
              </w:rPr>
            </w:pPr>
            <w:r>
              <w:rPr>
                <w:noProof/>
                <w:sz w:val="20"/>
              </w:rPr>
              <w:t>240 885 677</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LU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20 836 132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BG</w:t>
            </w:r>
          </w:p>
        </w:tc>
        <w:tc>
          <w:tcPr>
            <w:tcW w:w="1666" w:type="dxa"/>
            <w:tcBorders>
              <w:top w:val="nil"/>
              <w:left w:val="nil"/>
              <w:bottom w:val="nil"/>
              <w:right w:val="nil"/>
            </w:tcBorders>
            <w:shd w:val="clear" w:color="auto" w:fill="auto"/>
            <w:noWrap/>
          </w:tcPr>
          <w:p>
            <w:pPr>
              <w:jc w:val="right"/>
              <w:rPr>
                <w:noProof/>
                <w:sz w:val="20"/>
              </w:rPr>
            </w:pPr>
            <w:r>
              <w:rPr>
                <w:noProof/>
                <w:sz w:val="20"/>
              </w:rPr>
              <w:t xml:space="preserve"> 26 978 571</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HU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65 314 890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CZ</w:t>
            </w:r>
          </w:p>
        </w:tc>
        <w:tc>
          <w:tcPr>
            <w:tcW w:w="1666" w:type="dxa"/>
            <w:tcBorders>
              <w:top w:val="nil"/>
              <w:left w:val="nil"/>
              <w:bottom w:val="nil"/>
              <w:right w:val="nil"/>
            </w:tcBorders>
            <w:shd w:val="clear" w:color="auto" w:fill="auto"/>
            <w:noWrap/>
          </w:tcPr>
          <w:p>
            <w:pPr>
              <w:jc w:val="right"/>
              <w:rPr>
                <w:noProof/>
                <w:sz w:val="20"/>
              </w:rPr>
            </w:pPr>
            <w:r>
              <w:rPr>
                <w:noProof/>
                <w:sz w:val="20"/>
              </w:rPr>
              <w:t>95 503 724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MT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5 503 126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DK</w:t>
            </w:r>
          </w:p>
        </w:tc>
        <w:tc>
          <w:tcPr>
            <w:tcW w:w="1666" w:type="dxa"/>
            <w:tcBorders>
              <w:top w:val="nil"/>
              <w:left w:val="nil"/>
              <w:bottom w:val="nil"/>
              <w:right w:val="nil"/>
            </w:tcBorders>
            <w:shd w:val="clear" w:color="auto" w:fill="auto"/>
            <w:noWrap/>
          </w:tcPr>
          <w:p>
            <w:pPr>
              <w:jc w:val="right"/>
              <w:rPr>
                <w:noProof/>
                <w:sz w:val="20"/>
              </w:rPr>
            </w:pPr>
            <w:r>
              <w:rPr>
                <w:noProof/>
                <w:sz w:val="20"/>
              </w:rPr>
              <w:t>164 411 683</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NL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68 442 765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DE</w:t>
            </w:r>
          </w:p>
        </w:tc>
        <w:tc>
          <w:tcPr>
            <w:tcW w:w="1666" w:type="dxa"/>
            <w:tcBorders>
              <w:top w:val="nil"/>
              <w:left w:val="nil"/>
              <w:bottom w:val="nil"/>
              <w:right w:val="nil"/>
            </w:tcBorders>
            <w:shd w:val="clear" w:color="auto" w:fill="auto"/>
            <w:noWrap/>
          </w:tcPr>
          <w:p>
            <w:pPr>
              <w:jc w:val="right"/>
              <w:rPr>
                <w:noProof/>
                <w:sz w:val="20"/>
              </w:rPr>
            </w:pPr>
            <w:r>
              <w:rPr>
                <w:noProof/>
                <w:sz w:val="20"/>
              </w:rPr>
              <w:t>316 145 831</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AT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34 625 113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EE</w:t>
            </w:r>
          </w:p>
        </w:tc>
        <w:tc>
          <w:tcPr>
            <w:tcW w:w="1666" w:type="dxa"/>
            <w:tcBorders>
              <w:top w:val="nil"/>
              <w:left w:val="nil"/>
              <w:bottom w:val="nil"/>
              <w:right w:val="nil"/>
            </w:tcBorders>
            <w:shd w:val="clear" w:color="auto" w:fill="auto"/>
            <w:noWrap/>
          </w:tcPr>
          <w:p>
            <w:pPr>
              <w:jc w:val="right"/>
              <w:rPr>
                <w:noProof/>
                <w:sz w:val="20"/>
              </w:rPr>
            </w:pPr>
            <w:r>
              <w:rPr>
                <w:noProof/>
                <w:sz w:val="20"/>
              </w:rPr>
              <w:t>12 138 174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PL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236 407 577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IE</w:t>
            </w:r>
          </w:p>
        </w:tc>
        <w:tc>
          <w:tcPr>
            <w:tcW w:w="1666" w:type="dxa"/>
            <w:tcBorders>
              <w:top w:val="nil"/>
              <w:left w:val="nil"/>
              <w:bottom w:val="nil"/>
              <w:right w:val="nil"/>
            </w:tcBorders>
            <w:shd w:val="clear" w:color="auto" w:fill="auto"/>
            <w:noWrap/>
          </w:tcPr>
          <w:p>
            <w:pPr>
              <w:jc w:val="right"/>
              <w:rPr>
                <w:noProof/>
                <w:sz w:val="20"/>
              </w:rPr>
            </w:pPr>
            <w:r>
              <w:rPr>
                <w:noProof/>
                <w:sz w:val="20"/>
              </w:rPr>
              <w:t>129 388 779</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PT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104 586 612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EL</w:t>
            </w:r>
          </w:p>
        </w:tc>
        <w:tc>
          <w:tcPr>
            <w:tcW w:w="1666" w:type="dxa"/>
            <w:tcBorders>
              <w:top w:val="nil"/>
              <w:left w:val="nil"/>
              <w:bottom w:val="nil"/>
              <w:right w:val="nil"/>
            </w:tcBorders>
            <w:shd w:val="clear" w:color="auto" w:fill="auto"/>
            <w:noWrap/>
          </w:tcPr>
          <w:p>
            <w:pPr>
              <w:jc w:val="right"/>
              <w:rPr>
                <w:noProof/>
                <w:sz w:val="20"/>
              </w:rPr>
            </w:pPr>
            <w:r>
              <w:rPr>
                <w:noProof/>
                <w:sz w:val="20"/>
              </w:rPr>
              <w:t>101 600 542</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RO</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97 812 744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ES</w:t>
            </w:r>
          </w:p>
        </w:tc>
        <w:tc>
          <w:tcPr>
            <w:tcW w:w="1666" w:type="dxa"/>
            <w:tcBorders>
              <w:top w:val="nil"/>
              <w:left w:val="nil"/>
              <w:bottom w:val="nil"/>
              <w:right w:val="nil"/>
            </w:tcBorders>
            <w:shd w:val="clear" w:color="auto" w:fill="auto"/>
            <w:noWrap/>
          </w:tcPr>
          <w:p>
            <w:pPr>
              <w:jc w:val="right"/>
              <w:rPr>
                <w:noProof/>
                <w:sz w:val="20"/>
              </w:rPr>
            </w:pPr>
            <w:r>
              <w:rPr>
                <w:noProof/>
                <w:sz w:val="20"/>
              </w:rPr>
              <w:t>647 356 946</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22 872 318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 xml:space="preserve">FR </w:t>
            </w:r>
          </w:p>
        </w:tc>
        <w:tc>
          <w:tcPr>
            <w:tcW w:w="1666" w:type="dxa"/>
            <w:tcBorders>
              <w:top w:val="nil"/>
              <w:left w:val="nil"/>
              <w:bottom w:val="nil"/>
              <w:right w:val="nil"/>
            </w:tcBorders>
            <w:shd w:val="clear" w:color="auto" w:fill="auto"/>
            <w:noWrap/>
          </w:tcPr>
          <w:p>
            <w:pPr>
              <w:jc w:val="right"/>
              <w:rPr>
                <w:noProof/>
                <w:sz w:val="20"/>
              </w:rPr>
            </w:pPr>
            <w:r>
              <w:rPr>
                <w:noProof/>
                <w:sz w:val="20"/>
              </w:rPr>
              <w:t>1 299 398 854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SK</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46 015 401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HR</w:t>
            </w:r>
          </w:p>
        </w:tc>
        <w:tc>
          <w:tcPr>
            <w:tcW w:w="1666" w:type="dxa"/>
            <w:tcBorders>
              <w:top w:val="nil"/>
              <w:left w:val="nil"/>
              <w:bottom w:val="nil"/>
              <w:right w:val="nil"/>
            </w:tcBorders>
            <w:shd w:val="clear" w:color="auto" w:fill="auto"/>
            <w:noWrap/>
          </w:tcPr>
          <w:p>
            <w:pPr>
              <w:jc w:val="right"/>
              <w:rPr>
                <w:noProof/>
                <w:sz w:val="20"/>
              </w:rPr>
            </w:pPr>
            <w:r>
              <w:rPr>
                <w:noProof/>
                <w:sz w:val="20"/>
              </w:rPr>
              <w:t>25 885 784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FI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123 414 177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IT</w:t>
            </w:r>
          </w:p>
        </w:tc>
        <w:tc>
          <w:tcPr>
            <w:tcW w:w="1666" w:type="dxa"/>
            <w:tcBorders>
              <w:top w:val="nil"/>
              <w:left w:val="nil"/>
              <w:bottom w:val="nil"/>
              <w:right w:val="nil"/>
            </w:tcBorders>
            <w:shd w:val="clear" w:color="auto" w:fill="auto"/>
            <w:noWrap/>
          </w:tcPr>
          <w:p>
            <w:pPr>
              <w:jc w:val="right"/>
              <w:rPr>
                <w:noProof/>
                <w:sz w:val="20"/>
              </w:rPr>
            </w:pPr>
            <w:r>
              <w:rPr>
                <w:noProof/>
                <w:sz w:val="20"/>
              </w:rPr>
              <w:t>953 387 216</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SE</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46 937 429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CY</w:t>
            </w:r>
          </w:p>
        </w:tc>
        <w:tc>
          <w:tcPr>
            <w:tcW w:w="1666" w:type="dxa"/>
            <w:tcBorders>
              <w:top w:val="nil"/>
              <w:left w:val="nil"/>
              <w:bottom w:val="nil"/>
              <w:right w:val="nil"/>
            </w:tcBorders>
            <w:shd w:val="clear" w:color="auto" w:fill="auto"/>
            <w:noWrap/>
          </w:tcPr>
          <w:p>
            <w:pPr>
              <w:jc w:val="right"/>
              <w:rPr>
                <w:noProof/>
                <w:sz w:val="20"/>
              </w:rPr>
            </w:pPr>
            <w:r>
              <w:rPr>
                <w:noProof/>
                <w:sz w:val="20"/>
              </w:rPr>
              <w:t>10 012 925</w:t>
            </w:r>
          </w:p>
        </w:tc>
        <w:tc>
          <w:tcPr>
            <w:tcW w:w="793" w:type="dxa"/>
            <w:vMerge w:val="restart"/>
            <w:tcBorders>
              <w:top w:val="nil"/>
              <w:left w:val="nil"/>
              <w:right w:val="nil"/>
            </w:tcBorders>
            <w:shd w:val="clear" w:color="auto" w:fill="auto"/>
            <w:noWrap/>
            <w:vAlign w:val="center"/>
          </w:tcPr>
          <w:p>
            <w:pPr>
              <w:jc w:val="center"/>
              <w:rPr>
                <w:b/>
                <w:bCs/>
                <w:noProof/>
                <w:sz w:val="20"/>
              </w:rPr>
            </w:pPr>
            <w:r>
              <w:rPr>
                <w:b/>
                <w:noProof/>
                <w:sz w:val="20"/>
              </w:rPr>
              <w:t>UK</w:t>
            </w:r>
          </w:p>
        </w:tc>
        <w:tc>
          <w:tcPr>
            <w:tcW w:w="1532" w:type="dxa"/>
            <w:vMerge w:val="restart"/>
            <w:tcBorders>
              <w:top w:val="nil"/>
              <w:left w:val="nil"/>
              <w:right w:val="single" w:sz="8" w:space="0" w:color="auto"/>
            </w:tcBorders>
            <w:shd w:val="clear" w:color="auto" w:fill="auto"/>
            <w:noWrap/>
            <w:vAlign w:val="center"/>
          </w:tcPr>
          <w:p>
            <w:pPr>
              <w:jc w:val="center"/>
              <w:rPr>
                <w:noProof/>
                <w:sz w:val="20"/>
              </w:rPr>
            </w:pPr>
            <w:r>
              <w:rPr>
                <w:noProof/>
                <w:sz w:val="20"/>
              </w:rPr>
              <w:t>- 4 932 590 878</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LV</w:t>
            </w:r>
          </w:p>
        </w:tc>
        <w:tc>
          <w:tcPr>
            <w:tcW w:w="1666" w:type="dxa"/>
            <w:tcBorders>
              <w:top w:val="nil"/>
              <w:left w:val="nil"/>
              <w:bottom w:val="nil"/>
              <w:right w:val="nil"/>
            </w:tcBorders>
            <w:shd w:val="clear" w:color="auto" w:fill="auto"/>
            <w:noWrap/>
          </w:tcPr>
          <w:p>
            <w:pPr>
              <w:jc w:val="right"/>
              <w:rPr>
                <w:noProof/>
                <w:sz w:val="20"/>
              </w:rPr>
            </w:pPr>
            <w:r>
              <w:rPr>
                <w:noProof/>
                <w:sz w:val="20"/>
              </w:rPr>
              <w:t>14 788 961</w:t>
            </w:r>
          </w:p>
        </w:tc>
        <w:tc>
          <w:tcPr>
            <w:tcW w:w="793" w:type="dxa"/>
            <w:vMerge/>
            <w:tcBorders>
              <w:left w:val="nil"/>
              <w:bottom w:val="nil"/>
              <w:right w:val="nil"/>
            </w:tcBorders>
            <w:shd w:val="clear" w:color="auto" w:fill="auto"/>
            <w:noWrap/>
            <w:vAlign w:val="center"/>
          </w:tcPr>
          <w:p>
            <w:pPr>
              <w:jc w:val="center"/>
              <w:rPr>
                <w:b/>
                <w:bCs/>
                <w:noProof/>
                <w:sz w:val="20"/>
              </w:rPr>
            </w:pPr>
          </w:p>
        </w:tc>
        <w:tc>
          <w:tcPr>
            <w:tcW w:w="1532" w:type="dxa"/>
            <w:vMerge/>
            <w:tcBorders>
              <w:left w:val="nil"/>
              <w:bottom w:val="nil"/>
              <w:right w:val="single" w:sz="8" w:space="0" w:color="auto"/>
            </w:tcBorders>
            <w:shd w:val="clear" w:color="auto" w:fill="auto"/>
            <w:noWrap/>
            <w:vAlign w:val="bottom"/>
          </w:tcPr>
          <w:p>
            <w:pPr>
              <w:jc w:val="right"/>
              <w:rPr>
                <w:noProof/>
                <w:sz w:val="20"/>
              </w:rPr>
            </w:pPr>
          </w:p>
        </w:tc>
      </w:tr>
      <w:tr>
        <w:trPr>
          <w:trHeight w:val="193"/>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666" w:type="dxa"/>
            <w:tcBorders>
              <w:top w:val="nil"/>
              <w:left w:val="nil"/>
              <w:bottom w:val="single" w:sz="8" w:space="0" w:color="auto"/>
              <w:right w:val="nil"/>
            </w:tcBorders>
            <w:shd w:val="clear" w:color="auto" w:fill="auto"/>
            <w:noWrap/>
          </w:tcPr>
          <w:p>
            <w:pPr>
              <w:jc w:val="right"/>
              <w:rPr>
                <w:noProof/>
                <w:sz w:val="20"/>
              </w:rPr>
            </w:pPr>
            <w:r>
              <w:rPr>
                <w:noProof/>
                <w:sz w:val="20"/>
              </w:rPr>
              <w:t>21 938 927</w:t>
            </w:r>
          </w:p>
        </w:tc>
        <w:tc>
          <w:tcPr>
            <w:tcW w:w="793" w:type="dxa"/>
            <w:tcBorders>
              <w:top w:val="single" w:sz="8" w:space="0" w:color="auto"/>
              <w:left w:val="single" w:sz="8" w:space="0" w:color="auto"/>
              <w:bottom w:val="single" w:sz="8" w:space="0" w:color="auto"/>
              <w:right w:val="nil"/>
            </w:tcBorders>
            <w:shd w:val="clear" w:color="auto" w:fill="auto"/>
            <w:noWrap/>
            <w:vAlign w:val="center"/>
          </w:tcPr>
          <w:p>
            <w:pPr>
              <w:jc w:val="center"/>
              <w:rPr>
                <w:b/>
                <w:bCs/>
                <w:noProof/>
                <w:sz w:val="20"/>
              </w:rPr>
            </w:pPr>
            <w:r>
              <w:rPr>
                <w:b/>
                <w:noProof/>
                <w:sz w:val="20"/>
              </w:rPr>
              <w:t xml:space="preserve">Общо </w:t>
            </w:r>
          </w:p>
        </w:tc>
        <w:tc>
          <w:tcPr>
            <w:tcW w:w="1532" w:type="dxa"/>
            <w:tcBorders>
              <w:top w:val="single" w:sz="8" w:space="0" w:color="auto"/>
              <w:left w:val="nil"/>
              <w:bottom w:val="single" w:sz="8" w:space="0" w:color="auto"/>
              <w:right w:val="single" w:sz="8" w:space="0" w:color="auto"/>
            </w:tcBorders>
            <w:shd w:val="clear" w:color="auto" w:fill="auto"/>
            <w:noWrap/>
            <w:vAlign w:val="bottom"/>
          </w:tcPr>
          <w:p>
            <w:pPr>
              <w:jc w:val="right"/>
              <w:rPr>
                <w:b/>
                <w:bCs/>
                <w:noProof/>
                <w:sz w:val="20"/>
              </w:rPr>
            </w:pPr>
            <w:r>
              <w:rPr>
                <w:b/>
                <w:noProof/>
                <w:sz w:val="20"/>
              </w:rPr>
              <w:t>0</w:t>
            </w:r>
          </w:p>
        </w:tc>
      </w:tr>
    </w:tbl>
    <w:p>
      <w:pPr>
        <w:keepNext/>
        <w:tabs>
          <w:tab w:val="left" w:pos="850"/>
        </w:tabs>
        <w:spacing w:before="120" w:after="60"/>
        <w:ind w:left="851" w:hanging="851"/>
        <w:jc w:val="both"/>
        <w:outlineLvl w:val="1"/>
        <w:rPr>
          <w:rFonts w:eastAsia="Calibri"/>
          <w:b/>
          <w:noProof/>
        </w:rPr>
      </w:pPr>
      <w:bookmarkStart w:id="84" w:name="_Toc494994381"/>
      <w:bookmarkStart w:id="85" w:name="_Toc496260473"/>
      <w:r>
        <w:rPr>
          <w:b/>
          <w:noProof/>
        </w:rPr>
        <w:t>3.4</w:t>
      </w:r>
      <w:r>
        <w:rPr>
          <w:noProof/>
        </w:rPr>
        <w:tab/>
      </w:r>
      <w:r>
        <w:rPr>
          <w:b/>
          <w:noProof/>
        </w:rPr>
        <w:t>Глоби</w:t>
      </w:r>
      <w:bookmarkEnd w:id="74"/>
      <w:bookmarkEnd w:id="84"/>
      <w:bookmarkEnd w:id="85"/>
    </w:p>
    <w:p>
      <w:pPr>
        <w:spacing w:before="60" w:after="60"/>
        <w:jc w:val="both"/>
        <w:rPr>
          <w:rFonts w:eastAsia="Calibri"/>
          <w:noProof/>
        </w:rPr>
      </w:pPr>
      <w:r>
        <w:rPr>
          <w:noProof/>
        </w:rPr>
        <w:t>В края на септември 2017 г. стана окончателна сумата от 3 209,7 милиона евро глоби (главница). В съответствие с член 83 от Финансовия регламент окончателните глоби „</w:t>
      </w:r>
      <w:r>
        <w:rPr>
          <w:i/>
          <w:noProof/>
        </w:rPr>
        <w:t>се записват като бюджетни приходи във възможно най-кратък срок и най-късно през годината след изчерпването на всички правни средства за защита“</w:t>
      </w:r>
      <w:r>
        <w:rPr>
          <w:noProof/>
        </w:rPr>
        <w:t xml:space="preserve">. </w:t>
      </w:r>
    </w:p>
    <w:p>
      <w:pPr>
        <w:spacing w:before="60" w:after="60"/>
        <w:jc w:val="both"/>
        <w:rPr>
          <w:noProof/>
        </w:rPr>
      </w:pPr>
      <w:r>
        <w:rPr>
          <w:noProof/>
        </w:rPr>
        <w:t>Тази сума надхвърля равнището на глобите, предвидени първоначално в бюджета за 2017 г., т.е. 1 100,0 милиона евро. Разликата от 2 209,7 милиона евро ще доведе до съответно намаляване на вноските собствени ресурси от държавите членки в бюджета на ЕС.</w:t>
      </w:r>
    </w:p>
    <w:p>
      <w:pPr>
        <w:spacing w:before="60" w:after="60"/>
        <w:jc w:val="both"/>
        <w:rPr>
          <w:rFonts w:eastAsia="Calibri"/>
          <w:noProof/>
        </w:rPr>
      </w:pPr>
      <w:r>
        <w:rPr>
          <w:noProof/>
        </w:rPr>
        <w:t>В таблицата по-долу е представена разбивката на глобите по дела.</w:t>
      </w:r>
    </w:p>
    <w:tbl>
      <w:tblPr>
        <w:tblW w:w="7783" w:type="dxa"/>
        <w:jc w:val="center"/>
        <w:tblLook w:val="04A0" w:firstRow="1" w:lastRow="0" w:firstColumn="1" w:lastColumn="0" w:noHBand="0" w:noVBand="1"/>
      </w:tblPr>
      <w:tblGrid>
        <w:gridCol w:w="1416"/>
        <w:gridCol w:w="3669"/>
        <w:gridCol w:w="1431"/>
        <w:gridCol w:w="1389"/>
      </w:tblGrid>
      <w:tr>
        <w:trPr>
          <w:trHeight w:val="300"/>
          <w:jc w:val="center"/>
        </w:trPr>
        <w:tc>
          <w:tcPr>
            <w:tcW w:w="7783" w:type="dxa"/>
            <w:gridSpan w:val="4"/>
            <w:tcBorders>
              <w:top w:val="nil"/>
              <w:left w:val="nil"/>
              <w:bottom w:val="single" w:sz="4" w:space="0" w:color="auto"/>
              <w:right w:val="nil"/>
            </w:tcBorders>
            <w:shd w:val="clear" w:color="auto" w:fill="auto"/>
            <w:noWrap/>
            <w:vAlign w:val="bottom"/>
            <w:hideMark/>
          </w:tcPr>
          <w:p>
            <w:pPr>
              <w:jc w:val="right"/>
              <w:rPr>
                <w:i/>
                <w:iCs/>
                <w:noProof/>
                <w:color w:val="000000"/>
                <w:sz w:val="20"/>
                <w:szCs w:val="20"/>
              </w:rPr>
            </w:pPr>
            <w:r>
              <w:rPr>
                <w:i/>
                <w:noProof/>
                <w:color w:val="000000"/>
                <w:sz w:val="20"/>
              </w:rPr>
              <w:t>В евро</w:t>
            </w:r>
          </w:p>
        </w:tc>
      </w:tr>
      <w:tr>
        <w:trPr>
          <w:trHeight w:val="227"/>
          <w:jc w:val="center"/>
        </w:trPr>
        <w:tc>
          <w:tcPr>
            <w:tcW w:w="1416" w:type="dxa"/>
            <w:tcBorders>
              <w:top w:val="nil"/>
              <w:left w:val="single" w:sz="4" w:space="0" w:color="auto"/>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noProof/>
                <w:color w:val="000000"/>
                <w:sz w:val="20"/>
              </w:rPr>
              <w:t>Номер на делото</w:t>
            </w:r>
          </w:p>
        </w:tc>
        <w:tc>
          <w:tcPr>
            <w:tcW w:w="3669" w:type="dxa"/>
            <w:tcBorders>
              <w:top w:val="nil"/>
              <w:left w:val="nil"/>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noProof/>
                <w:color w:val="000000"/>
                <w:sz w:val="20"/>
              </w:rPr>
              <w:t>Наименование на делото</w:t>
            </w:r>
          </w:p>
        </w:tc>
        <w:tc>
          <w:tcPr>
            <w:tcW w:w="1309" w:type="dxa"/>
            <w:tcBorders>
              <w:top w:val="nil"/>
              <w:left w:val="nil"/>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noProof/>
                <w:color w:val="000000"/>
                <w:sz w:val="20"/>
              </w:rPr>
              <w:t>Област на политиката</w:t>
            </w:r>
          </w:p>
        </w:tc>
        <w:tc>
          <w:tcPr>
            <w:tcW w:w="1389" w:type="dxa"/>
            <w:tcBorders>
              <w:top w:val="nil"/>
              <w:left w:val="nil"/>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noProof/>
                <w:color w:val="000000"/>
                <w:sz w:val="20"/>
              </w:rPr>
              <w:t>Глоби</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8228</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Facebook/WhatsАpp (член 14.1 proc.)</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Сливане</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110 000 000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38238</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Raw Tobacco (ES)</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Картел</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1 579 500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38589</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Топлинни стабилизатори</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Картел</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40 193 990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38866</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Фосфати за храна за животни</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Картел</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59 850 000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39092</w:t>
            </w:r>
          </w:p>
        </w:tc>
        <w:tc>
          <w:tcPr>
            <w:tcW w:w="3669" w:type="dxa"/>
            <w:tcBorders>
              <w:top w:val="nil"/>
              <w:left w:val="nil"/>
              <w:bottom w:val="nil"/>
              <w:right w:val="single" w:sz="4" w:space="0" w:color="auto"/>
            </w:tcBorders>
            <w:shd w:val="clear" w:color="auto" w:fill="auto"/>
            <w:noWrap/>
            <w:vAlign w:val="bottom"/>
            <w:hideMark/>
          </w:tcPr>
          <w:p>
            <w:pPr>
              <w:rPr>
                <w:noProof/>
                <w:color w:val="000000"/>
                <w:spacing w:val="-8"/>
                <w:sz w:val="20"/>
                <w:szCs w:val="20"/>
              </w:rPr>
            </w:pPr>
            <w:r>
              <w:rPr>
                <w:noProof/>
                <w:color w:val="000000"/>
                <w:spacing w:val="-8"/>
                <w:sz w:val="20"/>
              </w:rPr>
              <w:t>Оборудване за баня и фиксиращи елементи</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Картел</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139 191 989</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39181</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Восъци за свещи</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Картел</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36 000 000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39437</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Тръби за телевизионни екрани и компютърни монитори</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Картел</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1 242 091 000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39759</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ARA foreclosure</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Антитръстови мерки</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6 015 000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39824</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Камиони</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Картел</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1 165 054 000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39904</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Акумулаторни батерии</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Картел</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165 841 000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39960</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Топлинни системи</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Картел</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155 575 000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39966</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Комутационни апарати с газова изолация (повторно приемане на глоби)</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Картел</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61 443 000</w:t>
            </w:r>
          </w:p>
        </w:tc>
      </w:tr>
      <w:tr>
        <w:trPr>
          <w:trHeight w:val="227"/>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pPr>
              <w:jc w:val="center"/>
              <w:rPr>
                <w:noProof/>
                <w:color w:val="000000"/>
                <w:sz w:val="20"/>
                <w:szCs w:val="20"/>
              </w:rPr>
            </w:pPr>
            <w:r>
              <w:rPr>
                <w:noProof/>
                <w:color w:val="000000"/>
                <w:sz w:val="20"/>
              </w:rPr>
              <w:t>40028</w:t>
            </w:r>
          </w:p>
        </w:tc>
        <w:tc>
          <w:tcPr>
            <w:tcW w:w="3669" w:type="dxa"/>
            <w:tcBorders>
              <w:top w:val="nil"/>
              <w:left w:val="nil"/>
              <w:bottom w:val="single" w:sz="4" w:space="0" w:color="auto"/>
              <w:right w:val="single" w:sz="4" w:space="0" w:color="auto"/>
            </w:tcBorders>
            <w:shd w:val="clear" w:color="auto" w:fill="auto"/>
            <w:noWrap/>
            <w:vAlign w:val="bottom"/>
            <w:hideMark/>
          </w:tcPr>
          <w:p>
            <w:pPr>
              <w:rPr>
                <w:noProof/>
                <w:color w:val="000000"/>
                <w:sz w:val="20"/>
                <w:szCs w:val="20"/>
              </w:rPr>
            </w:pPr>
            <w:r>
              <w:rPr>
                <w:noProof/>
                <w:color w:val="000000"/>
                <w:sz w:val="20"/>
              </w:rPr>
              <w:t>Алтернатори и стартери</w:t>
            </w:r>
          </w:p>
        </w:tc>
        <w:tc>
          <w:tcPr>
            <w:tcW w:w="1309" w:type="dxa"/>
            <w:tcBorders>
              <w:top w:val="nil"/>
              <w:left w:val="nil"/>
              <w:bottom w:val="single" w:sz="4" w:space="0" w:color="auto"/>
              <w:right w:val="single" w:sz="4" w:space="0" w:color="auto"/>
            </w:tcBorders>
            <w:shd w:val="clear" w:color="auto" w:fill="auto"/>
            <w:noWrap/>
            <w:vAlign w:val="bottom"/>
            <w:hideMark/>
          </w:tcPr>
          <w:p>
            <w:pPr>
              <w:rPr>
                <w:noProof/>
                <w:color w:val="000000"/>
                <w:sz w:val="20"/>
                <w:szCs w:val="20"/>
              </w:rPr>
            </w:pPr>
            <w:r>
              <w:rPr>
                <w:noProof/>
                <w:color w:val="000000"/>
                <w:sz w:val="20"/>
              </w:rPr>
              <w:t>Картел</w:t>
            </w:r>
          </w:p>
        </w:tc>
        <w:tc>
          <w:tcPr>
            <w:tcW w:w="1389" w:type="dxa"/>
            <w:tcBorders>
              <w:top w:val="nil"/>
              <w:left w:val="nil"/>
              <w:bottom w:val="single" w:sz="4" w:space="0" w:color="auto"/>
              <w:right w:val="single" w:sz="4" w:space="0" w:color="auto"/>
            </w:tcBorders>
            <w:shd w:val="clear" w:color="auto" w:fill="auto"/>
            <w:noWrap/>
            <w:vAlign w:val="bottom"/>
            <w:hideMark/>
          </w:tcPr>
          <w:p>
            <w:pPr>
              <w:jc w:val="right"/>
              <w:rPr>
                <w:noProof/>
                <w:color w:val="000000"/>
                <w:sz w:val="20"/>
                <w:szCs w:val="20"/>
              </w:rPr>
            </w:pPr>
            <w:r>
              <w:rPr>
                <w:noProof/>
                <w:color w:val="000000"/>
                <w:sz w:val="20"/>
              </w:rPr>
              <w:t>26 860 000</w:t>
            </w:r>
          </w:p>
        </w:tc>
      </w:tr>
      <w:tr>
        <w:trPr>
          <w:trHeight w:val="227"/>
          <w:jc w:val="center"/>
        </w:trPr>
        <w:tc>
          <w:tcPr>
            <w:tcW w:w="1416" w:type="dxa"/>
            <w:tcBorders>
              <w:top w:val="nil"/>
              <w:left w:val="single" w:sz="4" w:space="0" w:color="auto"/>
              <w:bottom w:val="single" w:sz="4" w:space="0" w:color="auto"/>
              <w:right w:val="nil"/>
            </w:tcBorders>
            <w:shd w:val="clear" w:color="000000" w:fill="D9D9D9"/>
            <w:noWrap/>
            <w:vAlign w:val="center"/>
            <w:hideMark/>
          </w:tcPr>
          <w:p>
            <w:pPr>
              <w:rPr>
                <w:b/>
                <w:bCs/>
                <w:noProof/>
                <w:color w:val="000000"/>
                <w:sz w:val="20"/>
                <w:szCs w:val="20"/>
              </w:rPr>
            </w:pPr>
            <w:r>
              <w:rPr>
                <w:b/>
                <w:noProof/>
                <w:color w:val="000000"/>
                <w:sz w:val="20"/>
              </w:rPr>
              <w:t>Общо</w:t>
            </w:r>
          </w:p>
        </w:tc>
        <w:tc>
          <w:tcPr>
            <w:tcW w:w="3669" w:type="dxa"/>
            <w:tcBorders>
              <w:top w:val="nil"/>
              <w:left w:val="nil"/>
              <w:bottom w:val="single" w:sz="4" w:space="0" w:color="auto"/>
              <w:right w:val="nil"/>
            </w:tcBorders>
            <w:shd w:val="clear" w:color="000000" w:fill="D9D9D9"/>
            <w:noWrap/>
            <w:vAlign w:val="bottom"/>
            <w:hideMark/>
          </w:tcPr>
          <w:p>
            <w:pPr>
              <w:rPr>
                <w:b/>
                <w:bCs/>
                <w:noProof/>
                <w:color w:val="000000"/>
                <w:sz w:val="20"/>
                <w:szCs w:val="20"/>
              </w:rPr>
            </w:pPr>
            <w:r>
              <w:rPr>
                <w:b/>
                <w:noProof/>
                <w:color w:val="000000"/>
                <w:sz w:val="20"/>
              </w:rPr>
              <w:t> </w:t>
            </w:r>
          </w:p>
        </w:tc>
        <w:tc>
          <w:tcPr>
            <w:tcW w:w="1309" w:type="dxa"/>
            <w:tcBorders>
              <w:top w:val="nil"/>
              <w:left w:val="nil"/>
              <w:bottom w:val="single" w:sz="4" w:space="0" w:color="auto"/>
              <w:right w:val="nil"/>
            </w:tcBorders>
            <w:shd w:val="clear" w:color="000000" w:fill="D9D9D9"/>
            <w:noWrap/>
            <w:vAlign w:val="bottom"/>
            <w:hideMark/>
          </w:tcPr>
          <w:p>
            <w:pPr>
              <w:rPr>
                <w:b/>
                <w:bCs/>
                <w:noProof/>
                <w:color w:val="000000"/>
                <w:sz w:val="20"/>
                <w:szCs w:val="20"/>
              </w:rPr>
            </w:pPr>
            <w:r>
              <w:rPr>
                <w:b/>
                <w:noProof/>
                <w:color w:val="000000"/>
                <w:sz w:val="20"/>
              </w:rPr>
              <w:t> </w:t>
            </w:r>
          </w:p>
        </w:tc>
        <w:tc>
          <w:tcPr>
            <w:tcW w:w="1389" w:type="dxa"/>
            <w:tcBorders>
              <w:top w:val="nil"/>
              <w:left w:val="nil"/>
              <w:bottom w:val="single" w:sz="4" w:space="0" w:color="auto"/>
              <w:right w:val="single" w:sz="4" w:space="0" w:color="auto"/>
            </w:tcBorders>
            <w:shd w:val="clear" w:color="000000" w:fill="D9D9D9"/>
            <w:noWrap/>
            <w:vAlign w:val="bottom"/>
            <w:hideMark/>
          </w:tcPr>
          <w:p>
            <w:pPr>
              <w:jc w:val="right"/>
              <w:rPr>
                <w:b/>
                <w:bCs/>
                <w:noProof/>
                <w:color w:val="000000"/>
                <w:sz w:val="20"/>
                <w:szCs w:val="20"/>
              </w:rPr>
            </w:pPr>
            <w:r>
              <w:rPr>
                <w:b/>
                <w:noProof/>
                <w:color w:val="000000"/>
                <w:sz w:val="20"/>
              </w:rPr>
              <w:t>3 209 694 479</w:t>
            </w:r>
          </w:p>
        </w:tc>
      </w:tr>
    </w:tbl>
    <w:p>
      <w:pPr>
        <w:spacing w:before="120" w:after="120"/>
        <w:jc w:val="both"/>
        <w:rPr>
          <w:noProof/>
        </w:rPr>
      </w:pPr>
    </w:p>
    <w:p>
      <w:pPr>
        <w:pStyle w:val="ManualHeading1"/>
        <w:pageBreakBefore/>
      </w:pPr>
      <w:bookmarkStart w:id="86" w:name="_Toc494994382"/>
      <w:bookmarkStart w:id="87" w:name="_Toc496260474"/>
      <w:r>
        <w:t>4.</w:t>
      </w:r>
      <w:r>
        <w:tab/>
        <w:t>Обобщаваща таблица по функции от МФР</w:t>
      </w:r>
      <w:bookmarkEnd w:id="86"/>
      <w:bookmarkEnd w:id="87"/>
    </w:p>
    <w:tbl>
      <w:tblPr>
        <w:tblW w:w="11020" w:type="dxa"/>
        <w:jc w:val="center"/>
        <w:tblInd w:w="93" w:type="dxa"/>
        <w:tblLook w:val="04A0" w:firstRow="1" w:lastRow="0" w:firstColumn="1" w:lastColumn="0" w:noHBand="0" w:noVBand="1"/>
      </w:tblPr>
      <w:tblGrid>
        <w:gridCol w:w="359"/>
        <w:gridCol w:w="2662"/>
        <w:gridCol w:w="1327"/>
        <w:gridCol w:w="1483"/>
        <w:gridCol w:w="1190"/>
        <w:gridCol w:w="1189"/>
        <w:gridCol w:w="1327"/>
        <w:gridCol w:w="1483"/>
      </w:tblGrid>
      <w:tr>
        <w:trPr>
          <w:trHeight w:val="210"/>
          <w:jc w:val="center"/>
        </w:trPr>
        <w:tc>
          <w:tcPr>
            <w:tcW w:w="294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3"/>
          <w:bookmarkEnd w:id="14"/>
          <w:bookmarkEnd w:id="15"/>
          <w:bookmarkEnd w:id="16"/>
          <w:p>
            <w:pPr>
              <w:jc w:val="center"/>
              <w:rPr>
                <w:b/>
                <w:bCs/>
                <w:noProof/>
                <w:color w:val="000000"/>
                <w:sz w:val="14"/>
                <w:szCs w:val="14"/>
              </w:rPr>
            </w:pPr>
            <w:r>
              <w:rPr>
                <w:b/>
                <w:noProof/>
                <w:color w:val="000000"/>
                <w:sz w:val="14"/>
              </w:rPr>
              <w:t>Функция</w:t>
            </w:r>
          </w:p>
        </w:tc>
        <w:tc>
          <w:tcPr>
            <w:tcW w:w="284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Бюджет за 2017 г.</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Проект на коригиращ бюджет № 6/2017</w:t>
            </w:r>
          </w:p>
        </w:tc>
        <w:tc>
          <w:tcPr>
            <w:tcW w:w="284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Бюджет за 2017 г.</w:t>
            </w:r>
          </w:p>
        </w:tc>
      </w:tr>
      <w:tr>
        <w:trPr>
          <w:trHeight w:val="210"/>
          <w:jc w:val="center"/>
        </w:trPr>
        <w:tc>
          <w:tcPr>
            <w:tcW w:w="29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84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(вкл. КБ № 1—4 и ПКБ № 5/2017)</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84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(вкл. КБ № 1—4 и ПКБ № 5—6/2017)</w:t>
            </w:r>
          </w:p>
        </w:tc>
      </w:tr>
      <w:tr>
        <w:trPr>
          <w:trHeight w:val="210"/>
          <w:jc w:val="center"/>
        </w:trPr>
        <w:tc>
          <w:tcPr>
            <w:tcW w:w="29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4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5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c>
          <w:tcPr>
            <w:tcW w:w="134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5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268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Интелигентен и приобщаващ растеж</w:t>
            </w:r>
          </w:p>
        </w:tc>
        <w:tc>
          <w:tcPr>
            <w:tcW w:w="134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75 398 754 456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55 284 563 532</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-5 890 744 211</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75 398 754 456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49 393 819 321</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1 939 100 000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1 939 100 000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Таван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73 512 000 000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73 512 000 000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52 345 544</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52 345 544</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1a</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Конкурентоспособност за растеж и заетост</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21 312 155 821</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19 320 944 503</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21 312 155 821</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19 320 944 503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1 439 100 000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1 439 100 000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19 925 000 000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19 925 000 000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51 944 179</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51 944 179</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1б </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Икономическо, социално и териториално сближаване</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54 086 598 635</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35 963 619 029</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-5 890 744 211</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54 086 598 635</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30 072 874 818</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500 000 000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500 000 000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53 587 000 000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53 587 000 000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401 365</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401 365</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Устойчив растеж: природни ресурси</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58 584 443 884</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54 913 969 537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- 15 333 790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- 793 028 790</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58 569 110 094</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54 120 940 747</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60 191 000 000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60 191 000 000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приспадане от маржа за непредвидени обстоятелства</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1 031 556 116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1 046 889 906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От които: Европейски фонд за гарантиране на земеделието (ЕФГЗ) — Разходи, свързани с пазара, и преки плащания</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42 612 572 079</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42 562 967 974</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- 1 900 000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- 1 900 000</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42 610 672 079</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42 561 067 974</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Подтаван</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44 146 000 000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44 146 000 000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Сигурност и гражданство</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4 284 030 960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3 511 957 287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- 287 650 000</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4 284 030 960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3 224 307 287</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по Инструмента за гъвкавост</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530 000 000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530 000 000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по маржа за непредвидени обстоятелства</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1 176 030 960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1 176 030 960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2 578 000 000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2 578 000 000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Глобална Европа</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10 437 120 000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9 758 081 178</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- 702 237 209</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10 437 120 000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9 055 843 969</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по Инструмента за гъвкавост</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по маржа за непредвидени обстоятелства</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730 120 000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730 120 000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9 432 000 000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9 432 000 000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Администрация</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9 394 513 816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9 394 599 816</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9 394 513 816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9 394 599 816</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9 918 000 000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9 918 000 000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приспадане от маржа за непредвидени обстоятелства</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16 217 380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16 217 380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От които: Административни разходи на институциите</w:t>
            </w:r>
          </w:p>
        </w:tc>
        <w:tc>
          <w:tcPr>
            <w:tcW w:w="134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7 418 660 902</w:t>
            </w:r>
          </w:p>
        </w:tc>
        <w:tc>
          <w:tcPr>
            <w:tcW w:w="15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7 418 988 660</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4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7 418 902 660</w:t>
            </w:r>
          </w:p>
        </w:tc>
        <w:tc>
          <w:tcPr>
            <w:tcW w:w="15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7 418 988 660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Подтаван</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8 007 000 000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8 007 000 000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приспадане от маржа за непредвидени обстоятелства</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80 828 536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80 828 536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Отрицателен резерв</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r>
      <w:tr>
        <w:trPr>
          <w:trHeight w:val="225"/>
          <w:jc w:val="center"/>
        </w:trPr>
        <w:tc>
          <w:tcPr>
            <w:tcW w:w="29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Общо</w:t>
            </w:r>
          </w:p>
        </w:tc>
        <w:tc>
          <w:tcPr>
            <w:tcW w:w="134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158 098 116 863</w:t>
            </w:r>
          </w:p>
        </w:tc>
        <w:tc>
          <w:tcPr>
            <w:tcW w:w="15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132 863 171 350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- 15 333 790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-7 673 660 210</w:t>
            </w:r>
          </w:p>
        </w:tc>
        <w:tc>
          <w:tcPr>
            <w:tcW w:w="134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158 083 529 326</w:t>
            </w:r>
          </w:p>
        </w:tc>
        <w:tc>
          <w:tcPr>
            <w:tcW w:w="15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125 189 511 140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по Инструмента за гъвкавост</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805 000 000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1 256 093 985</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805 000 000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1 256 093 985</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в общия марж за поетите задължения</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1 939 100 000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1 939 100 000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по маржа за непредвидени обстоятелства</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1 906 150 960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1 906 150 960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Таван</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155 631 000 000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142 906 000 000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155 631 000 000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142 906 000 000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приспадане от маржа за непредвидени обстоятелства</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-1 082 268 804</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-2 818 233 715</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-1 082 268 804</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-2 818 233 715</w:t>
            </w:r>
          </w:p>
        </w:tc>
      </w:tr>
      <w:tr>
        <w:trPr>
          <w:trHeight w:val="225"/>
          <w:jc w:val="center"/>
        </w:trPr>
        <w:tc>
          <w:tcPr>
            <w:tcW w:w="294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Марж</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1 100 119 040</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8 480 688 920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1 115 452 830</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16 154 349 130</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Други специални инструменти</w:t>
            </w:r>
          </w:p>
        </w:tc>
        <w:tc>
          <w:tcPr>
            <w:tcW w:w="134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1 793 924 013</w:t>
            </w:r>
          </w:p>
        </w:tc>
        <w:tc>
          <w:tcPr>
            <w:tcW w:w="15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1 627 200 013</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- 46 000 000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- 46 000 000</w:t>
            </w:r>
          </w:p>
        </w:tc>
        <w:tc>
          <w:tcPr>
            <w:tcW w:w="134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1 747 924 013</w:t>
            </w:r>
          </w:p>
        </w:tc>
        <w:tc>
          <w:tcPr>
            <w:tcW w:w="15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1 581 200 013</w:t>
            </w:r>
          </w:p>
        </w:tc>
      </w:tr>
      <w:tr>
        <w:trPr>
          <w:trHeight w:val="225"/>
          <w:jc w:val="center"/>
        </w:trPr>
        <w:tc>
          <w:tcPr>
            <w:tcW w:w="294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Общ сбор</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159 892 787 129</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134 490 371 363</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- 61 333 790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-7 719 660 210</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159 831 453 339</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126 770 711 153</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347"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9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9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05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sz w:val="18"/>
          <w:szCs w:val="18"/>
          <w:lang w:val="pl-PL"/>
        </w:rPr>
      </w:pPr>
      <w:r>
        <w:rPr>
          <w:rStyle w:val="FootnoteReference"/>
          <w:sz w:val="18"/>
          <w:szCs w:val="18"/>
        </w:rPr>
        <w:footnoteRef/>
      </w:r>
      <w:r>
        <w:rPr>
          <w:sz w:val="18"/>
          <w:szCs w:val="18"/>
        </w:rPr>
        <w:tab/>
        <w:t>ОВ L 298, 26.10.2012 г., стр. 1.</w:t>
      </w:r>
    </w:p>
  </w:footnote>
  <w:footnote w:id="3">
    <w:p>
      <w:pPr>
        <w:pStyle w:val="FootnoteText"/>
        <w:rPr>
          <w:sz w:val="18"/>
          <w:szCs w:val="18"/>
          <w:lang w:val="pl-PL"/>
        </w:rPr>
      </w:pPr>
      <w:r>
        <w:rPr>
          <w:rStyle w:val="FootnoteReference"/>
          <w:sz w:val="18"/>
          <w:szCs w:val="18"/>
        </w:rPr>
        <w:footnoteRef/>
      </w:r>
      <w:r>
        <w:rPr>
          <w:sz w:val="18"/>
          <w:szCs w:val="18"/>
        </w:rPr>
        <w:tab/>
        <w:t>ОВ L 51, 28.2.2017 г.</w:t>
      </w:r>
    </w:p>
  </w:footnote>
  <w:footnote w:id="4">
    <w:p>
      <w:pPr>
        <w:pStyle w:val="FootnoteText"/>
        <w:rPr>
          <w:sz w:val="18"/>
          <w:szCs w:val="18"/>
          <w:lang w:val="pl-PL"/>
        </w:rPr>
      </w:pPr>
      <w:r>
        <w:rPr>
          <w:rStyle w:val="FootnoteReference"/>
          <w:sz w:val="18"/>
          <w:szCs w:val="18"/>
        </w:rPr>
        <w:footnoteRef/>
      </w:r>
      <w:r>
        <w:rPr>
          <w:sz w:val="18"/>
          <w:szCs w:val="18"/>
        </w:rPr>
        <w:t xml:space="preserve"> </w:t>
      </w:r>
      <w:r>
        <w:rPr>
          <w:sz w:val="18"/>
          <w:szCs w:val="18"/>
        </w:rPr>
        <w:tab/>
        <w:t>ОВ L 136, 24.5.2017 г.</w:t>
      </w:r>
    </w:p>
  </w:footnote>
  <w:footnote w:id="5">
    <w:p>
      <w:pPr>
        <w:pStyle w:val="FootnoteText"/>
        <w:rPr>
          <w:sz w:val="18"/>
          <w:szCs w:val="18"/>
        </w:rPr>
      </w:pPr>
      <w:r>
        <w:rPr>
          <w:rStyle w:val="FootnoteReference"/>
          <w:sz w:val="18"/>
          <w:szCs w:val="18"/>
        </w:rPr>
        <w:footnoteRef/>
      </w:r>
      <w:r>
        <w:rPr>
          <w:sz w:val="18"/>
          <w:szCs w:val="18"/>
        </w:rPr>
        <w:t xml:space="preserve"> </w:t>
      </w:r>
      <w:r>
        <w:rPr>
          <w:sz w:val="18"/>
          <w:szCs w:val="18"/>
        </w:rPr>
        <w:tab/>
        <w:t>ОВ L 227, 1.9.2017 г.</w:t>
      </w:r>
    </w:p>
  </w:footnote>
  <w:footnote w:id="6">
    <w:p>
      <w:pPr>
        <w:pStyle w:val="FootnoteText"/>
        <w:rPr>
          <w:sz w:val="18"/>
          <w:szCs w:val="18"/>
        </w:rPr>
      </w:pPr>
      <w:r>
        <w:rPr>
          <w:rStyle w:val="FootnoteReference"/>
          <w:sz w:val="18"/>
          <w:szCs w:val="18"/>
        </w:rPr>
        <w:footnoteRef/>
      </w:r>
      <w:r>
        <w:rPr>
          <w:sz w:val="18"/>
          <w:szCs w:val="18"/>
        </w:rPr>
        <w:t xml:space="preserve"> </w:t>
      </w:r>
      <w:r>
        <w:rPr>
          <w:sz w:val="18"/>
          <w:szCs w:val="18"/>
        </w:rPr>
        <w:tab/>
        <w:t>COM(2017) 288, 30.5.2017 г. (предстоящо публикуване в Официален вестник).</w:t>
      </w:r>
    </w:p>
  </w:footnote>
  <w:footnote w:id="7">
    <w:p>
      <w:pPr>
        <w:pStyle w:val="FootnoteText"/>
        <w:rPr>
          <w:sz w:val="18"/>
          <w:szCs w:val="18"/>
        </w:rPr>
      </w:pPr>
      <w:r>
        <w:rPr>
          <w:rStyle w:val="FootnoteReference"/>
          <w:sz w:val="18"/>
          <w:szCs w:val="18"/>
        </w:rPr>
        <w:footnoteRef/>
      </w:r>
      <w:r>
        <w:rPr>
          <w:sz w:val="18"/>
          <w:szCs w:val="18"/>
        </w:rPr>
        <w:t xml:space="preserve"> </w:t>
      </w:r>
      <w:r>
        <w:rPr>
          <w:sz w:val="18"/>
          <w:szCs w:val="18"/>
        </w:rPr>
        <w:tab/>
        <w:t>COM(2017) 541, 26.6.2017 г. (предстоящо публикуване в Официален вестник).</w:t>
      </w:r>
    </w:p>
  </w:footnote>
  <w:footnote w:id="8">
    <w:p>
      <w:pPr>
        <w:pStyle w:val="FootnoteText"/>
        <w:rPr>
          <w:sz w:val="18"/>
          <w:szCs w:val="18"/>
        </w:rPr>
      </w:pPr>
      <w:r>
        <w:rPr>
          <w:rStyle w:val="FootnoteReference"/>
          <w:sz w:val="18"/>
          <w:szCs w:val="18"/>
        </w:rPr>
        <w:footnoteRef/>
      </w:r>
      <w:r>
        <w:rPr>
          <w:sz w:val="18"/>
          <w:szCs w:val="18"/>
        </w:rPr>
        <w:t xml:space="preserve"> </w:t>
      </w:r>
      <w:r>
        <w:rPr>
          <w:sz w:val="18"/>
          <w:szCs w:val="18"/>
        </w:rPr>
        <w:tab/>
        <w:t>COM(2017) 485, 28.7.2017 г.</w:t>
      </w:r>
    </w:p>
  </w:footnote>
  <w:footnote w:id="9">
    <w:p>
      <w:pPr>
        <w:pStyle w:val="FootnoteText"/>
        <w:rPr>
          <w:sz w:val="18"/>
          <w:szCs w:val="18"/>
        </w:rPr>
      </w:pPr>
      <w:r>
        <w:rPr>
          <w:rStyle w:val="FootnoteReference"/>
          <w:sz w:val="18"/>
          <w:szCs w:val="18"/>
        </w:rPr>
        <w:footnoteRef/>
      </w:r>
      <w:r>
        <w:rPr>
          <w:sz w:val="18"/>
          <w:szCs w:val="18"/>
        </w:rPr>
        <w:t xml:space="preserve"> </w:t>
      </w:r>
      <w:r>
        <w:rPr>
          <w:sz w:val="18"/>
          <w:szCs w:val="18"/>
        </w:rPr>
        <w:tab/>
        <w:t>В настоящия ПКБ са включени 5 890,7 милиона евро, а други 14,3 милиона евро бяха използвани в рамките на глобалния трансфер като балансиращ елемент.</w:t>
      </w:r>
    </w:p>
  </w:footnote>
  <w:footnote w:id="10">
    <w:p>
      <w:pPr>
        <w:pStyle w:val="FootnoteText"/>
        <w:rPr>
          <w:sz w:val="18"/>
          <w:szCs w:val="18"/>
        </w:rPr>
      </w:pPr>
      <w:r>
        <w:rPr>
          <w:rStyle w:val="FootnoteReference"/>
          <w:sz w:val="18"/>
          <w:szCs w:val="18"/>
        </w:rPr>
        <w:footnoteRef/>
      </w:r>
      <w:r>
        <w:rPr>
          <w:sz w:val="18"/>
          <w:szCs w:val="18"/>
        </w:rPr>
        <w:t xml:space="preserve"> </w:t>
      </w:r>
      <w:r>
        <w:rPr>
          <w:sz w:val="18"/>
          <w:szCs w:val="18"/>
        </w:rPr>
        <w:tab/>
        <w:t>Комисарите Йотингер, Крецу, Тейсен и Вела.</w:t>
      </w:r>
    </w:p>
  </w:footnote>
  <w:footnote w:id="11">
    <w:p>
      <w:pPr>
        <w:pStyle w:val="FootnoteText"/>
        <w:rPr>
          <w:sz w:val="18"/>
          <w:szCs w:val="18"/>
        </w:rPr>
      </w:pPr>
      <w:r>
        <w:rPr>
          <w:rStyle w:val="FootnoteReference"/>
          <w:sz w:val="18"/>
          <w:szCs w:val="18"/>
        </w:rPr>
        <w:footnoteRef/>
      </w:r>
      <w:r>
        <w:rPr>
          <w:sz w:val="18"/>
          <w:szCs w:val="18"/>
        </w:rPr>
        <w:t xml:space="preserve"> </w:t>
      </w:r>
      <w:r>
        <w:rPr>
          <w:sz w:val="18"/>
          <w:szCs w:val="18"/>
        </w:rPr>
        <w:tab/>
        <w:t>COM(2017) 485, 28.7.2017 г.</w:t>
      </w:r>
    </w:p>
  </w:footnote>
  <w:footnote w:id="12">
    <w:p>
      <w:pPr>
        <w:pStyle w:val="FootnoteText"/>
        <w:rPr>
          <w:sz w:val="18"/>
          <w:szCs w:val="18"/>
        </w:rPr>
      </w:pPr>
      <w:r>
        <w:rPr>
          <w:rStyle w:val="FootnoteReference"/>
          <w:sz w:val="18"/>
          <w:szCs w:val="18"/>
        </w:rPr>
        <w:footnoteRef/>
      </w:r>
      <w:r>
        <w:rPr>
          <w:sz w:val="18"/>
          <w:szCs w:val="18"/>
        </w:rPr>
        <w:t xml:space="preserve"> </w:t>
      </w:r>
      <w:r>
        <w:rPr>
          <w:sz w:val="18"/>
          <w:szCs w:val="18"/>
        </w:rPr>
        <w:tab/>
        <w:t>Коригиращи бюджети № 3/2017 и № 4/2017, както и проект на коригиращ бюджет № 5/2017 нямат отражение върху приходите.</w:t>
      </w:r>
    </w:p>
  </w:footnote>
  <w:footnote w:id="13">
    <w:p>
      <w:pPr>
        <w:pStyle w:val="FootnoteText"/>
        <w:rPr>
          <w:sz w:val="18"/>
          <w:szCs w:val="18"/>
        </w:rPr>
      </w:pPr>
      <w:r>
        <w:rPr>
          <w:rStyle w:val="FootnoteReference"/>
          <w:sz w:val="18"/>
          <w:szCs w:val="18"/>
        </w:rPr>
        <w:footnoteRef/>
      </w:r>
      <w:r>
        <w:rPr>
          <w:sz w:val="18"/>
          <w:szCs w:val="18"/>
        </w:rPr>
        <w:t xml:space="preserve"> </w:t>
      </w:r>
      <w:r>
        <w:rPr>
          <w:sz w:val="18"/>
          <w:szCs w:val="18"/>
        </w:rPr>
        <w:tab/>
        <w:t>Общата прогноза за нетните налози в сектора на захарта за 2017 г. остава на същото равнище, но вследствие на промяната на разходите по събирането сумата е различна (133,3 милиона евро след приспадане на 20 % за разходи по събирането).</w:t>
      </w:r>
    </w:p>
  </w:footnote>
  <w:footnote w:id="14">
    <w:p>
      <w:pPr>
        <w:pStyle w:val="FootnoteText"/>
        <w:rPr>
          <w:sz w:val="18"/>
          <w:szCs w:val="18"/>
        </w:rPr>
      </w:pPr>
      <w:r>
        <w:rPr>
          <w:rStyle w:val="FootnoteReference"/>
          <w:sz w:val="18"/>
          <w:szCs w:val="18"/>
        </w:rPr>
        <w:footnoteRef/>
      </w:r>
      <w:r>
        <w:rPr>
          <w:sz w:val="18"/>
          <w:szCs w:val="18"/>
        </w:rPr>
        <w:t xml:space="preserve"> </w:t>
      </w:r>
      <w:r>
        <w:rPr>
          <w:sz w:val="18"/>
          <w:szCs w:val="18"/>
        </w:rPr>
        <w:tab/>
        <w:t>В съответствие с Решение 2014/335 на Съвета, ако базата за ДДС на държава членка надвиши 50 % от нейния БНД, за тази база се определя таван на равнището на тези 50 %. За ПКБ № 6/2017 шест държави членки ще имат таван на базата за ДДС, равен на 50 % от техния БНД: Естония, Хърватия, Кипър, Люксембург, Малта и Португалия.</w:t>
      </w:r>
    </w:p>
  </w:footnote>
  <w:footnote w:id="15">
    <w:p>
      <w:pPr>
        <w:pStyle w:val="FootnoteText"/>
        <w:rPr>
          <w:rStyle w:val="FootnoteReference"/>
          <w:sz w:val="18"/>
          <w:szCs w:val="18"/>
        </w:rPr>
      </w:pPr>
      <w:r>
        <w:rPr>
          <w:rStyle w:val="FootnoteReference"/>
          <w:sz w:val="18"/>
          <w:szCs w:val="18"/>
        </w:rPr>
        <w:footnoteRef/>
      </w:r>
      <w:r>
        <w:rPr>
          <w:rStyle w:val="FootnoteReference"/>
          <w:sz w:val="18"/>
          <w:szCs w:val="18"/>
        </w:rPr>
        <w:t xml:space="preserve"> </w:t>
      </w:r>
      <w:r>
        <w:rPr>
          <w:sz w:val="18"/>
          <w:szCs w:val="18"/>
        </w:rPr>
        <w:tab/>
        <w:t>Сумите в сиво произтичат от базите за ДДС с таван, както е обяснено по-горе в бележка под линия 11.</w:t>
      </w:r>
    </w:p>
  </w:footnote>
  <w:footnote w:id="16">
    <w:p>
      <w:pPr>
        <w:pStyle w:val="FootnoteText"/>
        <w:rPr>
          <w:sz w:val="18"/>
          <w:szCs w:val="18"/>
        </w:rPr>
      </w:pPr>
      <w:r>
        <w:rPr>
          <w:rStyle w:val="FootnoteReference"/>
          <w:sz w:val="18"/>
          <w:szCs w:val="18"/>
        </w:rPr>
        <w:footnoteRef/>
      </w:r>
      <w:r>
        <w:rPr>
          <w:sz w:val="18"/>
          <w:szCs w:val="18"/>
        </w:rPr>
        <w:t xml:space="preserve"> </w:t>
      </w:r>
      <w:r>
        <w:rPr>
          <w:sz w:val="18"/>
          <w:szCs w:val="18"/>
        </w:rPr>
        <w:tab/>
        <w:t>ОВ L 163, 23.6.2007 г., стр. 17.</w:t>
      </w:r>
    </w:p>
  </w:footnote>
  <w:footnote w:id="17">
    <w:p>
      <w:pPr>
        <w:pStyle w:val="FootnoteText"/>
        <w:rPr>
          <w:sz w:val="18"/>
          <w:szCs w:val="18"/>
        </w:rPr>
      </w:pPr>
      <w:r>
        <w:rPr>
          <w:rStyle w:val="FootnoteReference"/>
          <w:sz w:val="18"/>
          <w:szCs w:val="18"/>
        </w:rPr>
        <w:footnoteRef/>
      </w:r>
      <w:r>
        <w:rPr>
          <w:sz w:val="18"/>
          <w:szCs w:val="18"/>
        </w:rPr>
        <w:tab/>
        <w:t xml:space="preserve">Работен документ на Комисията от 23 май 2007 г. относно изчисляването, финансирането, плащането и внасянето в бюджета на корекцията на бюджетните дисбаланси за Обединеното кралство („корекция за Обединеното кралство“), в съответствие с членове 4 и 5 от Решение [2007/436/ЕО, Евратом] на Съвета относно системата на собствените ресурси на Европейските общности, който може да бъде намерен на адрес: </w:t>
      </w:r>
    </w:p>
    <w:p>
      <w:pPr>
        <w:pStyle w:val="FootnoteText"/>
        <w:spacing w:after="60"/>
        <w:ind w:firstLine="0"/>
        <w:rPr>
          <w:sz w:val="18"/>
          <w:szCs w:val="18"/>
        </w:rPr>
      </w:pPr>
      <w:hyperlink r:id="rId1">
        <w:r>
          <w:rPr>
            <w:rStyle w:val="Hyperlink"/>
            <w:sz w:val="18"/>
            <w:szCs w:val="18"/>
          </w:rPr>
          <w:t>http://ec.europa.eu/budget/library/biblio/documents/financing/calc_own_res_2007_bg.pdf</w:t>
        </w:r>
      </w:hyperlink>
      <w:r>
        <w:rPr>
          <w:sz w:val="18"/>
          <w:szCs w:val="18"/>
        </w:rPr>
        <w:t>.</w:t>
      </w:r>
    </w:p>
  </w:footnote>
  <w:footnote w:id="18">
    <w:p>
      <w:pPr>
        <w:pStyle w:val="FootnoteText"/>
        <w:rPr>
          <w:sz w:val="18"/>
          <w:szCs w:val="18"/>
        </w:rPr>
      </w:pPr>
      <w:r>
        <w:rPr>
          <w:rStyle w:val="FootnoteReference"/>
          <w:sz w:val="18"/>
          <w:szCs w:val="18"/>
        </w:rPr>
        <w:footnoteRef/>
      </w:r>
      <w:r>
        <w:rPr>
          <w:sz w:val="18"/>
          <w:szCs w:val="18"/>
        </w:rPr>
        <w:t xml:space="preserve"> </w:t>
      </w:r>
      <w:r>
        <w:rPr>
          <w:sz w:val="18"/>
          <w:szCs w:val="18"/>
        </w:rPr>
        <w:tab/>
        <w:t>ОВ L 168, 7.6.2014 г., стр. 105—111.</w:t>
      </w:r>
    </w:p>
  </w:footnote>
  <w:footnote w:id="19">
    <w:p>
      <w:pPr>
        <w:autoSpaceDE w:val="0"/>
        <w:autoSpaceDN w:val="0"/>
        <w:adjustRightInd w:val="0"/>
        <w:ind w:left="720" w:hanging="720"/>
        <w:rPr>
          <w:sz w:val="18"/>
          <w:szCs w:val="18"/>
        </w:rPr>
      </w:pPr>
      <w:r>
        <w:rPr>
          <w:rStyle w:val="FootnoteReference"/>
          <w:sz w:val="18"/>
          <w:szCs w:val="18"/>
        </w:rPr>
        <w:footnoteRef/>
      </w:r>
      <w:r>
        <w:rPr>
          <w:sz w:val="18"/>
          <w:szCs w:val="18"/>
        </w:rPr>
        <w:tab/>
        <w:t>Работен документ на Комисията от 14 май 2014 г. относно изчисляването, финансирането, изплащането и вписването в бюджета на корекцията на бюджетните дисбаланси в полза на Обединеното кралство („Корекцията за ОК“) в съответствие с членове 4 и 5 от Решение [2014/335/ЕС, Евратом] на Съвета относно системата на собствените ресурси на Европейския съюз, който може да бъде намерен на адрес:</w:t>
      </w:r>
      <w:r>
        <w:rPr>
          <w:b/>
          <w:sz w:val="18"/>
          <w:szCs w:val="18"/>
        </w:rPr>
        <w:t xml:space="preserve"> </w:t>
      </w:r>
    </w:p>
    <w:p>
      <w:pPr>
        <w:pStyle w:val="FootnoteText"/>
        <w:ind w:firstLine="0"/>
        <w:rPr>
          <w:sz w:val="18"/>
          <w:szCs w:val="18"/>
        </w:rPr>
      </w:pPr>
      <w:r>
        <w:rPr>
          <w:sz w:val="18"/>
          <w:szCs w:val="18"/>
        </w:rPr>
        <w:t xml:space="preserve"> </w:t>
      </w:r>
      <w:hyperlink r:id="rId2">
        <w:r>
          <w:rPr>
            <w:rStyle w:val="Hyperlink"/>
            <w:sz w:val="18"/>
            <w:szCs w:val="18"/>
          </w:rPr>
          <w:t>http://eur-lex.europa.eu/legal-content/BG/TXT/PDF/?uri=CELEX:52014DC0271&amp;rid=8</w:t>
        </w:r>
      </w:hyperlink>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A1A9734"/>
    <w:lvl w:ilvl="0">
      <w:start w:val="1"/>
      <w:numFmt w:val="decimal"/>
      <w:lvlText w:val="%1."/>
      <w:lvlJc w:val="left"/>
      <w:pPr>
        <w:tabs>
          <w:tab w:val="num" w:pos="360"/>
        </w:tabs>
        <w:ind w:left="360" w:hanging="360"/>
      </w:pPr>
    </w:lvl>
  </w:abstractNum>
  <w:abstractNum w:abstractNumId="3">
    <w:nsid w:val="04D63873"/>
    <w:multiLevelType w:val="multilevel"/>
    <w:tmpl w:val="86FE23B4"/>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8BE211A"/>
    <w:multiLevelType w:val="hybridMultilevel"/>
    <w:tmpl w:val="B8AAEDF2"/>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99C6FA8"/>
    <w:multiLevelType w:val="hybridMultilevel"/>
    <w:tmpl w:val="D7D82866"/>
    <w:lvl w:ilvl="0" w:tplc="70981A52">
      <w:start w:val="1"/>
      <w:numFmt w:val="bullet"/>
      <w:lvlText w:val=""/>
      <w:lvlJc w:val="left"/>
      <w:pPr>
        <w:ind w:left="525" w:hanging="52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E46741"/>
    <w:multiLevelType w:val="hybridMultilevel"/>
    <w:tmpl w:val="CF8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2">
    <w:nsid w:val="34AF67B3"/>
    <w:multiLevelType w:val="hybridMultilevel"/>
    <w:tmpl w:val="206672F4"/>
    <w:lvl w:ilvl="0" w:tplc="5FD4A2D4">
      <w:start w:val="2"/>
      <w:numFmt w:val="bullet"/>
      <w:lvlText w:val="·"/>
      <w:lvlJc w:val="left"/>
      <w:pPr>
        <w:ind w:left="885" w:hanging="52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5">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290503"/>
    <w:multiLevelType w:val="hybridMultilevel"/>
    <w:tmpl w:val="ADD2FC7E"/>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E76506"/>
    <w:multiLevelType w:val="hybridMultilevel"/>
    <w:tmpl w:val="9AFA166C"/>
    <w:lvl w:ilvl="0" w:tplc="49467B3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8C3B69"/>
    <w:multiLevelType w:val="multilevel"/>
    <w:tmpl w:val="C18A497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AC004F"/>
    <w:multiLevelType w:val="multilevel"/>
    <w:tmpl w:val="57CA7644"/>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AC94459"/>
    <w:multiLevelType w:val="hybridMultilevel"/>
    <w:tmpl w:val="AB8E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1"/>
  </w:num>
  <w:num w:numId="4">
    <w:abstractNumId w:val="13"/>
  </w:num>
  <w:num w:numId="5">
    <w:abstractNumId w:val="8"/>
  </w:num>
  <w:num w:numId="6">
    <w:abstractNumId w:val="19"/>
  </w:num>
  <w:num w:numId="7">
    <w:abstractNumId w:val="6"/>
  </w:num>
  <w:num w:numId="8">
    <w:abstractNumId w:val="20"/>
  </w:num>
  <w:num w:numId="9">
    <w:abstractNumId w:val="0"/>
  </w:num>
  <w:num w:numId="10">
    <w:abstractNumId w:val="1"/>
  </w:num>
  <w:num w:numId="11">
    <w:abstractNumId w:val="10"/>
  </w:num>
  <w:num w:numId="12">
    <w:abstractNumId w:val="14"/>
  </w:num>
  <w:num w:numId="13">
    <w:abstractNumId w:val="15"/>
  </w:num>
  <w:num w:numId="14">
    <w:abstractNumId w:val="14"/>
  </w:num>
  <w:num w:numId="15">
    <w:abstractNumId w:val="14"/>
  </w:num>
  <w:num w:numId="16">
    <w:abstractNumId w:val="14"/>
  </w:num>
  <w:num w:numId="17">
    <w:abstractNumId w:val="5"/>
  </w:num>
  <w:num w:numId="18">
    <w:abstractNumId w:val="16"/>
  </w:num>
  <w:num w:numId="19">
    <w:abstractNumId w:val="22"/>
  </w:num>
  <w:num w:numId="20">
    <w:abstractNumId w:val="19"/>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num>
  <w:num w:numId="25">
    <w:abstractNumId w:val="19"/>
  </w:num>
  <w:num w:numId="26">
    <w:abstractNumId w:val="19"/>
  </w:num>
  <w:num w:numId="27">
    <w:abstractNumId w:val="23"/>
  </w:num>
  <w:num w:numId="28">
    <w:abstractNumId w:val="3"/>
  </w:num>
  <w:num w:numId="29">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2">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17"/>
  </w:num>
  <w:num w:numId="34">
    <w:abstractNumId w:val="4"/>
  </w:num>
  <w:num w:numId="35">
    <w:abstractNumId w:val="9"/>
  </w:num>
  <w:num w:numId="36">
    <w:abstractNumId w:val="11"/>
  </w:num>
  <w:num w:numId="37">
    <w:abstractNumId w:val="18"/>
  </w:num>
  <w:num w:numId="38">
    <w:abstractNumId w:val="24"/>
  </w:num>
  <w:num w:numId="39">
    <w:abstractNumId w:val="12"/>
  </w:num>
  <w:num w:numId="4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A5C543C879F4031BD0389EF8D9BAC71"/>
    <w:docVar w:name="LW_CROSSREFERENCE" w:val="&lt;UNUSED&gt;"/>
    <w:docVar w:name="LW_DocType" w:val="NORMAL"/>
    <w:docVar w:name="LW_EMISSION" w:val="9.10.2017"/>
    <w:docVar w:name="LW_EMISSION_ISODATE" w:val="2017-10-09"/>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97"/>
    <w:docVar w:name="LW_REF.INTERNE" w:val="&lt;UNUSED&gt;"/>
    <w:docVar w:name="LW_SOUS.TITRE.OBJ.CP" w:val="&lt;UNUSED&gt;"/>
    <w:docVar w:name="LW_SUPERTITRE" w:val="&lt;UNUSED&gt;"/>
    <w:docVar w:name="LW_TITRE.OBJ.CP" w:val="\u1053?\u1072?\u1084?\u1072?\u1083?\u1077?\u1085?\u1080?\u1077? \u1085?\u1072? \u1073?\u1102?\u1076?\u1078?\u1077?\u1090?\u1085?\u1080?\u1090?\u1077? \u1082?\u1088?\u1077?\u1076?\u1080?\u1090?\u1080? \u1079?\u1072? \u1087?\u1083?\u1072?\u1097?\u1072?\u1085?\u1080?\u1103? \u1080? \u1079?\u1072? \u1087?\u1086?\u1077?\u1090?\u1080? \u1079?\u1072?\u1076?\u1098?\u1083?\u1078?\u1077?\u1085?\u1080?\u1103? \u1074? \u1089?\u1098?\u1086?\u1090?\u1074?\u1077?\u1090?\u1089?\u1090?\u1074?\u1080?\u1077? \u1089? \u1072?\u1082?\u1090?\u1091?\u1072?\u1083?\u1080?\u1079?\u1080?\u1088?\u1072?\u1085?\u1080?\u1090?\u1077? \u1087?\u1088?\u1086?\u1075?\u1085?\u1086?\u1079?\u1080? \u1079?\u1072? \u1088?\u1072?\u1079?\u1093?\u1086?\u1076?\u1080?\u1090?\u1077? \u1080? \u1072?\u1082?\u1090?\u1091?\u1072?\u1083?\u1080?\u1079?\u1072?\u1094?\u1080?\u1103?\u1090?\u1072? \u1085?\u1072? \u1087?\u1088?\u1080?\u1093?\u1086?\u1076?\u1080?\u1090?\u1077? (\u1089?\u1086?\u1073?\u1089?\u1090?\u1074?\u1077?\u1085?\u1080? \u1088?\u1077?\u1089?\u1091?\u1088?\u1089?\u1080? \u1080? \u1075?\u1083?\u1086?\u1073?\u1080?)"/>
    <w:docVar w:name="LW_TITRE.OBJ.CP_PREVIOUS" w:val="&lt;UNUSED&gt;"/>
    <w:docVar w:name="LW_TYPE.DOC.CP" w:val="\u1055?\u1056?\u1054?\u1045?\u1050?\u1058? \u1053?\u1040? \u1050?\u1054?\u1056?\u1048?\u1043?\u1048?\u1056?\u1040?\u1065? \u1041?\u1070?\u1044?\u1046?\u1045?\u1058? \u8470? 6_x000b_\u1050?\u1066?\u1052? \u1054?\u1041?\u1065?\u1048?\u1071? \u1041?\u1070?\u1044?\u1046?\u1045?\u1058? \u1047?\u1040? 2017 \u1043?."/>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caption" w:semiHidden="1" w:unhideWhenUsed="1" w:qFormat="1"/>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caption" w:semiHidden="1" w:unhideWhenUsed="1" w:qFormat="1"/>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381">
      <w:bodyDiv w:val="1"/>
      <w:marLeft w:val="0"/>
      <w:marRight w:val="0"/>
      <w:marTop w:val="0"/>
      <w:marBottom w:val="0"/>
      <w:divBdr>
        <w:top w:val="none" w:sz="0" w:space="0" w:color="auto"/>
        <w:left w:val="none" w:sz="0" w:space="0" w:color="auto"/>
        <w:bottom w:val="none" w:sz="0" w:space="0" w:color="auto"/>
        <w:right w:val="none" w:sz="0" w:space="0" w:color="auto"/>
      </w:divBdr>
    </w:div>
    <w:div w:id="77798609">
      <w:bodyDiv w:val="1"/>
      <w:marLeft w:val="0"/>
      <w:marRight w:val="0"/>
      <w:marTop w:val="0"/>
      <w:marBottom w:val="0"/>
      <w:divBdr>
        <w:top w:val="none" w:sz="0" w:space="0" w:color="auto"/>
        <w:left w:val="none" w:sz="0" w:space="0" w:color="auto"/>
        <w:bottom w:val="none" w:sz="0" w:space="0" w:color="auto"/>
        <w:right w:val="none" w:sz="0" w:space="0" w:color="auto"/>
      </w:divBdr>
    </w:div>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3713">
      <w:bodyDiv w:val="1"/>
      <w:marLeft w:val="0"/>
      <w:marRight w:val="0"/>
      <w:marTop w:val="0"/>
      <w:marBottom w:val="0"/>
      <w:divBdr>
        <w:top w:val="none" w:sz="0" w:space="0" w:color="auto"/>
        <w:left w:val="none" w:sz="0" w:space="0" w:color="auto"/>
        <w:bottom w:val="none" w:sz="0" w:space="0" w:color="auto"/>
        <w:right w:val="none" w:sz="0" w:space="0" w:color="auto"/>
      </w:divBdr>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03250459">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280889594">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71955280">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778990717">
      <w:bodyDiv w:val="1"/>
      <w:marLeft w:val="0"/>
      <w:marRight w:val="0"/>
      <w:marTop w:val="0"/>
      <w:marBottom w:val="0"/>
      <w:divBdr>
        <w:top w:val="none" w:sz="0" w:space="0" w:color="auto"/>
        <w:left w:val="none" w:sz="0" w:space="0" w:color="auto"/>
        <w:bottom w:val="none" w:sz="0" w:space="0" w:color="auto"/>
        <w:right w:val="none" w:sz="0" w:space="0" w:color="auto"/>
      </w:divBdr>
    </w:div>
    <w:div w:id="788663921">
      <w:bodyDiv w:val="1"/>
      <w:marLeft w:val="0"/>
      <w:marRight w:val="0"/>
      <w:marTop w:val="0"/>
      <w:marBottom w:val="0"/>
      <w:divBdr>
        <w:top w:val="none" w:sz="0" w:space="0" w:color="auto"/>
        <w:left w:val="none" w:sz="0" w:space="0" w:color="auto"/>
        <w:bottom w:val="none" w:sz="0" w:space="0" w:color="auto"/>
        <w:right w:val="none" w:sz="0" w:space="0" w:color="auto"/>
      </w:divBdr>
    </w:div>
    <w:div w:id="794904518">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64634236">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269513">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58623561">
      <w:bodyDiv w:val="1"/>
      <w:marLeft w:val="0"/>
      <w:marRight w:val="0"/>
      <w:marTop w:val="0"/>
      <w:marBottom w:val="0"/>
      <w:divBdr>
        <w:top w:val="none" w:sz="0" w:space="0" w:color="auto"/>
        <w:left w:val="none" w:sz="0" w:space="0" w:color="auto"/>
        <w:bottom w:val="none" w:sz="0" w:space="0" w:color="auto"/>
        <w:right w:val="none" w:sz="0" w:space="0" w:color="auto"/>
      </w:divBdr>
    </w:div>
    <w:div w:id="1073502690">
      <w:bodyDiv w:val="1"/>
      <w:marLeft w:val="0"/>
      <w:marRight w:val="0"/>
      <w:marTop w:val="0"/>
      <w:marBottom w:val="0"/>
      <w:divBdr>
        <w:top w:val="none" w:sz="0" w:space="0" w:color="auto"/>
        <w:left w:val="none" w:sz="0" w:space="0" w:color="auto"/>
        <w:bottom w:val="none" w:sz="0" w:space="0" w:color="auto"/>
        <w:right w:val="none" w:sz="0" w:space="0" w:color="auto"/>
      </w:divBdr>
    </w:div>
    <w:div w:id="1083726096">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358434127">
      <w:bodyDiv w:val="1"/>
      <w:marLeft w:val="0"/>
      <w:marRight w:val="0"/>
      <w:marTop w:val="0"/>
      <w:marBottom w:val="0"/>
      <w:divBdr>
        <w:top w:val="none" w:sz="0" w:space="0" w:color="auto"/>
        <w:left w:val="none" w:sz="0" w:space="0" w:color="auto"/>
        <w:bottom w:val="none" w:sz="0" w:space="0" w:color="auto"/>
        <w:right w:val="none" w:sz="0" w:space="0" w:color="auto"/>
      </w:divBdr>
    </w:div>
    <w:div w:id="1383212917">
      <w:bodyDiv w:val="1"/>
      <w:marLeft w:val="0"/>
      <w:marRight w:val="0"/>
      <w:marTop w:val="0"/>
      <w:marBottom w:val="0"/>
      <w:divBdr>
        <w:top w:val="none" w:sz="0" w:space="0" w:color="auto"/>
        <w:left w:val="none" w:sz="0" w:space="0" w:color="auto"/>
        <w:bottom w:val="none" w:sz="0" w:space="0" w:color="auto"/>
        <w:right w:val="none" w:sz="0" w:space="0" w:color="auto"/>
      </w:divBdr>
    </w:div>
    <w:div w:id="1433477716">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570267285">
      <w:bodyDiv w:val="1"/>
      <w:marLeft w:val="0"/>
      <w:marRight w:val="0"/>
      <w:marTop w:val="0"/>
      <w:marBottom w:val="0"/>
      <w:divBdr>
        <w:top w:val="none" w:sz="0" w:space="0" w:color="auto"/>
        <w:left w:val="none" w:sz="0" w:space="0" w:color="auto"/>
        <w:bottom w:val="none" w:sz="0" w:space="0" w:color="auto"/>
        <w:right w:val="none" w:sz="0" w:space="0" w:color="auto"/>
      </w:divBdr>
    </w:div>
    <w:div w:id="1576627459">
      <w:bodyDiv w:val="1"/>
      <w:marLeft w:val="0"/>
      <w:marRight w:val="0"/>
      <w:marTop w:val="0"/>
      <w:marBottom w:val="0"/>
      <w:divBdr>
        <w:top w:val="none" w:sz="0" w:space="0" w:color="auto"/>
        <w:left w:val="none" w:sz="0" w:space="0" w:color="auto"/>
        <w:bottom w:val="none" w:sz="0" w:space="0" w:color="auto"/>
        <w:right w:val="none" w:sz="0" w:space="0" w:color="auto"/>
      </w:divBdr>
    </w:div>
    <w:div w:id="1626277762">
      <w:bodyDiv w:val="1"/>
      <w:marLeft w:val="0"/>
      <w:marRight w:val="0"/>
      <w:marTop w:val="0"/>
      <w:marBottom w:val="0"/>
      <w:divBdr>
        <w:top w:val="none" w:sz="0" w:space="0" w:color="auto"/>
        <w:left w:val="none" w:sz="0" w:space="0" w:color="auto"/>
        <w:bottom w:val="none" w:sz="0" w:space="0" w:color="auto"/>
        <w:right w:val="none" w:sz="0" w:space="0" w:color="auto"/>
      </w:divBdr>
    </w:div>
    <w:div w:id="1713536956">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796096263">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09738884">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1914198131">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089960601">
      <w:bodyDiv w:val="1"/>
      <w:marLeft w:val="0"/>
      <w:marRight w:val="0"/>
      <w:marTop w:val="0"/>
      <w:marBottom w:val="0"/>
      <w:divBdr>
        <w:top w:val="none" w:sz="0" w:space="0" w:color="auto"/>
        <w:left w:val="none" w:sz="0" w:space="0" w:color="auto"/>
        <w:bottom w:val="none" w:sz="0" w:space="0" w:color="auto"/>
        <w:right w:val="none" w:sz="0" w:space="0" w:color="auto"/>
      </w:divBdr>
    </w:div>
    <w:div w:id="2120029748">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bg.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BG/TXT/PDF/?uri=CELEX:52014DC0271&amp;rid=8" TargetMode="External"/><Relationship Id="rId1" Type="http://schemas.openxmlformats.org/officeDocument/2006/relationships/hyperlink" Target="http://ec.europa.eu/budget/library/biblio/documents/financing/calc_own_res_2007_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3FAC-ECFF-43ED-82AA-4DB3DDEF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7304</Words>
  <Characters>35064</Characters>
  <Application>Microsoft Office Word</Application>
  <DocSecurity>0</DocSecurity>
  <Lines>1845</Lines>
  <Paragraphs>1412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40956</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2017-10-06T09:04:00Z</dcterms:created>
  <dcterms:modified xsi:type="dcterms:W3CDTF">2017-10-23T08:22:00Z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