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alt="72E62384BCF44E14B80DB740F558EDF4" style="width:450.75pt;height:351.75pt">
            <v:imagedata r:id="rId9" o:title=""/>
          </v:shape>
        </w:pict>
      </w:r>
    </w:p>
    <w:p>
      <w:pPr>
        <w:rPr>
          <w:noProof/>
        </w:rPr>
        <w:sectPr>
          <w:footerReference w:type="default" r:id="rId10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pStyle w:val="ManualHeading1"/>
        <w:rPr>
          <w:noProof/>
        </w:rPr>
      </w:pPr>
      <w:r>
        <w:rPr>
          <w:noProof/>
        </w:rPr>
        <w:t>КОНТЕКСТ НА ПРЕДЛОЖЕНИЕТО</w:t>
      </w:r>
    </w:p>
    <w:p>
      <w:pPr>
        <w:pStyle w:val="ManualNumPar1"/>
        <w:rPr>
          <w:noProof/>
        </w:rPr>
      </w:pPr>
      <w:r>
        <w:t>1.</w:t>
      </w:r>
      <w:r>
        <w:tab/>
      </w:r>
      <w:r>
        <w:rPr>
          <w:noProof/>
        </w:rPr>
        <w:t>Приложимите разпоредби за предоставяне на финансово участие от Европейския фонд за приспособяване към глобализацията (ЕФПГ) са определени в Регламент (ЕС) № 1309/2013 на Европейския парламент и на Съвета от 17 декември 2013 г. относно Европейския фонд за приспособяване към глобализацията (2014—2020 г.) и за отмяна на Регламент (ЕО) № 1927/2006</w:t>
      </w:r>
      <w:r>
        <w:rPr>
          <w:rStyle w:val="FootnoteReference"/>
          <w:noProof/>
          <w:spacing w:val="-6"/>
        </w:rPr>
        <w:footnoteReference w:id="1"/>
      </w:r>
      <w:r>
        <w:rPr>
          <w:noProof/>
        </w:rPr>
        <w:t xml:space="preserve"> („Регламента за ЕФПГ“).</w:t>
      </w:r>
    </w:p>
    <w:p>
      <w:pPr>
        <w:pStyle w:val="ManualNumPar1"/>
        <w:rPr>
          <w:noProof/>
        </w:rPr>
      </w:pPr>
      <w:r>
        <w:t>2.</w:t>
      </w:r>
      <w:r>
        <w:tab/>
      </w:r>
      <w:r>
        <w:rPr>
          <w:noProof/>
        </w:rPr>
        <w:t>На 13 април 2017 г. гръцките органи подадоха заявление EGF/2017/003 GR/Attica retail за предоставяне на финансово участие от ЕФПГ вследствие на съкращения</w:t>
      </w:r>
      <w:r>
        <w:rPr>
          <w:rStyle w:val="FootnoteReference"/>
          <w:noProof/>
        </w:rPr>
        <w:footnoteReference w:id="2"/>
      </w:r>
      <w:r>
        <w:rPr>
          <w:noProof/>
        </w:rPr>
        <w:t xml:space="preserve"> в икономически отрасъл от разделение 47 по NACE Rev. 2 („Търговия на дребно, без търговията с автомобили и мотоциклети“) в регионите на ниво 2 по NUTS Втика (EL30) и в 10 други региона</w:t>
      </w:r>
      <w:r>
        <w:rPr>
          <w:rStyle w:val="FootnoteReference"/>
          <w:noProof/>
        </w:rPr>
        <w:footnoteReference w:id="3"/>
      </w:r>
      <w:r>
        <w:rPr>
          <w:noProof/>
        </w:rPr>
        <w:t xml:space="preserve"> в Гърция.</w:t>
      </w:r>
    </w:p>
    <w:p>
      <w:pPr>
        <w:pStyle w:val="ManualNumPar1"/>
        <w:rPr>
          <w:noProof/>
        </w:rPr>
      </w:pPr>
      <w:r>
        <w:t>3.</w:t>
      </w:r>
      <w:r>
        <w:tab/>
      </w:r>
      <w:r>
        <w:rPr>
          <w:noProof/>
        </w:rPr>
        <w:t xml:space="preserve">След оценка на заявлението Комисията заключи, в съответствие с всички приложими разпоредби на Регламента за ЕФПГ, че условията за предоставяне на финансово участие от ЕФПГ са изпълнени. </w:t>
      </w:r>
    </w:p>
    <w:p>
      <w:pPr>
        <w:pStyle w:val="ManualHeading1"/>
        <w:rPr>
          <w:noProof/>
        </w:rPr>
      </w:pPr>
      <w:r>
        <w:rPr>
          <w:noProof/>
        </w:rPr>
        <w:t>ОБОБЩЕНИ ДАННИ ЗА ЗАЯВЛЕНИЕТО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8"/>
        <w:gridCol w:w="4379"/>
      </w:tblGrid>
      <w:tr>
        <w:tc>
          <w:tcPr>
            <w:tcW w:w="4908" w:type="dxa"/>
            <w:shd w:val="clear" w:color="auto" w:fill="auto"/>
          </w:tcPr>
          <w:p>
            <w:pPr>
              <w:spacing w:before="60" w:after="60"/>
              <w:jc w:val="left"/>
              <w:rPr>
                <w:rFonts w:eastAsia="Calibri"/>
                <w:noProof/>
              </w:rPr>
            </w:pPr>
            <w:r>
              <w:rPr>
                <w:noProof/>
              </w:rPr>
              <w:t>Заявление по ЕФПГ</w:t>
            </w:r>
          </w:p>
        </w:tc>
        <w:tc>
          <w:tcPr>
            <w:tcW w:w="4379" w:type="dxa"/>
            <w:shd w:val="clear" w:color="auto" w:fill="auto"/>
          </w:tcPr>
          <w:p>
            <w:pPr>
              <w:spacing w:before="60" w:after="60"/>
              <w:ind w:rightChars="192" w:right="461"/>
              <w:jc w:val="left"/>
              <w:rPr>
                <w:rFonts w:eastAsia="Calibri"/>
                <w:noProof/>
              </w:rPr>
            </w:pPr>
            <w:r>
              <w:rPr>
                <w:noProof/>
              </w:rPr>
              <w:t>EGF/2017/003 GR/Attica retail</w:t>
            </w:r>
          </w:p>
        </w:tc>
      </w:tr>
      <w:tr>
        <w:tc>
          <w:tcPr>
            <w:tcW w:w="4908" w:type="dxa"/>
            <w:shd w:val="clear" w:color="auto" w:fill="auto"/>
          </w:tcPr>
          <w:p>
            <w:pPr>
              <w:spacing w:before="60" w:after="60"/>
              <w:jc w:val="left"/>
              <w:rPr>
                <w:rFonts w:eastAsia="Calibri"/>
                <w:noProof/>
              </w:rPr>
            </w:pPr>
            <w:r>
              <w:rPr>
                <w:noProof/>
              </w:rPr>
              <w:t>Държава членка</w:t>
            </w:r>
          </w:p>
        </w:tc>
        <w:tc>
          <w:tcPr>
            <w:tcW w:w="4379" w:type="dxa"/>
            <w:shd w:val="clear" w:color="auto" w:fill="auto"/>
          </w:tcPr>
          <w:p>
            <w:pPr>
              <w:spacing w:before="60" w:after="60"/>
              <w:ind w:rightChars="192" w:right="461"/>
              <w:jc w:val="left"/>
              <w:rPr>
                <w:rFonts w:eastAsia="Calibri"/>
                <w:noProof/>
              </w:rPr>
            </w:pPr>
            <w:r>
              <w:rPr>
                <w:noProof/>
              </w:rPr>
              <w:t>Гърция</w:t>
            </w:r>
          </w:p>
        </w:tc>
      </w:tr>
      <w:tr>
        <w:tc>
          <w:tcPr>
            <w:tcW w:w="4908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before="60" w:after="60"/>
              <w:jc w:val="left"/>
              <w:rPr>
                <w:rFonts w:eastAsia="Calibri"/>
                <w:noProof/>
              </w:rPr>
            </w:pPr>
            <w:r>
              <w:rPr>
                <w:noProof/>
              </w:rPr>
              <w:t>Засегнат(и) регион(и) (ниво 2 по NUTS</w:t>
            </w:r>
            <w:r>
              <w:rPr>
                <w:rStyle w:val="FootnoteReference"/>
                <w:noProof/>
              </w:rPr>
              <w:footnoteReference w:id="4"/>
            </w:r>
            <w:r>
              <w:rPr>
                <w:noProof/>
              </w:rPr>
              <w:t>)</w:t>
            </w:r>
          </w:p>
        </w:tc>
        <w:tc>
          <w:tcPr>
            <w:tcW w:w="4379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Източна Македония, Тракия (EL11)</w:t>
            </w:r>
          </w:p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Централна Македония (EL12)</w:t>
            </w:r>
          </w:p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Западна Македония (EL13)</w:t>
            </w:r>
          </w:p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Тесалия (EL14)</w:t>
            </w:r>
          </w:p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Епир (EL21)</w:t>
            </w:r>
          </w:p>
          <w:p>
            <w:pPr>
              <w:spacing w:before="60" w:after="60"/>
              <w:jc w:val="left"/>
              <w:rPr>
                <w:noProof/>
              </w:rPr>
            </w:pPr>
            <w:r>
              <w:rPr>
                <w:noProof/>
              </w:rPr>
              <w:t>Западна Гърция (EL23)</w:t>
            </w:r>
          </w:p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Централна Гърция (EL24)</w:t>
            </w:r>
          </w:p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Пелопонес (EL25)</w:t>
            </w:r>
          </w:p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Атика (EL30)</w:t>
            </w:r>
          </w:p>
          <w:p>
            <w:pPr>
              <w:spacing w:before="60" w:after="60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Южните Егейски острови (EL42)</w:t>
            </w:r>
          </w:p>
          <w:p>
            <w:pPr>
              <w:spacing w:before="0" w:after="0"/>
              <w:ind w:rightChars="192" w:right="461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О-в Крит (EL43)</w:t>
            </w:r>
          </w:p>
        </w:tc>
      </w:tr>
      <w:tr>
        <w:tc>
          <w:tcPr>
            <w:tcW w:w="4908" w:type="dxa"/>
            <w:tcBorders>
              <w:bottom w:val="dotted" w:sz="4" w:space="0" w:color="auto"/>
            </w:tcBorders>
            <w:shd w:val="clear" w:color="auto" w:fill="auto"/>
          </w:tcPr>
          <w:p>
            <w:pPr>
              <w:spacing w:before="60" w:after="60"/>
              <w:jc w:val="left"/>
              <w:rPr>
                <w:rFonts w:eastAsia="Calibri"/>
                <w:noProof/>
              </w:rPr>
            </w:pPr>
            <w:r>
              <w:rPr>
                <w:noProof/>
              </w:rPr>
              <w:t>Дата на подаване на заявлението</w:t>
            </w:r>
          </w:p>
        </w:tc>
        <w:tc>
          <w:tcPr>
            <w:tcW w:w="4379" w:type="dxa"/>
            <w:tcBorders>
              <w:bottom w:val="dotted" w:sz="4" w:space="0" w:color="auto"/>
            </w:tcBorders>
            <w:shd w:val="clear" w:color="auto" w:fill="auto"/>
          </w:tcPr>
          <w:p>
            <w:pPr>
              <w:spacing w:before="60" w:after="60"/>
              <w:ind w:rightChars="192" w:right="461"/>
              <w:jc w:val="left"/>
              <w:rPr>
                <w:rFonts w:eastAsia="Calibri"/>
                <w:noProof/>
              </w:rPr>
            </w:pPr>
            <w:r>
              <w:rPr>
                <w:noProof/>
              </w:rPr>
              <w:t>13 април 2017 г.</w:t>
            </w:r>
          </w:p>
        </w:tc>
      </w:tr>
      <w:tr>
        <w:tc>
          <w:tcPr>
            <w:tcW w:w="49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>
            <w:pPr>
              <w:spacing w:before="60" w:after="60"/>
              <w:jc w:val="left"/>
              <w:rPr>
                <w:rFonts w:eastAsia="Calibri"/>
                <w:noProof/>
              </w:rPr>
            </w:pPr>
            <w:r>
              <w:rPr>
                <w:noProof/>
              </w:rPr>
              <w:t>Дата на потвърждението за получаване на заявлението</w:t>
            </w:r>
          </w:p>
        </w:tc>
        <w:tc>
          <w:tcPr>
            <w:tcW w:w="43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>
            <w:pPr>
              <w:spacing w:before="60" w:after="60"/>
              <w:ind w:rightChars="192" w:right="461"/>
              <w:jc w:val="left"/>
              <w:rPr>
                <w:rFonts w:eastAsia="Calibri"/>
                <w:noProof/>
              </w:rPr>
            </w:pPr>
            <w:r>
              <w:rPr>
                <w:noProof/>
              </w:rPr>
              <w:t>13 април 2017 г.</w:t>
            </w:r>
          </w:p>
        </w:tc>
      </w:tr>
      <w:tr>
        <w:tc>
          <w:tcPr>
            <w:tcW w:w="49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>
            <w:pPr>
              <w:spacing w:before="60" w:after="60"/>
              <w:jc w:val="left"/>
              <w:rPr>
                <w:rFonts w:eastAsia="Calibri"/>
                <w:noProof/>
              </w:rPr>
            </w:pPr>
            <w:r>
              <w:rPr>
                <w:noProof/>
              </w:rPr>
              <w:t>Получаване на превод</w:t>
            </w:r>
          </w:p>
        </w:tc>
        <w:tc>
          <w:tcPr>
            <w:tcW w:w="43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>
            <w:pPr>
              <w:spacing w:before="60" w:after="60"/>
              <w:ind w:rightChars="192" w:right="461"/>
              <w:jc w:val="left"/>
              <w:rPr>
                <w:noProof/>
              </w:rPr>
            </w:pPr>
            <w:r>
              <w:rPr>
                <w:noProof/>
              </w:rPr>
              <w:t>12 май 2017 г.</w:t>
            </w:r>
          </w:p>
        </w:tc>
      </w:tr>
      <w:tr>
        <w:tc>
          <w:tcPr>
            <w:tcW w:w="49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>
            <w:pPr>
              <w:spacing w:before="60" w:after="60"/>
              <w:jc w:val="left"/>
              <w:rPr>
                <w:rFonts w:eastAsia="Calibri"/>
                <w:noProof/>
              </w:rPr>
            </w:pPr>
            <w:r>
              <w:rPr>
                <w:noProof/>
              </w:rPr>
              <w:t>Дата на искането за допълнителна информация</w:t>
            </w:r>
          </w:p>
        </w:tc>
        <w:tc>
          <w:tcPr>
            <w:tcW w:w="43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>
            <w:pPr>
              <w:spacing w:before="60" w:after="60"/>
              <w:ind w:rightChars="192" w:right="461"/>
              <w:jc w:val="left"/>
              <w:rPr>
                <w:rFonts w:eastAsia="Calibri"/>
                <w:noProof/>
              </w:rPr>
            </w:pPr>
            <w:r>
              <w:rPr>
                <w:noProof/>
              </w:rPr>
              <w:t>26 май 2017 г.</w:t>
            </w:r>
          </w:p>
        </w:tc>
      </w:tr>
      <w:tr>
        <w:tc>
          <w:tcPr>
            <w:tcW w:w="49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>
            <w:pPr>
              <w:spacing w:before="60" w:after="60"/>
              <w:jc w:val="left"/>
              <w:rPr>
                <w:rFonts w:eastAsia="Calibri"/>
                <w:noProof/>
              </w:rPr>
            </w:pPr>
            <w:r>
              <w:rPr>
                <w:noProof/>
              </w:rPr>
              <w:t>Дата, на която са поискани допълнителни 2 седмици за предоставяне на поисканата информация</w:t>
            </w:r>
          </w:p>
        </w:tc>
        <w:tc>
          <w:tcPr>
            <w:tcW w:w="43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>
            <w:pPr>
              <w:spacing w:before="60" w:after="60"/>
              <w:ind w:rightChars="192" w:right="461"/>
              <w:jc w:val="left"/>
              <w:rPr>
                <w:noProof/>
              </w:rPr>
            </w:pPr>
            <w:r>
              <w:rPr>
                <w:noProof/>
              </w:rPr>
              <w:t>7 юли 2017 г.</w:t>
            </w:r>
          </w:p>
        </w:tc>
      </w:tr>
      <w:tr>
        <w:tc>
          <w:tcPr>
            <w:tcW w:w="49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>
            <w:pPr>
              <w:spacing w:before="60" w:after="60"/>
              <w:jc w:val="left"/>
              <w:rPr>
                <w:rFonts w:eastAsia="Calibri"/>
                <w:noProof/>
              </w:rPr>
            </w:pPr>
            <w:r>
              <w:rPr>
                <w:noProof/>
              </w:rPr>
              <w:t>Срок за предоставяне на допълнителната информация</w:t>
            </w:r>
          </w:p>
        </w:tc>
        <w:tc>
          <w:tcPr>
            <w:tcW w:w="43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>
            <w:pPr>
              <w:spacing w:before="60" w:after="60"/>
              <w:ind w:rightChars="192" w:right="461"/>
              <w:jc w:val="left"/>
              <w:rPr>
                <w:rFonts w:eastAsia="Calibri"/>
                <w:noProof/>
              </w:rPr>
            </w:pPr>
            <w:r>
              <w:rPr>
                <w:noProof/>
              </w:rPr>
              <w:t>21 юли 2017 г.</w:t>
            </w:r>
          </w:p>
        </w:tc>
      </w:tr>
      <w:tr>
        <w:tc>
          <w:tcPr>
            <w:tcW w:w="4908" w:type="dxa"/>
            <w:tcBorders>
              <w:top w:val="dotted" w:sz="4" w:space="0" w:color="auto"/>
            </w:tcBorders>
            <w:shd w:val="clear" w:color="auto" w:fill="auto"/>
          </w:tcPr>
          <w:p>
            <w:pPr>
              <w:spacing w:before="60" w:after="60"/>
              <w:jc w:val="left"/>
              <w:rPr>
                <w:rFonts w:eastAsia="Calibri"/>
                <w:noProof/>
              </w:rPr>
            </w:pPr>
            <w:r>
              <w:rPr>
                <w:noProof/>
              </w:rPr>
              <w:t>Получаване на превода на допълнителната информация</w:t>
            </w:r>
          </w:p>
        </w:tc>
        <w:tc>
          <w:tcPr>
            <w:tcW w:w="4379" w:type="dxa"/>
            <w:tcBorders>
              <w:top w:val="dotted" w:sz="4" w:space="0" w:color="auto"/>
            </w:tcBorders>
            <w:shd w:val="clear" w:color="auto" w:fill="auto"/>
          </w:tcPr>
          <w:p>
            <w:pPr>
              <w:spacing w:before="60" w:after="60"/>
              <w:ind w:rightChars="192" w:right="461"/>
              <w:jc w:val="left"/>
              <w:rPr>
                <w:noProof/>
              </w:rPr>
            </w:pPr>
            <w:r>
              <w:rPr>
                <w:noProof/>
              </w:rPr>
              <w:t>16 август 2017 г.</w:t>
            </w:r>
          </w:p>
        </w:tc>
      </w:tr>
      <w:tr>
        <w:tc>
          <w:tcPr>
            <w:tcW w:w="4908" w:type="dxa"/>
            <w:tcBorders>
              <w:top w:val="dotted" w:sz="4" w:space="0" w:color="auto"/>
            </w:tcBorders>
            <w:shd w:val="clear" w:color="auto" w:fill="auto"/>
          </w:tcPr>
          <w:p>
            <w:pPr>
              <w:spacing w:before="60" w:after="60"/>
              <w:jc w:val="left"/>
              <w:rPr>
                <w:rFonts w:eastAsia="Calibri"/>
                <w:noProof/>
              </w:rPr>
            </w:pPr>
            <w:r>
              <w:rPr>
                <w:noProof/>
              </w:rPr>
              <w:t>Срок за приключване на оценката</w:t>
            </w:r>
          </w:p>
        </w:tc>
        <w:tc>
          <w:tcPr>
            <w:tcW w:w="4379" w:type="dxa"/>
            <w:tcBorders>
              <w:top w:val="dotted" w:sz="4" w:space="0" w:color="auto"/>
            </w:tcBorders>
            <w:shd w:val="clear" w:color="auto" w:fill="auto"/>
          </w:tcPr>
          <w:p>
            <w:pPr>
              <w:spacing w:before="60" w:after="60"/>
              <w:ind w:rightChars="192" w:right="461"/>
              <w:jc w:val="left"/>
              <w:rPr>
                <w:rFonts w:eastAsia="Calibri"/>
                <w:noProof/>
              </w:rPr>
            </w:pPr>
            <w:r>
              <w:rPr>
                <w:noProof/>
              </w:rPr>
              <w:t>8 ноември 2017 г.</w:t>
            </w:r>
          </w:p>
        </w:tc>
      </w:tr>
      <w:tr>
        <w:tc>
          <w:tcPr>
            <w:tcW w:w="4908" w:type="dxa"/>
            <w:shd w:val="clear" w:color="auto" w:fill="auto"/>
          </w:tcPr>
          <w:p>
            <w:pPr>
              <w:spacing w:before="60" w:after="60"/>
              <w:jc w:val="left"/>
              <w:rPr>
                <w:rFonts w:eastAsia="Calibri"/>
                <w:noProof/>
              </w:rPr>
            </w:pPr>
            <w:r>
              <w:rPr>
                <w:noProof/>
              </w:rPr>
              <w:t>Критерий за намеса</w:t>
            </w:r>
          </w:p>
        </w:tc>
        <w:tc>
          <w:tcPr>
            <w:tcW w:w="4379" w:type="dxa"/>
            <w:shd w:val="clear" w:color="auto" w:fill="auto"/>
          </w:tcPr>
          <w:p>
            <w:pPr>
              <w:spacing w:before="60" w:after="60"/>
              <w:ind w:right="-1"/>
              <w:jc w:val="left"/>
              <w:rPr>
                <w:rFonts w:eastAsia="Calibri"/>
                <w:noProof/>
                <w:spacing w:val="-6"/>
              </w:rPr>
            </w:pPr>
            <w:r>
              <w:rPr>
                <w:noProof/>
                <w:spacing w:val="-6"/>
              </w:rPr>
              <w:t>член 4, параграф 2 от Регламента за ЕФПГ</w:t>
            </w:r>
          </w:p>
        </w:tc>
      </w:tr>
      <w:tr>
        <w:tc>
          <w:tcPr>
            <w:tcW w:w="4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before="60" w:after="60"/>
              <w:jc w:val="left"/>
              <w:rPr>
                <w:rFonts w:eastAsia="Calibri"/>
                <w:noProof/>
              </w:rPr>
            </w:pPr>
            <w:r>
              <w:rPr>
                <w:noProof/>
              </w:rPr>
              <w:br w:type="page"/>
              <w:t>Брой на засегнатите предприятия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spacing w:before="60" w:after="60"/>
              <w:ind w:rightChars="192" w:right="461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9</w:t>
            </w:r>
          </w:p>
        </w:tc>
      </w:tr>
      <w:tr>
        <w:tc>
          <w:tcPr>
            <w:tcW w:w="4908" w:type="dxa"/>
            <w:shd w:val="clear" w:color="auto" w:fill="auto"/>
          </w:tcPr>
          <w:p>
            <w:pPr>
              <w:spacing w:before="60" w:after="60"/>
              <w:jc w:val="left"/>
              <w:rPr>
                <w:rFonts w:eastAsia="Calibri"/>
                <w:noProof/>
              </w:rPr>
            </w:pPr>
            <w:r>
              <w:rPr>
                <w:noProof/>
              </w:rPr>
              <w:t>Сектор(и) на икономическа дейност</w:t>
            </w:r>
          </w:p>
          <w:p>
            <w:pPr>
              <w:spacing w:before="60" w:after="60"/>
              <w:jc w:val="left"/>
              <w:rPr>
                <w:rFonts w:eastAsia="Calibri"/>
                <w:noProof/>
              </w:rPr>
            </w:pPr>
            <w:r>
              <w:rPr>
                <w:noProof/>
              </w:rPr>
              <w:t>(на равнище разделения по NACE Rev. 2)</w:t>
            </w:r>
            <w:r>
              <w:rPr>
                <w:rStyle w:val="FootnoteReference"/>
                <w:noProof/>
              </w:rPr>
              <w:footnoteReference w:id="5"/>
            </w:r>
          </w:p>
        </w:tc>
        <w:tc>
          <w:tcPr>
            <w:tcW w:w="4379" w:type="dxa"/>
            <w:shd w:val="clear" w:color="auto" w:fill="auto"/>
          </w:tcPr>
          <w:p>
            <w:pPr>
              <w:spacing w:before="60" w:after="60"/>
              <w:ind w:rightChars="192" w:right="461"/>
              <w:jc w:val="left"/>
              <w:rPr>
                <w:noProof/>
                <w:szCs w:val="24"/>
              </w:rPr>
            </w:pPr>
            <w:r>
              <w:rPr>
                <w:noProof/>
              </w:rPr>
              <w:t>Разделение 47 („Търговия на дребно, без търговията с автомобили и мотоциклети“)</w:t>
            </w:r>
          </w:p>
        </w:tc>
      </w:tr>
      <w:tr>
        <w:tc>
          <w:tcPr>
            <w:tcW w:w="4908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before="60" w:after="60"/>
              <w:jc w:val="left"/>
              <w:rPr>
                <w:rFonts w:eastAsia="Calibri"/>
                <w:noProof/>
              </w:rPr>
            </w:pPr>
            <w:r>
              <w:rPr>
                <w:noProof/>
              </w:rPr>
              <w:t>Референтен период (девет месеца):</w:t>
            </w:r>
          </w:p>
        </w:tc>
        <w:tc>
          <w:tcPr>
            <w:tcW w:w="4379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before="60" w:after="60"/>
              <w:ind w:rightChars="192" w:right="461"/>
              <w:jc w:val="left"/>
              <w:rPr>
                <w:rFonts w:eastAsia="Calibri"/>
                <w:noProof/>
                <w:spacing w:val="-4"/>
              </w:rPr>
            </w:pPr>
            <w:r>
              <w:rPr>
                <w:noProof/>
                <w:spacing w:val="-4"/>
              </w:rPr>
              <w:t>19 април 2016 г. — 19 януари 2017 г.</w:t>
            </w:r>
          </w:p>
        </w:tc>
      </w:tr>
      <w:tr>
        <w:tc>
          <w:tcPr>
            <w:tcW w:w="4908" w:type="dxa"/>
            <w:tcBorders>
              <w:bottom w:val="dotted" w:sz="4" w:space="0" w:color="auto"/>
            </w:tcBorders>
            <w:shd w:val="clear" w:color="auto" w:fill="auto"/>
          </w:tcPr>
          <w:p>
            <w:pPr>
              <w:spacing w:before="60" w:after="60"/>
              <w:jc w:val="left"/>
              <w:rPr>
                <w:rFonts w:eastAsia="Calibri"/>
                <w:noProof/>
              </w:rPr>
            </w:pPr>
            <w:r>
              <w:rPr>
                <w:noProof/>
              </w:rPr>
              <w:t>Общ брой на съкращенията</w:t>
            </w:r>
          </w:p>
        </w:tc>
        <w:tc>
          <w:tcPr>
            <w:tcW w:w="4379" w:type="dxa"/>
            <w:tcBorders>
              <w:bottom w:val="dotted" w:sz="4" w:space="0" w:color="auto"/>
            </w:tcBorders>
            <w:shd w:val="clear" w:color="auto" w:fill="auto"/>
          </w:tcPr>
          <w:p>
            <w:pPr>
              <w:spacing w:before="60" w:after="60"/>
              <w:ind w:rightChars="192" w:right="461"/>
              <w:jc w:val="left"/>
              <w:rPr>
                <w:noProof/>
              </w:rPr>
            </w:pPr>
            <w:r>
              <w:rPr>
                <w:noProof/>
              </w:rPr>
              <w:t>725</w:t>
            </w:r>
          </w:p>
        </w:tc>
      </w:tr>
      <w:tr>
        <w:tc>
          <w:tcPr>
            <w:tcW w:w="4908" w:type="dxa"/>
            <w:tcBorders>
              <w:bottom w:val="dotted" w:sz="4" w:space="0" w:color="auto"/>
            </w:tcBorders>
            <w:shd w:val="clear" w:color="auto" w:fill="auto"/>
          </w:tcPr>
          <w:p>
            <w:pPr>
              <w:spacing w:before="60" w:after="60"/>
              <w:jc w:val="left"/>
              <w:rPr>
                <w:rFonts w:eastAsia="Calibri"/>
                <w:noProof/>
              </w:rPr>
            </w:pPr>
            <w:r>
              <w:rPr>
                <w:noProof/>
              </w:rPr>
              <w:t>Общ брой на бенефициерите, отговарящи на критериите</w:t>
            </w:r>
          </w:p>
        </w:tc>
        <w:tc>
          <w:tcPr>
            <w:tcW w:w="4379" w:type="dxa"/>
            <w:tcBorders>
              <w:bottom w:val="dotted" w:sz="4" w:space="0" w:color="auto"/>
            </w:tcBorders>
            <w:shd w:val="clear" w:color="auto" w:fill="auto"/>
          </w:tcPr>
          <w:p>
            <w:pPr>
              <w:spacing w:before="60" w:after="60"/>
              <w:ind w:rightChars="192" w:right="461"/>
              <w:jc w:val="left"/>
              <w:rPr>
                <w:rFonts w:eastAsia="Calibri"/>
                <w:noProof/>
              </w:rPr>
            </w:pPr>
            <w:r>
              <w:rPr>
                <w:noProof/>
              </w:rPr>
              <w:t>725</w:t>
            </w:r>
          </w:p>
        </w:tc>
      </w:tr>
      <w:tr>
        <w:tc>
          <w:tcPr>
            <w:tcW w:w="49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>
            <w:pPr>
              <w:spacing w:before="60" w:after="60"/>
              <w:jc w:val="left"/>
              <w:rPr>
                <w:rFonts w:eastAsia="Calibri"/>
                <w:noProof/>
                <w:spacing w:val="-4"/>
              </w:rPr>
            </w:pPr>
            <w:r>
              <w:rPr>
                <w:noProof/>
                <w:spacing w:val="-4"/>
              </w:rPr>
              <w:t>Общ брой на бенефициерите от целевата група</w:t>
            </w:r>
          </w:p>
        </w:tc>
        <w:tc>
          <w:tcPr>
            <w:tcW w:w="43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>
            <w:pPr>
              <w:spacing w:before="60" w:after="60"/>
              <w:ind w:rightChars="192" w:right="461"/>
              <w:jc w:val="left"/>
              <w:rPr>
                <w:rFonts w:eastAsia="Calibri"/>
                <w:noProof/>
              </w:rPr>
            </w:pPr>
            <w:r>
              <w:rPr>
                <w:noProof/>
              </w:rPr>
              <w:t>725</w:t>
            </w:r>
          </w:p>
        </w:tc>
      </w:tr>
      <w:tr>
        <w:tc>
          <w:tcPr>
            <w:tcW w:w="490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</w:rPr>
            </w:pPr>
            <w:r>
              <w:rPr>
                <w:noProof/>
              </w:rPr>
              <w:t>Бюджет за персонализирани услуги (EUR)</w:t>
            </w:r>
          </w:p>
        </w:tc>
        <w:tc>
          <w:tcPr>
            <w:tcW w:w="437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rightChars="192" w:right="461"/>
              <w:jc w:val="left"/>
              <w:rPr>
                <w:noProof/>
              </w:rPr>
            </w:pPr>
            <w:r>
              <w:rPr>
                <w:noProof/>
              </w:rPr>
              <w:t>4 720 250</w:t>
            </w:r>
          </w:p>
        </w:tc>
      </w:tr>
      <w:tr>
        <w:tc>
          <w:tcPr>
            <w:tcW w:w="49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</w:rPr>
            </w:pPr>
            <w:r>
              <w:rPr>
                <w:noProof/>
              </w:rPr>
              <w:t>Бюджет за прилагането на ЕФПГ</w:t>
            </w:r>
            <w:r>
              <w:rPr>
                <w:rStyle w:val="FootnoteReference"/>
                <w:noProof/>
              </w:rPr>
              <w:footnoteReference w:id="6"/>
            </w:r>
            <w:r>
              <w:rPr>
                <w:noProof/>
              </w:rPr>
              <w:t xml:space="preserve"> (EUR)</w:t>
            </w:r>
          </w:p>
        </w:tc>
        <w:tc>
          <w:tcPr>
            <w:tcW w:w="43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rightChars="192" w:right="461"/>
              <w:jc w:val="left"/>
              <w:rPr>
                <w:noProof/>
              </w:rPr>
            </w:pPr>
            <w:r>
              <w:rPr>
                <w:noProof/>
              </w:rPr>
              <w:t>   195 000</w:t>
            </w:r>
          </w:p>
        </w:tc>
      </w:tr>
      <w:tr>
        <w:tc>
          <w:tcPr>
            <w:tcW w:w="49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</w:rPr>
            </w:pPr>
            <w:r>
              <w:rPr>
                <w:noProof/>
              </w:rPr>
              <w:t>Общ бюджет (EUR)</w:t>
            </w:r>
          </w:p>
        </w:tc>
        <w:tc>
          <w:tcPr>
            <w:tcW w:w="43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rightChars="192" w:right="461"/>
              <w:jc w:val="left"/>
              <w:rPr>
                <w:noProof/>
              </w:rPr>
            </w:pPr>
            <w:r>
              <w:rPr>
                <w:noProof/>
              </w:rPr>
              <w:t>4 915 250</w:t>
            </w:r>
          </w:p>
        </w:tc>
      </w:tr>
      <w:tr>
        <w:tc>
          <w:tcPr>
            <w:tcW w:w="490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</w:rPr>
            </w:pPr>
            <w:r>
              <w:rPr>
                <w:noProof/>
              </w:rPr>
              <w:t>Финансово участие от ЕФПГ (60 %) (EUR)</w:t>
            </w:r>
          </w:p>
        </w:tc>
        <w:tc>
          <w:tcPr>
            <w:tcW w:w="437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rightChars="192" w:right="461"/>
              <w:jc w:val="left"/>
              <w:rPr>
                <w:noProof/>
              </w:rPr>
            </w:pPr>
            <w:r>
              <w:rPr>
                <w:noProof/>
              </w:rPr>
              <w:t>2 949 150</w:t>
            </w:r>
          </w:p>
        </w:tc>
      </w:tr>
    </w:tbl>
    <w:p>
      <w:pPr>
        <w:pStyle w:val="ManualHeading1"/>
        <w:rPr>
          <w:noProof/>
        </w:rPr>
      </w:pPr>
      <w:r>
        <w:rPr>
          <w:noProof/>
        </w:rPr>
        <w:t>ОЦЕНКА НА ЗАЯВЛЕНИЕТО</w:t>
      </w:r>
    </w:p>
    <w:p>
      <w:pPr>
        <w:pStyle w:val="ManualHeading2"/>
        <w:rPr>
          <w:noProof/>
        </w:rPr>
      </w:pPr>
      <w:r>
        <w:rPr>
          <w:noProof/>
        </w:rPr>
        <w:t>Процедура</w:t>
      </w:r>
    </w:p>
    <w:p>
      <w:pPr>
        <w:pStyle w:val="ManualNumPar1"/>
        <w:rPr>
          <w:noProof/>
        </w:rPr>
      </w:pPr>
      <w:r>
        <w:t>4.</w:t>
      </w:r>
      <w:r>
        <w:tab/>
      </w:r>
      <w:r>
        <w:rPr>
          <w:noProof/>
        </w:rPr>
        <w:t>Гърция подаде заявление EGF/2017/003 GR/Attica retail на 13 април 2017 г. в срок от 12 седмици от датата, на която бяха изпълнени критериите за намеса, определени в член 4 от Регламента за ЕФПГ. На същата дата Комисията потвърди получаването на заявлението, а на 26 май 2017 г. поиска допълнителна информация от Гърция. Допълнителната информация бе предоставена в осемседмичен срок, след удължаване на срока с две седмици в резултат на надлежно обосновано искане на гръцките органи. Предвиденият 12-седмичен срок от датата на получаване на пълното заявление, в който Комисията следва да приключи оценката си за това дали то отговаря на условията за предоставяне на финансово участие, изтича на 8 ноември 2017 г.</w:t>
      </w:r>
    </w:p>
    <w:p>
      <w:pPr>
        <w:pStyle w:val="ManualHeading2"/>
        <w:rPr>
          <w:noProof/>
        </w:rPr>
      </w:pPr>
      <w:r>
        <w:rPr>
          <w:noProof/>
        </w:rPr>
        <w:t>Допустимост на заявлението</w:t>
      </w:r>
    </w:p>
    <w:p>
      <w:pPr>
        <w:pStyle w:val="ManualHeading3"/>
        <w:rPr>
          <w:noProof/>
        </w:rPr>
      </w:pPr>
      <w:r>
        <w:rPr>
          <w:noProof/>
        </w:rPr>
        <w:t>Засегнати предприятия и бенефициери</w:t>
      </w:r>
    </w:p>
    <w:p>
      <w:pPr>
        <w:pStyle w:val="ManualNumPar1"/>
        <w:rPr>
          <w:noProof/>
          <w:szCs w:val="24"/>
        </w:rPr>
      </w:pPr>
      <w:r>
        <w:t>5.</w:t>
      </w:r>
      <w:r>
        <w:tab/>
      </w:r>
      <w:r>
        <w:rPr>
          <w:noProof/>
        </w:rPr>
        <w:t>Заявлението се отнася до 725 работници, съкратени в икономическия сектор, класифициран в разделение 47 на NACE Rev. 2 („Търговия на дребно, без търговията с автомобили и мотоциклети“). Направените от 9-те предприятия съкращения са в регионите на ниво 2 по NUTS Атика (EL30) и в 10 други региона</w:t>
      </w:r>
      <w:r>
        <w:rPr>
          <w:rStyle w:val="FootnoteReference"/>
          <w:noProof/>
          <w:spacing w:val="-6"/>
        </w:rPr>
        <w:footnoteReference w:id="7"/>
      </w:r>
      <w:r>
        <w:rPr>
          <w:noProof/>
        </w:rPr>
        <w:t>.</w:t>
      </w:r>
    </w:p>
    <w:p>
      <w:pPr>
        <w:rPr>
          <w:noProof/>
        </w:rPr>
      </w:pPr>
    </w:p>
    <w:tbl>
      <w:tblPr>
        <w:tblW w:w="8535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6"/>
        <w:gridCol w:w="339"/>
        <w:gridCol w:w="360"/>
        <w:gridCol w:w="2940"/>
        <w:gridCol w:w="756"/>
        <w:gridCol w:w="444"/>
      </w:tblGrid>
      <w:tr>
        <w:trPr>
          <w:trHeight w:val="419"/>
          <w:tblHeader/>
        </w:trPr>
        <w:tc>
          <w:tcPr>
            <w:tcW w:w="8535" w:type="dxa"/>
            <w:gridSpan w:val="6"/>
            <w:shd w:val="clear" w:color="auto" w:fill="D9D9D9" w:themeFill="background1" w:themeFillShade="D9"/>
          </w:tcPr>
          <w:p>
            <w:pPr>
              <w:spacing w:beforeLines="20" w:before="48" w:afterLines="20" w:after="48" w:line="276" w:lineRule="auto"/>
              <w:ind w:left="57"/>
              <w:jc w:val="center"/>
              <w:rPr>
                <w:rFonts w:eastAsia="Calibri"/>
                <w:noProof/>
                <w:sz w:val="22"/>
                <w:szCs w:val="24"/>
              </w:rPr>
            </w:pPr>
            <w:r>
              <w:rPr>
                <w:b/>
                <w:noProof/>
                <w:sz w:val="22"/>
              </w:rPr>
              <w:t>Предприятия и брой на съкратените лица през референтния период</w:t>
            </w:r>
          </w:p>
        </w:tc>
      </w:tr>
      <w:tr>
        <w:trPr>
          <w:trHeight w:val="412"/>
        </w:trPr>
        <w:tc>
          <w:tcPr>
            <w:tcW w:w="3696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pacing w:val="-6"/>
                <w:sz w:val="22"/>
                <w:szCs w:val="24"/>
              </w:rPr>
            </w:pPr>
            <w:r>
              <w:rPr>
                <w:noProof/>
                <w:spacing w:val="-6"/>
                <w:sz w:val="22"/>
              </w:rPr>
              <w:t>ΗΛΕΚΤΡΟΝΙΚΗ ΑΘΗΝΩΝ Α.Ε.Ε.</w:t>
            </w:r>
          </w:p>
        </w:tc>
        <w:tc>
          <w:tcPr>
            <w:tcW w:w="699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>
            <w:pPr>
              <w:tabs>
                <w:tab w:val="left" w:pos="0"/>
              </w:tabs>
              <w:spacing w:before="0" w:after="0"/>
              <w:ind w:left="-197"/>
              <w:jc w:val="right"/>
              <w:rPr>
                <w:noProof/>
                <w:sz w:val="22"/>
                <w:szCs w:val="24"/>
              </w:rPr>
            </w:pPr>
            <w:r>
              <w:rPr>
                <w:noProof/>
                <w:sz w:val="22"/>
              </w:rPr>
              <w:t>428</w:t>
            </w:r>
          </w:p>
        </w:tc>
        <w:tc>
          <w:tcPr>
            <w:tcW w:w="3696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noProof/>
                <w:sz w:val="22"/>
                <w:szCs w:val="24"/>
              </w:rPr>
            </w:pPr>
            <w:r>
              <w:rPr>
                <w:noProof/>
                <w:sz w:val="22"/>
              </w:rPr>
              <w:t>ΝΟΤΟΣ COM ΣΥΜΜΕΤΟΧΕΣ Α.Ε.</w:t>
            </w:r>
          </w:p>
        </w:tc>
        <w:tc>
          <w:tcPr>
            <w:tcW w:w="444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>
            <w:pPr>
              <w:spacing w:before="0" w:after="0"/>
              <w:ind w:left="-519"/>
              <w:jc w:val="right"/>
              <w:rPr>
                <w:noProof/>
                <w:sz w:val="22"/>
                <w:szCs w:val="24"/>
              </w:rPr>
            </w:pPr>
            <w:r>
              <w:rPr>
                <w:noProof/>
                <w:sz w:val="22"/>
              </w:rPr>
              <w:t>33</w:t>
            </w:r>
          </w:p>
        </w:tc>
      </w:tr>
      <w:tr>
        <w:trPr>
          <w:trHeight w:val="138"/>
        </w:trPr>
        <w:tc>
          <w:tcPr>
            <w:tcW w:w="369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ind w:right="-161"/>
              <w:jc w:val="left"/>
              <w:rPr>
                <w:noProof/>
                <w:spacing w:val="-6"/>
                <w:sz w:val="22"/>
                <w:szCs w:val="24"/>
              </w:rPr>
            </w:pPr>
            <w:r>
              <w:rPr>
                <w:noProof/>
                <w:spacing w:val="-6"/>
                <w:sz w:val="22"/>
              </w:rPr>
              <w:t>DIXONS SOUTH - EAST EUROPE SA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spacing w:before="0" w:after="0"/>
              <w:ind w:left="-197"/>
              <w:jc w:val="right"/>
              <w:rPr>
                <w:noProof/>
                <w:sz w:val="22"/>
                <w:szCs w:val="24"/>
              </w:rPr>
            </w:pPr>
            <w:r>
              <w:rPr>
                <w:noProof/>
                <w:sz w:val="22"/>
              </w:rPr>
              <w:t>42</w:t>
            </w:r>
          </w:p>
        </w:tc>
        <w:tc>
          <w:tcPr>
            <w:tcW w:w="369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2"/>
                <w:szCs w:val="24"/>
              </w:rPr>
            </w:pPr>
            <w:r>
              <w:rPr>
                <w:noProof/>
                <w:sz w:val="22"/>
              </w:rPr>
              <w:t>ΠΕΤ ΣΙΤΙ ΑΕΒΕ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spacing w:before="0" w:after="0"/>
              <w:ind w:left="-519"/>
              <w:jc w:val="right"/>
              <w:rPr>
                <w:noProof/>
                <w:sz w:val="22"/>
                <w:szCs w:val="24"/>
              </w:rPr>
            </w:pPr>
            <w:r>
              <w:rPr>
                <w:noProof/>
                <w:sz w:val="22"/>
              </w:rPr>
              <w:t>23</w:t>
            </w:r>
          </w:p>
        </w:tc>
      </w:tr>
      <w:tr>
        <w:tc>
          <w:tcPr>
            <w:tcW w:w="369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noProof/>
                <w:sz w:val="22"/>
                <w:szCs w:val="24"/>
              </w:rPr>
            </w:pPr>
            <w:r>
              <w:rPr>
                <w:noProof/>
                <w:sz w:val="22"/>
              </w:rPr>
              <w:t>ΗΛΕΚΤΡΟΛΟΓΙΚΑ ΕΛΛΑΣ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spacing w:before="0" w:after="0"/>
              <w:ind w:left="-197"/>
              <w:jc w:val="right"/>
              <w:rPr>
                <w:noProof/>
                <w:sz w:val="22"/>
                <w:szCs w:val="24"/>
              </w:rPr>
            </w:pPr>
            <w:r>
              <w:rPr>
                <w:noProof/>
                <w:sz w:val="22"/>
              </w:rPr>
              <w:t>37</w:t>
            </w:r>
          </w:p>
        </w:tc>
        <w:tc>
          <w:tcPr>
            <w:tcW w:w="369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2"/>
                <w:szCs w:val="24"/>
              </w:rPr>
            </w:pPr>
            <w:r>
              <w:rPr>
                <w:noProof/>
                <w:sz w:val="22"/>
              </w:rPr>
              <w:t>ΣΑΡΑΦΙΔΗΣ Α.Ε.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spacing w:before="0" w:after="0"/>
              <w:ind w:left="-519"/>
              <w:jc w:val="right"/>
              <w:rPr>
                <w:noProof/>
                <w:sz w:val="22"/>
                <w:szCs w:val="24"/>
              </w:rPr>
            </w:pPr>
            <w:r>
              <w:rPr>
                <w:noProof/>
                <w:sz w:val="22"/>
              </w:rPr>
              <w:t>28</w:t>
            </w:r>
          </w:p>
        </w:tc>
      </w:tr>
      <w:tr>
        <w:tc>
          <w:tcPr>
            <w:tcW w:w="369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2"/>
                <w:szCs w:val="24"/>
              </w:rPr>
            </w:pPr>
            <w:r>
              <w:rPr>
                <w:noProof/>
                <w:sz w:val="22"/>
              </w:rPr>
              <w:t>ΑΤΗΝΗ ΧΟΝΤΟΣ Α.Ε.Ε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spacing w:before="0" w:after="0"/>
              <w:ind w:left="-197"/>
              <w:jc w:val="right"/>
              <w:rPr>
                <w:noProof/>
                <w:sz w:val="22"/>
                <w:szCs w:val="24"/>
              </w:rPr>
            </w:pPr>
            <w:r>
              <w:rPr>
                <w:noProof/>
                <w:sz w:val="22"/>
              </w:rPr>
              <w:t>29</w:t>
            </w:r>
          </w:p>
        </w:tc>
        <w:tc>
          <w:tcPr>
            <w:tcW w:w="369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2"/>
                <w:szCs w:val="24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spacing w:before="0" w:after="0"/>
              <w:ind w:left="-519"/>
              <w:jc w:val="right"/>
              <w:rPr>
                <w:noProof/>
                <w:sz w:val="22"/>
                <w:szCs w:val="24"/>
              </w:rPr>
            </w:pPr>
          </w:p>
        </w:tc>
      </w:tr>
      <w:tr>
        <w:tc>
          <w:tcPr>
            <w:tcW w:w="369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before="0" w:after="0"/>
              <w:jc w:val="left"/>
              <w:rPr>
                <w:noProof/>
                <w:sz w:val="22"/>
                <w:szCs w:val="24"/>
              </w:rPr>
            </w:pPr>
            <w:r>
              <w:rPr>
                <w:noProof/>
                <w:sz w:val="22"/>
              </w:rPr>
              <w:t>ΑΦΟΙ ΒΕΡΟΠΟΥΛΟΙ Α.Ε.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spacing w:before="0" w:after="0"/>
              <w:ind w:left="-197"/>
              <w:jc w:val="right"/>
              <w:rPr>
                <w:noProof/>
                <w:sz w:val="22"/>
                <w:szCs w:val="24"/>
              </w:rPr>
            </w:pPr>
            <w:r>
              <w:rPr>
                <w:noProof/>
                <w:sz w:val="22"/>
              </w:rPr>
              <w:t>49</w:t>
            </w:r>
          </w:p>
        </w:tc>
        <w:tc>
          <w:tcPr>
            <w:tcW w:w="369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2"/>
                <w:szCs w:val="24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2"/>
                <w:szCs w:val="24"/>
              </w:rPr>
            </w:pPr>
          </w:p>
        </w:tc>
      </w:tr>
      <w:tr>
        <w:tc>
          <w:tcPr>
            <w:tcW w:w="369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2"/>
                <w:szCs w:val="24"/>
              </w:rPr>
            </w:pPr>
            <w:r>
              <w:rPr>
                <w:noProof/>
                <w:sz w:val="22"/>
              </w:rPr>
              <w:t>ΜΕΤΡΟ ΑΕΒΕ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197"/>
              <w:jc w:val="right"/>
              <w:rPr>
                <w:noProof/>
                <w:sz w:val="22"/>
                <w:szCs w:val="24"/>
              </w:rPr>
            </w:pPr>
            <w:r>
              <w:rPr>
                <w:noProof/>
                <w:sz w:val="22"/>
              </w:rPr>
              <w:t>56</w:t>
            </w:r>
          </w:p>
        </w:tc>
        <w:tc>
          <w:tcPr>
            <w:tcW w:w="3696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before="0" w:after="0"/>
              <w:jc w:val="left"/>
              <w:rPr>
                <w:noProof/>
                <w:sz w:val="22"/>
                <w:szCs w:val="24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-828"/>
              <w:jc w:val="right"/>
              <w:rPr>
                <w:noProof/>
                <w:sz w:val="22"/>
                <w:szCs w:val="24"/>
              </w:rPr>
            </w:pPr>
          </w:p>
        </w:tc>
      </w:tr>
      <w:tr>
        <w:trPr>
          <w:trHeight w:val="284"/>
        </w:trPr>
        <w:tc>
          <w:tcPr>
            <w:tcW w:w="4035" w:type="dxa"/>
            <w:gridSpan w:val="2"/>
            <w:tcBorders>
              <w:bottom w:val="nil"/>
              <w:right w:val="nil"/>
            </w:tcBorders>
            <w:shd w:val="clear" w:color="auto" w:fill="E6E6E6"/>
            <w:vAlign w:val="center"/>
          </w:tcPr>
          <w:p>
            <w:pPr>
              <w:spacing w:beforeLines="20" w:before="48" w:afterLines="20" w:after="48" w:line="276" w:lineRule="auto"/>
              <w:ind w:left="57"/>
              <w:jc w:val="left"/>
              <w:rPr>
                <w:rFonts w:eastAsia="Calibri"/>
                <w:b/>
                <w:noProof/>
                <w:sz w:val="22"/>
                <w:szCs w:val="24"/>
              </w:rPr>
            </w:pPr>
            <w:r>
              <w:rPr>
                <w:noProof/>
              </w:rPr>
              <w:br w:type="page"/>
            </w:r>
            <w:r>
              <w:rPr>
                <w:b/>
                <w:noProof/>
                <w:sz w:val="22"/>
              </w:rPr>
              <w:t>Общ брой на предприятията: 9</w:t>
            </w:r>
            <w:r>
              <w:rPr>
                <w:rStyle w:val="FootnoteReference"/>
                <w:b/>
                <w:noProof/>
                <w:sz w:val="22"/>
              </w:rPr>
              <w:footnoteReference w:id="8"/>
            </w:r>
          </w:p>
        </w:tc>
        <w:tc>
          <w:tcPr>
            <w:tcW w:w="3300" w:type="dxa"/>
            <w:gridSpan w:val="2"/>
            <w:tcBorders>
              <w:left w:val="nil"/>
              <w:bottom w:val="nil"/>
              <w:right w:val="nil"/>
            </w:tcBorders>
            <w:shd w:val="clear" w:color="auto" w:fill="E6E6E6"/>
            <w:vAlign w:val="center"/>
          </w:tcPr>
          <w:p>
            <w:pPr>
              <w:tabs>
                <w:tab w:val="left" w:pos="3084"/>
              </w:tabs>
              <w:spacing w:beforeLines="20" w:before="48" w:afterLines="20" w:after="48" w:line="276" w:lineRule="auto"/>
              <w:ind w:left="57" w:right="-66"/>
              <w:jc w:val="left"/>
              <w:rPr>
                <w:rFonts w:eastAsia="Calibri"/>
                <w:b/>
                <w:noProof/>
                <w:spacing w:val="-6"/>
                <w:sz w:val="22"/>
                <w:szCs w:val="24"/>
              </w:rPr>
            </w:pPr>
            <w:r>
              <w:rPr>
                <w:b/>
                <w:noProof/>
                <w:spacing w:val="-6"/>
                <w:sz w:val="22"/>
              </w:rPr>
              <w:t xml:space="preserve">Общ брой на съкратените лица: </w:t>
            </w:r>
          </w:p>
        </w:tc>
        <w:tc>
          <w:tcPr>
            <w:tcW w:w="1200" w:type="dxa"/>
            <w:gridSpan w:val="2"/>
            <w:tcBorders>
              <w:left w:val="nil"/>
              <w:bottom w:val="nil"/>
            </w:tcBorders>
            <w:shd w:val="clear" w:color="auto" w:fill="E6E6E6"/>
            <w:vAlign w:val="center"/>
          </w:tcPr>
          <w:p>
            <w:pPr>
              <w:spacing w:beforeLines="20" w:before="48" w:afterLines="20" w:after="48" w:line="276" w:lineRule="auto"/>
              <w:ind w:left="57" w:right="227"/>
              <w:jc w:val="left"/>
              <w:rPr>
                <w:rFonts w:eastAsia="Calibri"/>
                <w:b/>
                <w:noProof/>
                <w:sz w:val="22"/>
                <w:szCs w:val="24"/>
              </w:rPr>
            </w:pPr>
            <w:r>
              <w:rPr>
                <w:b/>
                <w:noProof/>
                <w:sz w:val="22"/>
              </w:rPr>
              <w:t>725</w:t>
            </w:r>
          </w:p>
        </w:tc>
      </w:tr>
      <w:tr>
        <w:trPr>
          <w:trHeight w:val="284"/>
        </w:trPr>
        <w:tc>
          <w:tcPr>
            <w:tcW w:w="7335" w:type="dxa"/>
            <w:gridSpan w:val="4"/>
            <w:tcBorders>
              <w:top w:val="nil"/>
              <w:bottom w:val="nil"/>
              <w:right w:val="nil"/>
            </w:tcBorders>
            <w:shd w:val="clear" w:color="auto" w:fill="E6E6E6"/>
            <w:vAlign w:val="center"/>
          </w:tcPr>
          <w:p>
            <w:pPr>
              <w:tabs>
                <w:tab w:val="left" w:pos="6924"/>
              </w:tabs>
              <w:spacing w:beforeLines="20" w:before="48" w:afterLines="20" w:after="48" w:line="276" w:lineRule="auto"/>
              <w:ind w:left="57" w:right="-66"/>
              <w:jc w:val="left"/>
              <w:rPr>
                <w:rFonts w:eastAsia="Calibri"/>
                <w:b/>
                <w:noProof/>
                <w:spacing w:val="-4"/>
                <w:sz w:val="22"/>
                <w:szCs w:val="24"/>
              </w:rPr>
            </w:pPr>
            <w:r>
              <w:rPr>
                <w:b/>
                <w:noProof/>
                <w:spacing w:val="-4"/>
                <w:sz w:val="22"/>
              </w:rPr>
              <w:t>Общ брой на самостоятелно заетите лица, чиято дейност е прекратена:</w:t>
            </w:r>
            <w:r>
              <w:rPr>
                <w:noProof/>
                <w:spacing w:val="-4"/>
                <w:sz w:val="22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</w:tcBorders>
            <w:shd w:val="clear" w:color="auto" w:fill="E6E6E6"/>
            <w:vAlign w:val="center"/>
          </w:tcPr>
          <w:p>
            <w:pPr>
              <w:spacing w:beforeLines="20" w:before="48" w:afterLines="20" w:after="48" w:line="276" w:lineRule="auto"/>
              <w:ind w:left="57" w:right="227"/>
              <w:jc w:val="left"/>
              <w:rPr>
                <w:rFonts w:eastAsia="Calibri"/>
                <w:b/>
                <w:noProof/>
                <w:sz w:val="22"/>
                <w:szCs w:val="24"/>
              </w:rPr>
            </w:pPr>
            <w:r>
              <w:rPr>
                <w:b/>
                <w:noProof/>
                <w:sz w:val="22"/>
              </w:rPr>
              <w:t>0</w:t>
            </w:r>
          </w:p>
        </w:tc>
      </w:tr>
      <w:tr>
        <w:trPr>
          <w:trHeight w:val="284"/>
        </w:trPr>
        <w:tc>
          <w:tcPr>
            <w:tcW w:w="7335" w:type="dxa"/>
            <w:gridSpan w:val="4"/>
            <w:tcBorders>
              <w:top w:val="nil"/>
              <w:right w:val="nil"/>
            </w:tcBorders>
            <w:shd w:val="clear" w:color="auto" w:fill="E6E6E6"/>
            <w:vAlign w:val="center"/>
          </w:tcPr>
          <w:p>
            <w:pPr>
              <w:spacing w:beforeLines="20" w:before="48" w:afterLines="20" w:after="48" w:line="276" w:lineRule="auto"/>
              <w:ind w:left="57"/>
              <w:jc w:val="left"/>
              <w:rPr>
                <w:rFonts w:eastAsia="Calibri"/>
                <w:b/>
                <w:noProof/>
                <w:sz w:val="22"/>
                <w:szCs w:val="24"/>
              </w:rPr>
            </w:pPr>
            <w:r>
              <w:rPr>
                <w:b/>
                <w:noProof/>
                <w:sz w:val="22"/>
              </w:rPr>
              <w:t xml:space="preserve">Общ брой на отговарящите на критериите работници и самостоятелно заети лица: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</w:tcBorders>
            <w:shd w:val="clear" w:color="auto" w:fill="E6E6E6"/>
            <w:vAlign w:val="center"/>
          </w:tcPr>
          <w:p>
            <w:pPr>
              <w:spacing w:beforeLines="20" w:before="48" w:afterLines="20" w:after="48" w:line="276" w:lineRule="auto"/>
              <w:ind w:left="57" w:right="227"/>
              <w:jc w:val="left"/>
              <w:rPr>
                <w:rFonts w:eastAsia="Calibri"/>
                <w:b/>
                <w:noProof/>
                <w:sz w:val="22"/>
                <w:szCs w:val="24"/>
              </w:rPr>
            </w:pPr>
            <w:r>
              <w:rPr>
                <w:b/>
                <w:noProof/>
                <w:sz w:val="22"/>
              </w:rPr>
              <w:t>725</w:t>
            </w:r>
          </w:p>
        </w:tc>
      </w:tr>
    </w:tbl>
    <w:p>
      <w:pPr>
        <w:pStyle w:val="ManualHeading3"/>
        <w:rPr>
          <w:noProof/>
        </w:rPr>
      </w:pPr>
      <w:r>
        <w:rPr>
          <w:noProof/>
        </w:rPr>
        <w:t>Критерии за намеса</w:t>
      </w:r>
    </w:p>
    <w:p>
      <w:pPr>
        <w:pStyle w:val="ManualNumPar1"/>
        <w:rPr>
          <w:noProof/>
        </w:rPr>
      </w:pPr>
      <w:r>
        <w:t>6.</w:t>
      </w:r>
      <w:r>
        <w:tab/>
      </w:r>
      <w:r>
        <w:rPr>
          <w:noProof/>
        </w:rPr>
        <w:t>Гърция подаде заявлението в съответствие с критериите за намеса, посочени в член 4, параграф 2 от Регламента за ЕФПГ, чрез който се въвежда дерогация от критериите по член 4, параграф 1, буква б), съгласно които е необходимо за референтен период от девет месеца в предприятия, извършващи дейност в един и същ икономически сектор, определен на равнището на разделенията на NACE Rev. 2, и разположени в един или два съседни региона на ниво 2 по NUTS, намиращи се в дадена държава членка, да са били съкратени най-малко 500 работници. Налице бяха 513 съкращения в региона на ниво 2 по NUTS Атика (EL30).</w:t>
      </w:r>
    </w:p>
    <w:p>
      <w:pPr>
        <w:pStyle w:val="ManualNumPar1"/>
        <w:rPr>
          <w:noProof/>
        </w:rPr>
      </w:pPr>
      <w:r>
        <w:t>7.</w:t>
      </w:r>
      <w:r>
        <w:tab/>
      </w:r>
      <w:r>
        <w:rPr>
          <w:noProof/>
        </w:rPr>
        <w:t>Деветмесечният референтен период за заявлението започва на 19 април 2016 г. и приключва на 19 януари 2017 г.</w:t>
      </w:r>
    </w:p>
    <w:p>
      <w:pPr>
        <w:pStyle w:val="ManualHeading3"/>
        <w:rPr>
          <w:noProof/>
        </w:rPr>
      </w:pPr>
      <w:r>
        <w:rPr>
          <w:noProof/>
        </w:rPr>
        <w:t>Изчисляване на броя на съкращенията и на случаите на прекратяване на дейност</w:t>
      </w:r>
    </w:p>
    <w:p>
      <w:pPr>
        <w:pStyle w:val="ManualNumPar1"/>
        <w:rPr>
          <w:noProof/>
        </w:rPr>
      </w:pPr>
      <w:r>
        <w:t>8.</w:t>
      </w:r>
      <w:r>
        <w:tab/>
      </w:r>
      <w:r>
        <w:rPr>
          <w:noProof/>
        </w:rPr>
        <w:t>Съкращенията през референтния период са изчислени, както следва:</w:t>
      </w:r>
    </w:p>
    <w:p>
      <w:pPr>
        <w:pStyle w:val="Tiret1"/>
        <w:numPr>
          <w:ilvl w:val="0"/>
          <w:numId w:val="1"/>
        </w:numPr>
        <w:rPr>
          <w:noProof/>
        </w:rPr>
      </w:pPr>
      <w:r>
        <w:rPr>
          <w:noProof/>
        </w:rPr>
        <w:t>269, считано от датата на индивидуалното предизвестие от работодателя за съкращаване или за прекратяване на трудовия договор на работника,</w:t>
      </w:r>
    </w:p>
    <w:p>
      <w:pPr>
        <w:pStyle w:val="Tiret1"/>
        <w:numPr>
          <w:ilvl w:val="0"/>
          <w:numId w:val="1"/>
        </w:numPr>
        <w:rPr>
          <w:noProof/>
        </w:rPr>
      </w:pPr>
      <w:r>
        <w:rPr>
          <w:noProof/>
        </w:rPr>
        <w:t>456, считано от датата на фактическото прекратяване на трудовия договор или изтичането на неговия срок.</w:t>
      </w:r>
    </w:p>
    <w:p>
      <w:pPr>
        <w:pStyle w:val="ManualHeading3"/>
        <w:rPr>
          <w:noProof/>
        </w:rPr>
      </w:pPr>
      <w:r>
        <w:rPr>
          <w:noProof/>
        </w:rPr>
        <w:t>Бенефициери, отговарящи на критериите</w:t>
      </w:r>
    </w:p>
    <w:p>
      <w:pPr>
        <w:pStyle w:val="ManualNumPar1"/>
        <w:rPr>
          <w:noProof/>
        </w:rPr>
      </w:pPr>
      <w:r>
        <w:t>9.</w:t>
      </w:r>
      <w:r>
        <w:tab/>
      </w:r>
      <w:r>
        <w:rPr>
          <w:noProof/>
        </w:rPr>
        <w:t>Общият брой на отговарящите на критериите бенефициери е 725 души.</w:t>
      </w:r>
    </w:p>
    <w:p>
      <w:pPr>
        <w:pStyle w:val="ManualHeading3"/>
        <w:tabs>
          <w:tab w:val="clear" w:pos="850"/>
          <w:tab w:val="left" w:pos="0"/>
        </w:tabs>
        <w:ind w:left="0" w:firstLine="0"/>
        <w:rPr>
          <w:noProof/>
        </w:rPr>
      </w:pPr>
      <w:r>
        <w:rPr>
          <w:noProof/>
        </w:rPr>
        <w:t>Връзка между съкращенията и световната финансова и икономическа криза, предмет на Регламент (ЕО) № 546/2009</w:t>
      </w:r>
    </w:p>
    <w:p>
      <w:pPr>
        <w:pStyle w:val="ManualNumPar1"/>
        <w:rPr>
          <w:noProof/>
        </w:rPr>
      </w:pPr>
      <w:r>
        <w:t>10.</w:t>
      </w:r>
      <w:r>
        <w:tab/>
      </w:r>
      <w:r>
        <w:rPr>
          <w:noProof/>
        </w:rPr>
        <w:t>С цел да се установи посочената в Регламент (ЕО) № 546/2009 връзка между съкращенията и световната финансова и икономическа криза Гърция твърди, че гръцката икономика е била в дълбока рецесия от началото на кризата през 2008 г. Според ELSTAT, гръцкия статистически орган, от 2008 г. до 2016 г. гръцкият реален БВП е намалял с 26,2 %, потреблението в държавния сектор с 22,8 %, а частното потребление с 24,4 %, като същевременно безработицата е нараснала с 14 %. Въпреки че в оценките за гръцката икономика се твърди, че тя се възстановява, а прогнозите за някои от показателите в това отношение са положителни за 2017 г.</w:t>
      </w:r>
      <w:r>
        <w:rPr>
          <w:rStyle w:val="FootnoteReference"/>
          <w:noProof/>
          <w:spacing w:val="-6"/>
        </w:rPr>
        <w:footnoteReference w:id="9"/>
      </w:r>
      <w:r>
        <w:rPr>
          <w:noProof/>
        </w:rPr>
        <w:t>, пазарът на труда ще продължи да среща трудности и в близко бъдеще.</w:t>
      </w:r>
    </w:p>
    <w:p>
      <w:pPr>
        <w:pStyle w:val="ManualNumPar1"/>
        <w:rPr>
          <w:noProof/>
        </w:rPr>
      </w:pPr>
      <w:r>
        <w:t>11.</w:t>
      </w:r>
      <w:r>
        <w:tab/>
      </w:r>
      <w:r>
        <w:rPr>
          <w:noProof/>
        </w:rPr>
        <w:t xml:space="preserve">С оглед на обслужването на плащанията по външния дълг, от 2008 г. насам гръцкото правителство е предприело мерки, като например увеличаване на данъчните ставки, рационализиране на публичните разходи и понижаване на заплатите на държавните служители. Заплатите в частния сектор също намаляват в резултат на опита да се увеличи конкурентоспособността на гръцката икономика. </w:t>
      </w:r>
    </w:p>
    <w:p>
      <w:pPr>
        <w:pStyle w:val="ManualNumPar1"/>
        <w:rPr>
          <w:noProof/>
        </w:rPr>
      </w:pPr>
      <w:r>
        <w:t>12.</w:t>
      </w:r>
      <w:r>
        <w:tab/>
      </w:r>
      <w:r>
        <w:rPr>
          <w:noProof/>
        </w:rPr>
        <w:t>Непосредствена последица от понижаването на доходите е спадът в потреблението — особено на стоки, които не са от първа необходимост. От 2009 г. насам потреблението на домакинствата в Гърция продължава да намалява до 2013 г. въпреки бавното възстановяване на равнището на ЕС-28. След слабо възстановяване през 2014 г., тенденцията на спад на потреблението на домакинствата в Гърция започна отново през 2015 г.</w:t>
      </w:r>
      <w:r>
        <w:rPr>
          <w:rStyle w:val="FootnoteReference"/>
          <w:noProof/>
        </w:rPr>
        <w:footnoteReference w:id="10"/>
      </w:r>
    </w:p>
    <w:p>
      <w:pPr>
        <w:pStyle w:val="ManualNumPar1"/>
        <w:rPr>
          <w:noProof/>
        </w:rPr>
      </w:pPr>
      <w:r>
        <w:t>13.</w:t>
      </w:r>
      <w:r>
        <w:tab/>
      </w:r>
      <w:r>
        <w:rPr>
          <w:noProof/>
        </w:rPr>
        <w:t>Според доклад на ELSTAT относно доходите и условията на живот на домакинствата 21,2 % от гърците са били под прага на бедността</w:t>
      </w:r>
      <w:r>
        <w:rPr>
          <w:rStyle w:val="FootnoteReference"/>
          <w:noProof/>
        </w:rPr>
        <w:footnoteReference w:id="11"/>
      </w:r>
      <w:r>
        <w:rPr>
          <w:noProof/>
        </w:rPr>
        <w:t xml:space="preserve"> през 2016 г.</w:t>
      </w:r>
    </w:p>
    <w:p>
      <w:pPr>
        <w:pStyle w:val="ManualNumPar1"/>
        <w:rPr>
          <w:noProof/>
        </w:rPr>
      </w:pPr>
      <w:r>
        <w:t>14.</w:t>
      </w:r>
      <w:r>
        <w:tab/>
      </w:r>
      <w:r>
        <w:rPr>
          <w:noProof/>
        </w:rPr>
        <w:t>Според неотдавнашно проучване</w:t>
      </w:r>
      <w:r>
        <w:rPr>
          <w:rStyle w:val="FootnoteReference"/>
          <w:noProof/>
          <w:spacing w:val="-4"/>
        </w:rPr>
        <w:footnoteReference w:id="12"/>
      </w:r>
      <w:r>
        <w:rPr>
          <w:noProof/>
        </w:rPr>
        <w:t xml:space="preserve"> на IME-GSEVEE</w:t>
      </w:r>
      <w:r>
        <w:rPr>
          <w:rStyle w:val="FootnoteReference"/>
          <w:noProof/>
          <w:spacing w:val="-4"/>
        </w:rPr>
        <w:footnoteReference w:id="13"/>
      </w:r>
      <w:r>
        <w:rPr>
          <w:noProof/>
        </w:rPr>
        <w:t>, публикувано през януари 2016 г., една трета от домакинствата са посочили, че доходите им са намалели през 2015 г. в сравнение с предходната година, а 94,2 % от домакинствата са посочили, че техният доход е намалял значително от началото на кризата.</w:t>
      </w:r>
    </w:p>
    <w:p>
      <w:pPr>
        <w:pStyle w:val="ManualNumPar1"/>
        <w:rPr>
          <w:noProof/>
        </w:rPr>
      </w:pPr>
      <w:r>
        <w:t>15.</w:t>
      </w:r>
      <w:r>
        <w:tab/>
      </w:r>
      <w:r>
        <w:rPr>
          <w:noProof/>
        </w:rPr>
        <w:t>През периода 2009—2016 г. показателят за доверие на потребителите</w:t>
      </w:r>
      <w:r>
        <w:rPr>
          <w:rStyle w:val="FootnoteReference"/>
          <w:noProof/>
        </w:rPr>
        <w:footnoteReference w:id="14"/>
      </w:r>
      <w:r>
        <w:rPr>
          <w:noProof/>
        </w:rPr>
        <w:t xml:space="preserve"> се влоши значително през първите четири години — от -46 през 2009 г. на -75 през 2012 г., и въпреки възстановяването през 2014—2015 г. (-49) от 2016 г. насам показателят рязко се влоши до -73,3 през февруари 2017 г.</w:t>
      </w:r>
      <w:r>
        <w:rPr>
          <w:rStyle w:val="FootnoteReference"/>
          <w:noProof/>
        </w:rPr>
        <w:footnoteReference w:id="15"/>
      </w:r>
    </w:p>
    <w:p>
      <w:pPr>
        <w:pStyle w:val="ManualNumPar1"/>
        <w:rPr>
          <w:noProof/>
        </w:rPr>
      </w:pPr>
      <w:r>
        <w:t>16.</w:t>
      </w:r>
      <w:r>
        <w:tab/>
      </w:r>
      <w:r>
        <w:rPr>
          <w:noProof/>
        </w:rPr>
        <w:t>Към днешна дата за сектора на търговията на дребно са били подадени седем заявления по линия на ЕФПГ</w:t>
      </w:r>
      <w:r>
        <w:rPr>
          <w:rStyle w:val="FootnoteReference"/>
          <w:noProof/>
        </w:rPr>
        <w:footnoteReference w:id="16"/>
      </w:r>
      <w:r>
        <w:rPr>
          <w:noProof/>
        </w:rPr>
        <w:t>, всичките от които са обосновавани с глобалната финансова и икономическа криза.</w:t>
      </w:r>
    </w:p>
    <w:p>
      <w:pPr>
        <w:pStyle w:val="ManualHeading3"/>
        <w:rPr>
          <w:noProof/>
        </w:rPr>
      </w:pPr>
      <w:r>
        <w:rPr>
          <w:noProof/>
        </w:rPr>
        <w:t>Събития, довели до съкращенията и до прекратяването на дейността</w:t>
      </w:r>
    </w:p>
    <w:p>
      <w:pPr>
        <w:pStyle w:val="ManualNumPar1"/>
        <w:rPr>
          <w:noProof/>
        </w:rPr>
      </w:pPr>
      <w:r>
        <w:t>17.</w:t>
      </w:r>
      <w:r>
        <w:tab/>
      </w:r>
      <w:r>
        <w:rPr>
          <w:noProof/>
        </w:rPr>
        <w:t>Според гръцките органи събитията, довели до тези съкращения, са основно два вида: 1) намаляване на дохода, с който разполагат домакинствата — в резултат на увеличаването на данъчната тежест, намаляването на заплатите и увеличаващата се безработица — което води до драстичен спад на покупателната способност; 2) драстично намаляване на заемите за предприятия и физически лица поради липсата на ликвидност в гръцките банки. Според Националната банка на Гърция годишният ръст на заемите, предоставени на домакинства и предприятия, е отрицателен от 2010 г. насам в гръцките банки</w:t>
      </w:r>
      <w:r>
        <w:rPr>
          <w:rStyle w:val="FootnoteReference"/>
          <w:noProof/>
        </w:rPr>
        <w:footnoteReference w:id="17"/>
      </w:r>
      <w:r>
        <w:rPr>
          <w:noProof/>
        </w:rPr>
        <w:t>.</w:t>
      </w:r>
    </w:p>
    <w:p>
      <w:pPr>
        <w:pStyle w:val="ManualNumPar1"/>
        <w:rPr>
          <w:noProof/>
          <w:szCs w:val="24"/>
        </w:rPr>
      </w:pPr>
      <w:r>
        <w:t>18.</w:t>
      </w:r>
      <w:r>
        <w:tab/>
      </w:r>
      <w:r>
        <w:rPr>
          <w:noProof/>
        </w:rPr>
        <w:t>Поради спада в покупателната способност на гръцките домакинства от 2008 г. насам търсенето на основни стоки и трайни потребителски стоки намалява. Това доведе до значителен спад на продажбите на дребно в периода 2008—2015 г., които варираха от 60 % за домакинските уреди до 30 % за търговците на хранителни стоки на дребно и 23 % за супермаркетите</w:t>
      </w:r>
      <w:r>
        <w:rPr>
          <w:rStyle w:val="FootnoteReference"/>
          <w:noProof/>
        </w:rPr>
        <w:footnoteReference w:id="18"/>
      </w:r>
      <w:r>
        <w:rPr>
          <w:noProof/>
        </w:rPr>
        <w:t>. Според InfoBank Hellastat SA</w:t>
      </w:r>
      <w:r>
        <w:rPr>
          <w:rStyle w:val="FootnoteReference"/>
          <w:noProof/>
        </w:rPr>
        <w:footnoteReference w:id="19"/>
      </w:r>
      <w:r>
        <w:rPr>
          <w:noProof/>
        </w:rPr>
        <w:t xml:space="preserve"> спадът в продажбите на дребно се очаква да продължи в бъдеще.</w:t>
      </w:r>
    </w:p>
    <w:p>
      <w:pPr>
        <w:pStyle w:val="ManualNumPar1"/>
        <w:rPr>
          <w:noProof/>
        </w:rPr>
      </w:pPr>
      <w:r>
        <w:t>19.</w:t>
      </w:r>
      <w:r>
        <w:tab/>
      </w:r>
      <w:r>
        <w:rPr>
          <w:noProof/>
        </w:rPr>
        <w:t>При тези обстоятелства предприятията за продажби на дребно срещнаха сериозни проблеми по отношение на жизнеспособността си, тъй като елементите на тяхното финансиране, както и резултатите от дейността им се влошиха значително в периода на кризата. Тенденцията на намаляване на общия индекс на оборота в сектора на търговията на дребно беше трайна: той намаля с повече от 63 % в периода 2008—2016 г. — от 112,6 през 2008 г. на 71,1 през 2016 г.</w:t>
      </w:r>
      <w:r>
        <w:rPr>
          <w:rStyle w:val="FootnoteReference"/>
          <w:noProof/>
          <w:spacing w:val="-2"/>
        </w:rPr>
        <w:footnoteReference w:id="20"/>
      </w:r>
    </w:p>
    <w:p>
      <w:pPr>
        <w:pStyle w:val="ManualNumPar1"/>
        <w:rPr>
          <w:noProof/>
        </w:rPr>
      </w:pPr>
      <w:r>
        <w:t>20.</w:t>
      </w:r>
      <w:r>
        <w:tab/>
      </w:r>
      <w:r>
        <w:rPr>
          <w:noProof/>
        </w:rPr>
        <w:t>Продължаващото понижаване на доходите на гръцките потребители промени техните потребителски навици и нагласи. Също така продължаващият растеж на продажбите по електронен път, които достигнаха 18,3 % през ноември 2016 г., упражни още по-голям натиск върху традиционните магазини за търговия на дребно</w:t>
      </w:r>
      <w:r>
        <w:rPr>
          <w:rStyle w:val="FootnoteReference"/>
          <w:noProof/>
        </w:rPr>
        <w:footnoteReference w:id="21"/>
      </w:r>
      <w:r>
        <w:rPr>
          <w:noProof/>
        </w:rPr>
        <w:t>. Всички тези фактори допринесоха за вече високото равнище на безработица</w:t>
      </w:r>
      <w:r>
        <w:rPr>
          <w:rStyle w:val="FootnoteReference"/>
          <w:noProof/>
        </w:rPr>
        <w:footnoteReference w:id="22"/>
      </w:r>
      <w:r>
        <w:rPr>
          <w:noProof/>
        </w:rPr>
        <w:t>. Според годишния доклад за 2016 г. на Института по труда на Общата конфедерация на гръцките работници (GSEE) в периода 2008—2015 г. в секторите на търговията на дребно, производството и строителството са били изгубени 164 000 работни места, които представляват 64,2 % от общата загуба на работни места</w:t>
      </w:r>
      <w:r>
        <w:rPr>
          <w:rStyle w:val="FootnoteReference"/>
          <w:noProof/>
        </w:rPr>
        <w:footnoteReference w:id="23"/>
      </w:r>
      <w:r>
        <w:rPr>
          <w:noProof/>
        </w:rPr>
        <w:t>.</w:t>
      </w:r>
    </w:p>
    <w:p>
      <w:pPr>
        <w:pStyle w:val="ManualHeading3"/>
        <w:tabs>
          <w:tab w:val="clear" w:pos="850"/>
          <w:tab w:val="left" w:pos="0"/>
        </w:tabs>
        <w:ind w:left="0" w:firstLine="0"/>
        <w:rPr>
          <w:noProof/>
        </w:rPr>
      </w:pPr>
      <w:r>
        <w:rPr>
          <w:noProof/>
        </w:rPr>
        <w:t>Очаквано въздействие на съкращенията върху местната, регионалната или националната икономика и върху заетостта</w:t>
      </w:r>
    </w:p>
    <w:p>
      <w:pPr>
        <w:pStyle w:val="ManualNumPar1"/>
        <w:rPr>
          <w:noProof/>
        </w:rPr>
      </w:pPr>
      <w:r>
        <w:t>21.</w:t>
      </w:r>
      <w:r>
        <w:tab/>
      </w:r>
      <w:r>
        <w:rPr>
          <w:noProof/>
        </w:rPr>
        <w:t xml:space="preserve">Въпреки че през последните четири години безработицата в Гърция бавно намалява, равнището на безработица продължава да е най-високото в ЕС (23,6 %) през 2016 г. </w:t>
      </w:r>
    </w:p>
    <w:p>
      <w:pPr>
        <w:pStyle w:val="ManualNumPar1"/>
        <w:rPr>
          <w:noProof/>
        </w:rPr>
      </w:pPr>
      <w:r>
        <w:t>22.</w:t>
      </w:r>
      <w:r>
        <w:tab/>
      </w:r>
      <w:r>
        <w:rPr>
          <w:noProof/>
        </w:rPr>
        <w:t>Гръцките органи твърдят, че съкращенията в 11-те засегнати региона ще утежнят допълнително ситуацията по отношение на безработицата, която вече се е влошила в резултат на икономическата и финансовата криза. През 2016 г. Гърция има най-високото равнище на безработица сред държавите — членки на ЕС, и е на петнадесето място в света по този показател</w:t>
      </w:r>
      <w:r>
        <w:rPr>
          <w:rStyle w:val="FootnoteReference"/>
          <w:noProof/>
        </w:rPr>
        <w:footnoteReference w:id="24"/>
      </w:r>
      <w:r>
        <w:rPr>
          <w:noProof/>
        </w:rPr>
        <w:t>.</w:t>
      </w:r>
    </w:p>
    <w:p>
      <w:pPr>
        <w:pStyle w:val="Text1"/>
        <w:jc w:val="center"/>
        <w:rPr>
          <w:b/>
          <w:noProof/>
        </w:rPr>
      </w:pPr>
      <w:r>
        <w:rPr>
          <w:b/>
          <w:noProof/>
        </w:rPr>
        <w:t>Равнище на безработица</w:t>
      </w:r>
    </w:p>
    <w:p>
      <w:pPr>
        <w:pStyle w:val="Text1"/>
        <w:jc w:val="center"/>
        <w:rPr>
          <w:noProof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5071730" cy="1998921"/>
            <wp:effectExtent l="0" t="0" r="15240" b="2095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>
      <w:pPr>
        <w:pStyle w:val="Text1"/>
        <w:rPr>
          <w:i/>
          <w:noProof/>
          <w:sz w:val="20"/>
          <w:szCs w:val="20"/>
        </w:rPr>
      </w:pPr>
      <w:r>
        <w:rPr>
          <w:noProof/>
        </w:rPr>
        <w:tab/>
      </w:r>
      <w:r>
        <w:rPr>
          <w:noProof/>
        </w:rPr>
        <w:tab/>
      </w:r>
      <w:r>
        <w:rPr>
          <w:i/>
          <w:noProof/>
          <w:sz w:val="20"/>
        </w:rPr>
        <w:t>Източник: Евростат</w:t>
      </w:r>
      <w:r>
        <w:rPr>
          <w:rStyle w:val="FootnoteReference"/>
          <w:noProof/>
        </w:rPr>
        <w:footnoteReference w:id="25"/>
      </w:r>
      <w:r>
        <w:rPr>
          <w:i/>
          <w:noProof/>
          <w:sz w:val="20"/>
        </w:rPr>
        <w:t xml:space="preserve"> и ELSTAT</w:t>
      </w:r>
    </w:p>
    <w:p>
      <w:pPr>
        <w:pStyle w:val="ManualNumPar1"/>
        <w:rPr>
          <w:noProof/>
        </w:rPr>
      </w:pPr>
      <w:r>
        <w:t>23.</w:t>
      </w:r>
      <w:r>
        <w:tab/>
      </w:r>
      <w:r>
        <w:rPr>
          <w:noProof/>
        </w:rPr>
        <w:t>Повечето от съкращенията (70,7 %) са съсредоточени в региона Атика, а останалите съкращения (29,3 %) — в 10 други региона</w:t>
      </w:r>
      <w:r>
        <w:rPr>
          <w:rStyle w:val="FootnoteReference"/>
          <w:noProof/>
          <w:spacing w:val="-2"/>
        </w:rPr>
        <w:footnoteReference w:id="26"/>
      </w:r>
      <w:r>
        <w:rPr>
          <w:noProof/>
        </w:rPr>
        <w:t>. В края на 2016 г. равнището на безработица в Атика е 22,9 %, а в 10-те други региона то варира от 19,5 % в Егейския регион до 26,8 % в регионите Епир и Западна Македония</w:t>
      </w:r>
      <w:r>
        <w:rPr>
          <w:rStyle w:val="FootnoteReference"/>
          <w:noProof/>
          <w:spacing w:val="-2"/>
        </w:rPr>
        <w:footnoteReference w:id="27"/>
      </w:r>
      <w:r>
        <w:rPr>
          <w:noProof/>
        </w:rPr>
        <w:t xml:space="preserve">. Наред с това предлагането на работни места в регионите е недостатъчно на фона на високия брой търсещи работа лица. В същия период (февруари 2016 г.) само в района на Атика бяха установени 306 749 лица, търсещи работа. </w:t>
      </w:r>
    </w:p>
    <w:p>
      <w:pPr>
        <w:pStyle w:val="ManualNumPar1"/>
        <w:rPr>
          <w:noProof/>
        </w:rPr>
      </w:pPr>
      <w:r>
        <w:t>24.</w:t>
      </w:r>
      <w:r>
        <w:tab/>
      </w:r>
      <w:r>
        <w:rPr>
          <w:noProof/>
        </w:rPr>
        <w:t>В този контекст съкращенията в предприятията за търговия на дребно претовариха регионите, които вече бяха силно засегнати от отрицателните последици от кризата.</w:t>
      </w:r>
    </w:p>
    <w:p>
      <w:pPr>
        <w:pStyle w:val="ManualHeading3"/>
        <w:tabs>
          <w:tab w:val="clear" w:pos="850"/>
          <w:tab w:val="left" w:pos="0"/>
        </w:tabs>
        <w:ind w:left="0" w:firstLine="0"/>
        <w:rPr>
          <w:noProof/>
        </w:rPr>
      </w:pPr>
      <w:r>
        <w:rPr>
          <w:noProof/>
        </w:rPr>
        <w:t>Обяснение за извънредните обстоятелства, оправдаващи допустимостта на заявлението</w:t>
      </w:r>
    </w:p>
    <w:p>
      <w:pPr>
        <w:pStyle w:val="ManualNumPar1"/>
        <w:rPr>
          <w:noProof/>
        </w:rPr>
      </w:pPr>
      <w:r>
        <w:t>25.</w:t>
      </w:r>
      <w:r>
        <w:tab/>
      </w:r>
      <w:r>
        <w:rPr>
          <w:noProof/>
        </w:rPr>
        <w:t>Гърция твърди, че това заявление следва да бъде приравнено на заявление съгласно член 4, параграф 1, буква б) от Регламента за ЕФПГ предвид извънредните обстоятелства със сериозно отражение върху заетостта и върху местната, регионалната и националната икономика. Изискванията по член 4, параграф 1, буква б) не са спазени изцяло, тъй като е трудно да се докаже, че двата региона на ниво 2 по NUTS, отделени от вода (EL42 и EL43</w:t>
      </w:r>
      <w:r>
        <w:rPr>
          <w:rStyle w:val="FootnoteReference"/>
          <w:noProof/>
          <w:spacing w:val="-6"/>
        </w:rPr>
        <w:footnoteReference w:id="28"/>
      </w:r>
      <w:r>
        <w:rPr>
          <w:noProof/>
        </w:rPr>
        <w:t>), са съседни на другите засегнати региони и са част от същия местен или регионален пазар на труда.</w:t>
      </w:r>
    </w:p>
    <w:p>
      <w:pPr>
        <w:pStyle w:val="ManualNumPar1"/>
        <w:rPr>
          <w:noProof/>
        </w:rPr>
      </w:pPr>
      <w:r>
        <w:t>26.</w:t>
      </w:r>
      <w:r>
        <w:tab/>
      </w:r>
      <w:r>
        <w:rPr>
          <w:noProof/>
        </w:rPr>
        <w:t>Съседството по смисъла на член 4, параграф 1, буква б) в случай на два региона, отделени от вода, не е определено в Регламента за ЕФПГ и Гърция твърди, че 20-те работника</w:t>
      </w:r>
      <w:r>
        <w:rPr>
          <w:rStyle w:val="FootnoteReference"/>
          <w:noProof/>
        </w:rPr>
        <w:footnoteReference w:id="29"/>
      </w:r>
      <w:r>
        <w:rPr>
          <w:noProof/>
        </w:rPr>
        <w:t>, които са били съкратени от магазините, принадлежащи на едно и също дружество майка — Electroniki Athinon SA, следва да бъдат третирани еднакво и да се възползват от същите видове мерки като другите съкратени работници в регионите, разположени на континента.</w:t>
      </w:r>
    </w:p>
    <w:p>
      <w:pPr>
        <w:pStyle w:val="ManualNumPar1"/>
        <w:rPr>
          <w:noProof/>
        </w:rPr>
      </w:pPr>
      <w:r>
        <w:t>27.</w:t>
      </w:r>
      <w:r>
        <w:tab/>
      </w:r>
      <w:r>
        <w:rPr>
          <w:noProof/>
        </w:rPr>
        <w:t>Освен това тези 2 региона, отделени от вода, имат малки местни и изолирани пазари на труда. И двата региона са с много висока безработица: 19,5 % в южните Егейски острови и 23,5 % в Крит.</w:t>
      </w:r>
    </w:p>
    <w:p>
      <w:pPr>
        <w:pStyle w:val="ManualHeading2"/>
        <w:rPr>
          <w:noProof/>
        </w:rPr>
      </w:pPr>
      <w:r>
        <w:rPr>
          <w:noProof/>
        </w:rPr>
        <w:t>Бенефициери от целевата група и предложени действия</w:t>
      </w:r>
    </w:p>
    <w:p>
      <w:pPr>
        <w:pStyle w:val="ManualHeading3"/>
        <w:rPr>
          <w:noProof/>
        </w:rPr>
      </w:pPr>
      <w:r>
        <w:rPr>
          <w:noProof/>
        </w:rPr>
        <w:t>Бенефициери от целевата група</w:t>
      </w:r>
    </w:p>
    <w:p>
      <w:pPr>
        <w:pStyle w:val="ManualNumPar1"/>
        <w:rPr>
          <w:noProof/>
        </w:rPr>
      </w:pPr>
      <w:r>
        <w:t>28.</w:t>
      </w:r>
      <w:r>
        <w:tab/>
      </w:r>
      <w:r>
        <w:rPr>
          <w:noProof/>
        </w:rPr>
        <w:t>Прогнозният брой на съкратените работници, които се очаква да вземат участие в мерките, е 725. По-долу е представена разбивка на тези работници по пол, гражданство и възрастова група: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544"/>
        <w:gridCol w:w="2063"/>
        <w:gridCol w:w="1176"/>
        <w:gridCol w:w="1176"/>
      </w:tblGrid>
      <w:tr>
        <w:trPr>
          <w:jc w:val="center"/>
        </w:trPr>
        <w:tc>
          <w:tcPr>
            <w:tcW w:w="3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>
            <w:pPr>
              <w:spacing w:before="60" w:after="60"/>
              <w:jc w:val="center"/>
              <w:rPr>
                <w:noProof/>
                <w:spacing w:val="-6"/>
              </w:rPr>
            </w:pPr>
            <w:r>
              <w:rPr>
                <w:noProof/>
                <w:spacing w:val="-6"/>
              </w:rPr>
              <w:t>Категория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>
            <w:pPr>
              <w:spacing w:before="60" w:after="60"/>
              <w:jc w:val="center"/>
              <w:rPr>
                <w:noProof/>
                <w:spacing w:val="-6"/>
              </w:rPr>
            </w:pPr>
            <w:r>
              <w:rPr>
                <w:noProof/>
                <w:spacing w:val="-6"/>
              </w:rPr>
              <w:t>Брой на бенефициерите от целевата група</w:t>
            </w:r>
          </w:p>
        </w:tc>
      </w:tr>
      <w:tr>
        <w:trPr>
          <w:jc w:val="center"/>
        </w:trPr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>
            <w:pPr>
              <w:spacing w:before="60" w:after="60"/>
              <w:rPr>
                <w:noProof/>
                <w:spacing w:val="-6"/>
              </w:rPr>
            </w:pPr>
            <w:r>
              <w:rPr>
                <w:noProof/>
                <w:spacing w:val="-6"/>
              </w:rPr>
              <w:t>Пол: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right w:val="nil"/>
            </w:tcBorders>
            <w:hideMark/>
          </w:tcPr>
          <w:p>
            <w:pPr>
              <w:spacing w:before="60" w:after="60"/>
              <w:rPr>
                <w:noProof/>
                <w:spacing w:val="-6"/>
              </w:rPr>
            </w:pPr>
            <w:r>
              <w:rPr>
                <w:noProof/>
                <w:spacing w:val="-6"/>
              </w:rPr>
              <w:t>Мъже: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right w:val="nil"/>
            </w:tcBorders>
            <w:hideMark/>
          </w:tcPr>
          <w:p>
            <w:pPr>
              <w:spacing w:before="60" w:after="60"/>
              <w:jc w:val="right"/>
              <w:rPr>
                <w:noProof/>
                <w:spacing w:val="-6"/>
              </w:rPr>
            </w:pPr>
            <w:r>
              <w:rPr>
                <w:noProof/>
                <w:spacing w:val="-6"/>
              </w:rPr>
              <w:t>408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right w:val="nil"/>
            </w:tcBorders>
            <w:hideMark/>
          </w:tcPr>
          <w:p>
            <w:pPr>
              <w:spacing w:before="60" w:after="60"/>
              <w:jc w:val="right"/>
              <w:rPr>
                <w:noProof/>
                <w:spacing w:val="-6"/>
              </w:rPr>
            </w:pPr>
            <w:r>
              <w:rPr>
                <w:noProof/>
                <w:spacing w:val="-6"/>
              </w:rPr>
              <w:t>(56,3 %)</w:t>
            </w:r>
          </w:p>
        </w:tc>
      </w:tr>
      <w:tr>
        <w:trPr>
          <w:jc w:val="center"/>
        </w:trPr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spacing w:before="60" w:after="60"/>
              <w:rPr>
                <w:noProof/>
                <w:spacing w:val="-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>
            <w:pPr>
              <w:spacing w:before="60" w:after="60"/>
              <w:rPr>
                <w:noProof/>
                <w:spacing w:val="-6"/>
              </w:rPr>
            </w:pPr>
            <w:r>
              <w:rPr>
                <w:noProof/>
                <w:spacing w:val="-6"/>
              </w:rPr>
              <w:t>Жени: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hideMark/>
          </w:tcPr>
          <w:p>
            <w:pPr>
              <w:spacing w:before="60" w:after="60"/>
              <w:jc w:val="right"/>
              <w:rPr>
                <w:noProof/>
                <w:spacing w:val="-6"/>
              </w:rPr>
            </w:pPr>
            <w:r>
              <w:rPr>
                <w:noProof/>
                <w:spacing w:val="-6"/>
              </w:rPr>
              <w:t>317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hideMark/>
          </w:tcPr>
          <w:p>
            <w:pPr>
              <w:spacing w:before="60" w:after="60"/>
              <w:jc w:val="right"/>
              <w:rPr>
                <w:noProof/>
                <w:spacing w:val="-6"/>
              </w:rPr>
            </w:pPr>
            <w:r>
              <w:rPr>
                <w:noProof/>
                <w:spacing w:val="-6"/>
              </w:rPr>
              <w:t>(43,7 %)</w:t>
            </w:r>
          </w:p>
        </w:tc>
      </w:tr>
      <w:tr>
        <w:trPr>
          <w:jc w:val="center"/>
        </w:trPr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>
            <w:pPr>
              <w:spacing w:before="60" w:after="60"/>
              <w:rPr>
                <w:noProof/>
                <w:spacing w:val="-6"/>
              </w:rPr>
            </w:pPr>
            <w:r>
              <w:rPr>
                <w:noProof/>
                <w:spacing w:val="-6"/>
              </w:rPr>
              <w:t>Гражданство: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>
            <w:pPr>
              <w:spacing w:before="60" w:after="60"/>
              <w:rPr>
                <w:noProof/>
                <w:spacing w:val="-6"/>
              </w:rPr>
            </w:pPr>
            <w:r>
              <w:rPr>
                <w:noProof/>
                <w:spacing w:val="-6"/>
              </w:rPr>
              <w:t>Граждани на държави — членки на ЕС: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hideMark/>
          </w:tcPr>
          <w:p>
            <w:pPr>
              <w:spacing w:before="60" w:after="60"/>
              <w:jc w:val="right"/>
              <w:rPr>
                <w:noProof/>
                <w:spacing w:val="-6"/>
              </w:rPr>
            </w:pPr>
            <w:r>
              <w:rPr>
                <w:noProof/>
                <w:spacing w:val="-6"/>
              </w:rPr>
              <w:t>714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hideMark/>
          </w:tcPr>
          <w:p>
            <w:pPr>
              <w:spacing w:before="60" w:after="60"/>
              <w:jc w:val="right"/>
              <w:rPr>
                <w:noProof/>
                <w:spacing w:val="-6"/>
              </w:rPr>
            </w:pPr>
            <w:r>
              <w:rPr>
                <w:noProof/>
                <w:spacing w:val="-6"/>
              </w:rPr>
              <w:t>(98,5 %)</w:t>
            </w:r>
          </w:p>
        </w:tc>
      </w:tr>
      <w:tr>
        <w:trPr>
          <w:jc w:val="center"/>
        </w:trPr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spacing w:before="60" w:after="60"/>
              <w:rPr>
                <w:noProof/>
                <w:spacing w:val="-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>
            <w:pPr>
              <w:spacing w:before="60" w:after="60"/>
              <w:rPr>
                <w:noProof/>
                <w:spacing w:val="-6"/>
              </w:rPr>
            </w:pPr>
            <w:r>
              <w:rPr>
                <w:noProof/>
                <w:spacing w:val="-6"/>
              </w:rPr>
              <w:t>Граждани на държави извън ЕС: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hideMark/>
          </w:tcPr>
          <w:p>
            <w:pPr>
              <w:spacing w:before="60" w:after="60"/>
              <w:jc w:val="right"/>
              <w:rPr>
                <w:noProof/>
                <w:spacing w:val="-6"/>
              </w:rPr>
            </w:pPr>
            <w:r>
              <w:rPr>
                <w:noProof/>
                <w:spacing w:val="-6"/>
              </w:rPr>
              <w:t>11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hideMark/>
          </w:tcPr>
          <w:p>
            <w:pPr>
              <w:spacing w:before="60" w:after="60"/>
              <w:jc w:val="right"/>
              <w:rPr>
                <w:noProof/>
                <w:spacing w:val="-6"/>
              </w:rPr>
            </w:pPr>
            <w:r>
              <w:rPr>
                <w:noProof/>
                <w:spacing w:val="-6"/>
              </w:rPr>
              <w:t>(1,5 %)</w:t>
            </w:r>
          </w:p>
        </w:tc>
      </w:tr>
      <w:tr>
        <w:trPr>
          <w:jc w:val="center"/>
        </w:trPr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>
            <w:pPr>
              <w:spacing w:before="60" w:after="60"/>
              <w:rPr>
                <w:noProof/>
                <w:spacing w:val="-6"/>
              </w:rPr>
            </w:pPr>
            <w:r>
              <w:rPr>
                <w:noProof/>
                <w:spacing w:val="-6"/>
              </w:rPr>
              <w:t>Възрастова група: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>
            <w:pPr>
              <w:spacing w:before="60" w:after="60"/>
              <w:rPr>
                <w:noProof/>
                <w:spacing w:val="-6"/>
              </w:rPr>
            </w:pPr>
            <w:r>
              <w:rPr>
                <w:noProof/>
                <w:spacing w:val="-6"/>
              </w:rPr>
              <w:t>15—24 години: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hideMark/>
          </w:tcPr>
          <w:p>
            <w:pPr>
              <w:spacing w:before="60" w:after="60"/>
              <w:jc w:val="right"/>
              <w:rPr>
                <w:noProof/>
                <w:spacing w:val="-6"/>
              </w:rPr>
            </w:pPr>
            <w:r>
              <w:rPr>
                <w:noProof/>
                <w:spacing w:val="-6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hideMark/>
          </w:tcPr>
          <w:p>
            <w:pPr>
              <w:spacing w:before="60" w:after="60"/>
              <w:jc w:val="right"/>
              <w:rPr>
                <w:noProof/>
                <w:spacing w:val="-6"/>
              </w:rPr>
            </w:pPr>
            <w:r>
              <w:rPr>
                <w:noProof/>
                <w:spacing w:val="-6"/>
              </w:rPr>
              <w:t>(0,0 %)</w:t>
            </w:r>
          </w:p>
        </w:tc>
      </w:tr>
      <w:tr>
        <w:trPr>
          <w:jc w:val="center"/>
        </w:trPr>
        <w:tc>
          <w:tcPr>
            <w:tcW w:w="1496" w:type="dxa"/>
          </w:tcPr>
          <w:p>
            <w:pPr>
              <w:spacing w:before="60" w:after="60"/>
              <w:rPr>
                <w:noProof/>
                <w:spacing w:val="-6"/>
              </w:rPr>
            </w:pPr>
          </w:p>
        </w:tc>
        <w:tc>
          <w:tcPr>
            <w:tcW w:w="2063" w:type="dxa"/>
            <w:hideMark/>
          </w:tcPr>
          <w:p>
            <w:pPr>
              <w:spacing w:before="60" w:after="60"/>
              <w:rPr>
                <w:noProof/>
                <w:spacing w:val="-6"/>
              </w:rPr>
            </w:pPr>
            <w:r>
              <w:rPr>
                <w:noProof/>
                <w:spacing w:val="-6"/>
              </w:rPr>
              <w:t>25—29 години:</w:t>
            </w:r>
          </w:p>
        </w:tc>
        <w:tc>
          <w:tcPr>
            <w:tcW w:w="1176" w:type="dxa"/>
            <w:hideMark/>
          </w:tcPr>
          <w:p>
            <w:pPr>
              <w:spacing w:before="60" w:after="60"/>
              <w:jc w:val="right"/>
              <w:rPr>
                <w:noProof/>
                <w:spacing w:val="-6"/>
              </w:rPr>
            </w:pPr>
            <w:r>
              <w:rPr>
                <w:noProof/>
                <w:spacing w:val="-6"/>
              </w:rPr>
              <w:t>26</w:t>
            </w:r>
          </w:p>
        </w:tc>
        <w:tc>
          <w:tcPr>
            <w:tcW w:w="1176" w:type="dxa"/>
            <w:hideMark/>
          </w:tcPr>
          <w:p>
            <w:pPr>
              <w:spacing w:before="60" w:after="60"/>
              <w:jc w:val="right"/>
              <w:rPr>
                <w:noProof/>
                <w:spacing w:val="-6"/>
              </w:rPr>
            </w:pPr>
            <w:r>
              <w:rPr>
                <w:noProof/>
                <w:spacing w:val="-6"/>
              </w:rPr>
              <w:t>(3,6 %)</w:t>
            </w:r>
          </w:p>
        </w:tc>
      </w:tr>
      <w:tr>
        <w:trPr>
          <w:jc w:val="center"/>
        </w:trPr>
        <w:tc>
          <w:tcPr>
            <w:tcW w:w="1496" w:type="dxa"/>
          </w:tcPr>
          <w:p>
            <w:pPr>
              <w:spacing w:before="60" w:after="60"/>
              <w:rPr>
                <w:noProof/>
                <w:spacing w:val="-6"/>
              </w:rPr>
            </w:pPr>
          </w:p>
        </w:tc>
        <w:tc>
          <w:tcPr>
            <w:tcW w:w="2063" w:type="dxa"/>
            <w:hideMark/>
          </w:tcPr>
          <w:p>
            <w:pPr>
              <w:spacing w:before="60" w:after="60"/>
              <w:rPr>
                <w:noProof/>
                <w:spacing w:val="-6"/>
              </w:rPr>
            </w:pPr>
            <w:r>
              <w:rPr>
                <w:noProof/>
                <w:spacing w:val="-6"/>
              </w:rPr>
              <w:t>30—54 години:</w:t>
            </w:r>
          </w:p>
        </w:tc>
        <w:tc>
          <w:tcPr>
            <w:tcW w:w="1176" w:type="dxa"/>
            <w:hideMark/>
          </w:tcPr>
          <w:p>
            <w:pPr>
              <w:spacing w:before="60" w:after="60"/>
              <w:jc w:val="right"/>
              <w:rPr>
                <w:noProof/>
                <w:spacing w:val="-6"/>
              </w:rPr>
            </w:pPr>
            <w:r>
              <w:rPr>
                <w:noProof/>
                <w:spacing w:val="-6"/>
              </w:rPr>
              <w:t>81</w:t>
            </w:r>
          </w:p>
        </w:tc>
        <w:tc>
          <w:tcPr>
            <w:tcW w:w="1176" w:type="dxa"/>
            <w:hideMark/>
          </w:tcPr>
          <w:p>
            <w:pPr>
              <w:spacing w:before="60" w:after="60"/>
              <w:jc w:val="right"/>
              <w:rPr>
                <w:noProof/>
                <w:spacing w:val="-6"/>
              </w:rPr>
            </w:pPr>
            <w:r>
              <w:rPr>
                <w:noProof/>
                <w:spacing w:val="-6"/>
              </w:rPr>
              <w:t>(11,2 %)</w:t>
            </w:r>
          </w:p>
        </w:tc>
      </w:tr>
      <w:tr>
        <w:trPr>
          <w:jc w:val="center"/>
        </w:trPr>
        <w:tc>
          <w:tcPr>
            <w:tcW w:w="1496" w:type="dxa"/>
          </w:tcPr>
          <w:p>
            <w:pPr>
              <w:spacing w:before="60" w:after="60"/>
              <w:rPr>
                <w:noProof/>
                <w:spacing w:val="-6"/>
              </w:rPr>
            </w:pPr>
          </w:p>
        </w:tc>
        <w:tc>
          <w:tcPr>
            <w:tcW w:w="2063" w:type="dxa"/>
            <w:hideMark/>
          </w:tcPr>
          <w:p>
            <w:pPr>
              <w:spacing w:before="60" w:after="60"/>
              <w:rPr>
                <w:noProof/>
                <w:spacing w:val="-6"/>
              </w:rPr>
            </w:pPr>
            <w:r>
              <w:rPr>
                <w:noProof/>
                <w:spacing w:val="-6"/>
              </w:rPr>
              <w:t>55—64 години:</w:t>
            </w:r>
          </w:p>
        </w:tc>
        <w:tc>
          <w:tcPr>
            <w:tcW w:w="1176" w:type="dxa"/>
            <w:hideMark/>
          </w:tcPr>
          <w:p>
            <w:pPr>
              <w:spacing w:before="60" w:after="60"/>
              <w:jc w:val="right"/>
              <w:rPr>
                <w:noProof/>
                <w:spacing w:val="-6"/>
              </w:rPr>
            </w:pPr>
            <w:r>
              <w:rPr>
                <w:noProof/>
                <w:spacing w:val="-6"/>
              </w:rPr>
              <w:t>438</w:t>
            </w:r>
          </w:p>
        </w:tc>
        <w:tc>
          <w:tcPr>
            <w:tcW w:w="1176" w:type="dxa"/>
            <w:hideMark/>
          </w:tcPr>
          <w:p>
            <w:pPr>
              <w:spacing w:before="60" w:after="60"/>
              <w:jc w:val="right"/>
              <w:rPr>
                <w:noProof/>
                <w:spacing w:val="-6"/>
              </w:rPr>
            </w:pPr>
            <w:r>
              <w:rPr>
                <w:noProof/>
                <w:spacing w:val="-6"/>
              </w:rPr>
              <w:t>(60,4 %)</w:t>
            </w:r>
          </w:p>
        </w:tc>
      </w:tr>
      <w:tr>
        <w:trPr>
          <w:jc w:val="center"/>
        </w:trPr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spacing w:before="60" w:after="60"/>
              <w:rPr>
                <w:noProof/>
                <w:spacing w:val="-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>
            <w:pPr>
              <w:spacing w:before="60" w:after="60"/>
              <w:rPr>
                <w:noProof/>
                <w:spacing w:val="-6"/>
              </w:rPr>
            </w:pPr>
            <w:r>
              <w:rPr>
                <w:noProof/>
                <w:spacing w:val="-6"/>
              </w:rPr>
              <w:t>над 64 години: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>
            <w:pPr>
              <w:spacing w:before="60" w:after="60"/>
              <w:jc w:val="right"/>
              <w:rPr>
                <w:noProof/>
                <w:spacing w:val="-6"/>
              </w:rPr>
            </w:pPr>
            <w:r>
              <w:rPr>
                <w:noProof/>
                <w:spacing w:val="-6"/>
              </w:rPr>
              <w:t>180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>
            <w:pPr>
              <w:spacing w:before="60" w:after="60"/>
              <w:jc w:val="right"/>
              <w:rPr>
                <w:noProof/>
                <w:spacing w:val="-6"/>
              </w:rPr>
            </w:pPr>
            <w:r>
              <w:rPr>
                <w:noProof/>
                <w:spacing w:val="-6"/>
              </w:rPr>
              <w:t>(24,8 %)</w:t>
            </w:r>
          </w:p>
        </w:tc>
      </w:tr>
    </w:tbl>
    <w:p>
      <w:pPr>
        <w:pStyle w:val="ManualHeading3"/>
        <w:rPr>
          <w:noProof/>
          <w:u w:val="single"/>
        </w:rPr>
      </w:pPr>
      <w:r>
        <w:rPr>
          <w:noProof/>
        </w:rPr>
        <w:t>Допустимост на предложените действия</w:t>
      </w:r>
    </w:p>
    <w:p>
      <w:pPr>
        <w:pStyle w:val="ManualNumPar1"/>
        <w:rPr>
          <w:noProof/>
        </w:rPr>
      </w:pPr>
      <w:r>
        <w:t>29.</w:t>
      </w:r>
      <w:r>
        <w:tab/>
      </w:r>
      <w:r>
        <w:rPr>
          <w:noProof/>
        </w:rPr>
        <w:t xml:space="preserve">Персонализираните услуги, които се предвижда да бъдат предоставени на съкратените работници, включват следните действия: </w:t>
      </w:r>
    </w:p>
    <w:p>
      <w:pPr>
        <w:pStyle w:val="Tiret1"/>
        <w:rPr>
          <w:noProof/>
        </w:rPr>
      </w:pPr>
      <w:r>
        <w:rPr>
          <w:noProof/>
          <w:u w:val="single"/>
        </w:rPr>
        <w:t>Професионално ориентиране</w:t>
      </w:r>
      <w:r>
        <w:rPr>
          <w:noProof/>
        </w:rPr>
        <w:t>: Тази съпътстваща мярка, която ще бъде предложена на всички участници, е специално насочена към възрастните бенефициери, състои се от 25 индивидуални срещи от по 45 минути със специализиран консултант и включва следните етапи:</w:t>
      </w:r>
    </w:p>
    <w:p>
      <w:pPr>
        <w:pStyle w:val="Text2"/>
        <w:rPr>
          <w:noProof/>
        </w:rPr>
      </w:pPr>
      <w:r>
        <w:rPr>
          <w:b/>
          <w:noProof/>
        </w:rPr>
        <w:t>1) Информация.</w:t>
      </w:r>
      <w:r>
        <w:rPr>
          <w:noProof/>
        </w:rPr>
        <w:t xml:space="preserve"> Тази първа мярка, насочена към всички участници, предоставя основна информация за проекта и за перспективите им за заетост, ако приемат да участват в него.</w:t>
      </w:r>
    </w:p>
    <w:p>
      <w:pPr>
        <w:pStyle w:val="Text2"/>
        <w:rPr>
          <w:noProof/>
        </w:rPr>
      </w:pPr>
      <w:r>
        <w:rPr>
          <w:b/>
          <w:noProof/>
        </w:rPr>
        <w:t>2) Регистрация на бенефициерите и проучване на нуждите.</w:t>
      </w:r>
      <w:r>
        <w:rPr>
          <w:noProof/>
        </w:rPr>
        <w:t xml:space="preserve"> Това включва предоставянето на информация относно наличните услуги и програми за обучение, изискванията за умения и обучение, както и подготовка на личното досие на всеки участник.</w:t>
      </w:r>
    </w:p>
    <w:p>
      <w:pPr>
        <w:pStyle w:val="Text2"/>
        <w:rPr>
          <w:noProof/>
        </w:rPr>
      </w:pPr>
      <w:r>
        <w:rPr>
          <w:b/>
          <w:noProof/>
        </w:rPr>
        <w:t>3) Лична и професионална оценка.</w:t>
      </w:r>
      <w:r>
        <w:rPr>
          <w:noProof/>
        </w:rPr>
        <w:t xml:space="preserve"> Целта на тази мярка е да се помогне на работниците да установят какви умения притежават, какви са възможностите и ограниченията, свързани с техните интереси, както и да изготвят реалистичен план за професионалното си развитие. Резултатът ще бъде лична и професионална оценка, включваща уменията, квалификациите и нуждите от обучение на участника. </w:t>
      </w:r>
    </w:p>
    <w:p>
      <w:pPr>
        <w:pStyle w:val="Text2"/>
        <w:rPr>
          <w:noProof/>
          <w:spacing w:val="-2"/>
        </w:rPr>
      </w:pPr>
      <w:r>
        <w:rPr>
          <w:b/>
          <w:noProof/>
          <w:spacing w:val="-2"/>
        </w:rPr>
        <w:t>4) Процес на лично и професионално развитие.</w:t>
      </w:r>
      <w:r>
        <w:rPr>
          <w:noProof/>
          <w:spacing w:val="-2"/>
        </w:rPr>
        <w:t xml:space="preserve"> Той включва: 1) обучение за придобиване на хоризонтални умения</w:t>
      </w:r>
      <w:r>
        <w:rPr>
          <w:rStyle w:val="FootnoteReference"/>
          <w:noProof/>
          <w:spacing w:val="-2"/>
        </w:rPr>
        <w:footnoteReference w:id="30"/>
      </w:r>
      <w:r>
        <w:rPr>
          <w:noProof/>
          <w:spacing w:val="-2"/>
        </w:rPr>
        <w:t>; 2) съдействие при търсенето на работа и техники в тази връзка, обучение за изготвяне на автобиографии и придружителни писма и за подготовка за интервю за работа; 3) професионално ориентиране: консултантите ще предоставят актуална информация по въпроси, свързани с пазара на труда, и ще насочат участниците към конкретни предложения за работа; 4) подготовка на първоначалния обобщен индивидуален проект и на плана за действие.</w:t>
      </w:r>
    </w:p>
    <w:p>
      <w:pPr>
        <w:pStyle w:val="Text2"/>
        <w:rPr>
          <w:b/>
          <w:noProof/>
        </w:rPr>
      </w:pPr>
      <w:r>
        <w:rPr>
          <w:b/>
          <w:noProof/>
        </w:rPr>
        <w:t>5) Разработване и изготвяне на индивидуалния план за действие.</w:t>
      </w:r>
      <w:r>
        <w:rPr>
          <w:noProof/>
        </w:rPr>
        <w:t xml:space="preserve"> Предвижда се също така консултантите постоянно да оказват помощ на работниците по време на изпълнението на отделните стъпки от програмите за обучение и на индивидуалните им планове за реинтеграция на пазара на труда. Участниците, които проявяват интерес към започване на собствен бизнес, ще получат обща помощ и консултации в областта на предприемачеството.</w:t>
      </w:r>
    </w:p>
    <w:p>
      <w:pPr>
        <w:pStyle w:val="Text2"/>
        <w:rPr>
          <w:noProof/>
        </w:rPr>
      </w:pPr>
      <w:r>
        <w:rPr>
          <w:b/>
          <w:noProof/>
        </w:rPr>
        <w:t>6) Наблюдение</w:t>
      </w:r>
      <w:r>
        <w:rPr>
          <w:noProof/>
        </w:rPr>
        <w:t>. В рамките на тази мярка се осигурява проследяване на участниците през първите шест месеца след приключването на изпълнението на мерките.</w:t>
      </w:r>
    </w:p>
    <w:p>
      <w:pPr>
        <w:pStyle w:val="Tiret1"/>
        <w:rPr>
          <w:noProof/>
        </w:rPr>
      </w:pPr>
      <w:r>
        <w:rPr>
          <w:noProof/>
          <w:u w:val="single"/>
        </w:rPr>
        <w:t>Обучение, преквалификация и професионално обучение</w:t>
      </w:r>
      <w:r>
        <w:rPr>
          <w:noProof/>
        </w:rPr>
        <w:t>. Тази мярка включва осигуряване на курсове за професионално обучение на работниците в съответствие с техните нужди, особено на възрастните бенефициери, и текущите нужди на пазара на труда. Двата вида обучение са: програми за продължаващо професионално обучение, както и специализирани обучения или конкретни образователни програми. Курсовете за обучение също така могат да бъдат допълнени от стажове.</w:t>
      </w:r>
    </w:p>
    <w:p>
      <w:pPr>
        <w:pStyle w:val="Tiret1"/>
        <w:rPr>
          <w:noProof/>
        </w:rPr>
      </w:pPr>
      <w:r>
        <w:rPr>
          <w:noProof/>
          <w:u w:val="single"/>
        </w:rPr>
        <w:t>Помощ за започване на стопанска дейност</w:t>
      </w:r>
      <w:r>
        <w:rPr>
          <w:noProof/>
        </w:rPr>
        <w:t xml:space="preserve">. За да се насърчи предприемачеството, работниците, които започват собствен бизнес, ще получат до 15 000 EUR като помощ за покриване на началните разходи. Условието е бенефициерите да поддържат своята стопанска дейност в продължение на поне една година. </w:t>
      </w:r>
    </w:p>
    <w:p>
      <w:pPr>
        <w:pStyle w:val="Tiret1"/>
        <w:rPr>
          <w:noProof/>
        </w:rPr>
      </w:pPr>
      <w:r>
        <w:rPr>
          <w:noProof/>
          <w:u w:val="single"/>
        </w:rPr>
        <w:t>Помощ за търсене на работа и помощ за обучение</w:t>
      </w:r>
      <w:r>
        <w:rPr>
          <w:noProof/>
        </w:rPr>
        <w:t>. За покриване на направените от тях разходи за участие в мярката за професионални съвети бенефициерите ще получат по 40 EUR за покриване на разходите за участие в среща в продължение на 45 минути със съветник. През периода на обучението помощта ще възлиза на 3,33 EUR на час.</w:t>
      </w:r>
    </w:p>
    <w:p>
      <w:pPr>
        <w:pStyle w:val="Tiret1"/>
        <w:rPr>
          <w:noProof/>
        </w:rPr>
      </w:pPr>
      <w:r>
        <w:rPr>
          <w:noProof/>
          <w:u w:val="single"/>
        </w:rPr>
        <w:t>Субсидия за създаване на работни места.</w:t>
      </w:r>
      <w:r>
        <w:rPr>
          <w:noProof/>
        </w:rPr>
        <w:t xml:space="preserve"> Като стимул за наемане на работа работодателите ще получат субсидия в размер на 650 EUR (бруто) на лице за срок от шест месеца, при условие че запазят договора на бенефициера по ЕФПГ за още шест месеца след края на субсидията.</w:t>
      </w:r>
    </w:p>
    <w:p>
      <w:pPr>
        <w:pStyle w:val="ManualNumPar1"/>
        <w:rPr>
          <w:noProof/>
        </w:rPr>
      </w:pPr>
      <w:r>
        <w:t>30.</w:t>
      </w:r>
      <w:r>
        <w:tab/>
      </w:r>
      <w:r>
        <w:rPr>
          <w:noProof/>
        </w:rPr>
        <w:t>Предложените действия, описани в настоящия документ, представляват активни мерки за пазара на труда в рамките на допустимите действия, посочени в член 7 от Регламента за ЕФПГ. Тези действия не заместват пасивните мерки за социална закрила.</w:t>
      </w:r>
    </w:p>
    <w:p>
      <w:pPr>
        <w:pStyle w:val="ManualNumPar1"/>
        <w:rPr>
          <w:noProof/>
        </w:rPr>
      </w:pPr>
      <w:r>
        <w:t>31.</w:t>
      </w:r>
      <w:r>
        <w:tab/>
      </w:r>
      <w:r>
        <w:rPr>
          <w:noProof/>
        </w:rPr>
        <w:t>Гърция предостави поисканата информация относно действията, които са задължителни за засегнатото предприятие по силата на националното законодателство или в съответствие с колективни споразумения. Потвърдено беше, че финансовото участие от страна на ЕФПГ няма да замени тези действия.</w:t>
      </w:r>
    </w:p>
    <w:p>
      <w:pPr>
        <w:pStyle w:val="ManualHeading3"/>
        <w:rPr>
          <w:noProof/>
        </w:rPr>
      </w:pPr>
      <w:r>
        <w:rPr>
          <w:noProof/>
        </w:rPr>
        <w:t>Прогнозен бюджет</w:t>
      </w:r>
    </w:p>
    <w:p>
      <w:pPr>
        <w:pStyle w:val="ManualNumPar1"/>
        <w:rPr>
          <w:noProof/>
        </w:rPr>
      </w:pPr>
      <w:r>
        <w:t>32.</w:t>
      </w:r>
      <w:r>
        <w:tab/>
      </w:r>
      <w:r>
        <w:rPr>
          <w:noProof/>
        </w:rPr>
        <w:t>Общите прогнозни разходи са в размер на 4 915 250 EUR, като в тях се включват разходи за персонализирани услуги на стойност 4 720 250 EUR и разходи за дейности по подготовка, управление, информация и публичност, контрол и докладване в размер на 195 000 EUR.</w:t>
      </w:r>
    </w:p>
    <w:p>
      <w:pPr>
        <w:pStyle w:val="ManualNumPar1"/>
        <w:rPr>
          <w:noProof/>
        </w:rPr>
      </w:pPr>
      <w:r>
        <w:t>33.</w:t>
      </w:r>
      <w:r>
        <w:tab/>
      </w:r>
      <w:r>
        <w:rPr>
          <w:noProof/>
        </w:rPr>
        <w:t>Общият размер на заявеното финансово участие от ЕФПГ възлиза на 2 949 150 EUR (60 % от общия размер на разходите).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1548"/>
        <w:gridCol w:w="1548"/>
        <w:gridCol w:w="1548"/>
      </w:tblGrid>
      <w:tr>
        <w:tc>
          <w:tcPr>
            <w:tcW w:w="4644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eastAsia="Times New Roman"/>
                <w:noProof/>
                <w:spacing w:val="-6"/>
                <w:sz w:val="22"/>
              </w:rPr>
            </w:pPr>
            <w:r>
              <w:rPr>
                <w:noProof/>
                <w:spacing w:val="-6"/>
                <w:sz w:val="22"/>
              </w:rPr>
              <w:t>Действия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eastAsia="Times New Roman"/>
                <w:noProof/>
                <w:spacing w:val="-6"/>
                <w:sz w:val="22"/>
              </w:rPr>
            </w:pPr>
            <w:r>
              <w:rPr>
                <w:noProof/>
                <w:spacing w:val="-6"/>
                <w:sz w:val="22"/>
              </w:rPr>
              <w:t>Прогнозен брой участници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eastAsia="Times New Roman"/>
                <w:noProof/>
                <w:spacing w:val="-6"/>
                <w:sz w:val="22"/>
              </w:rPr>
            </w:pPr>
            <w:r>
              <w:rPr>
                <w:noProof/>
                <w:spacing w:val="-6"/>
                <w:sz w:val="22"/>
              </w:rPr>
              <w:t xml:space="preserve">Прогнозни разходи за един участник </w:t>
            </w:r>
            <w:r>
              <w:rPr>
                <w:i/>
                <w:noProof/>
                <w:spacing w:val="-6"/>
                <w:sz w:val="22"/>
              </w:rPr>
              <w:t>(EUR)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eastAsia="Times New Roman"/>
                <w:noProof/>
                <w:spacing w:val="-6"/>
                <w:sz w:val="22"/>
              </w:rPr>
            </w:pPr>
            <w:r>
              <w:rPr>
                <w:noProof/>
                <w:spacing w:val="-6"/>
                <w:sz w:val="22"/>
              </w:rPr>
              <w:t>Общо прогнозни разходи</w:t>
            </w:r>
            <w:r>
              <w:rPr>
                <w:noProof/>
                <w:spacing w:val="-6"/>
                <w:sz w:val="22"/>
                <w:lang w:val="it-IT"/>
              </w:rPr>
              <w:t xml:space="preserve"> </w:t>
            </w:r>
            <w:r>
              <w:rPr>
                <w:i/>
                <w:noProof/>
                <w:spacing w:val="-6"/>
                <w:sz w:val="22"/>
              </w:rPr>
              <w:t xml:space="preserve">(EUR) </w:t>
            </w:r>
          </w:p>
        </w:tc>
      </w:tr>
      <w:tr>
        <w:tc>
          <w:tcPr>
            <w:tcW w:w="9288" w:type="dxa"/>
            <w:gridSpan w:val="4"/>
            <w:shd w:val="clear" w:color="auto" w:fill="auto"/>
          </w:tcPr>
          <w:p>
            <w:pPr>
              <w:spacing w:before="60" w:after="60"/>
              <w:jc w:val="left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Персонализирани услуги (действия по член 7, параграф 1, букви а) и в) от Регламента за ЕФПГ)</w:t>
            </w:r>
          </w:p>
        </w:tc>
      </w:tr>
      <w:tr>
        <w:trPr>
          <w:trHeight w:val="802"/>
        </w:trPr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60" w:after="60"/>
              <w:jc w:val="left"/>
              <w:rPr>
                <w:noProof/>
              </w:rPr>
            </w:pPr>
            <w:r>
              <w:rPr>
                <w:noProof/>
              </w:rPr>
              <w:t>Професионални съвети (Επαγγελματική συμβουλευτική)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</w:rPr>
              <w:t>725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</w:rPr>
              <w:t>1 250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</w:rPr>
              <w:t>906 250</w:t>
            </w:r>
          </w:p>
        </w:tc>
      </w:tr>
      <w:tr>
        <w:trPr>
          <w:trHeight w:val="802"/>
        </w:trPr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60" w:after="60"/>
              <w:jc w:val="left"/>
              <w:rPr>
                <w:noProof/>
              </w:rPr>
            </w:pPr>
            <w:r>
              <w:rPr>
                <w:noProof/>
              </w:rPr>
              <w:t>Професионално обучение (Επαγγελματική Κατάρτιση)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</w:rPr>
              <w:t>680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</w:rPr>
              <w:t>1 500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</w:rPr>
              <w:t>1 020 000</w:t>
            </w:r>
          </w:p>
        </w:tc>
      </w:tr>
      <w:tr>
        <w:trPr>
          <w:trHeight w:val="802"/>
        </w:trPr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60" w:after="60"/>
              <w:jc w:val="left"/>
              <w:rPr>
                <w:noProof/>
                <w:spacing w:val="-6"/>
              </w:rPr>
            </w:pPr>
            <w:r>
              <w:rPr>
                <w:noProof/>
                <w:spacing w:val="-6"/>
              </w:rPr>
              <w:t xml:space="preserve">Специализирано обучение/образование (Εξειδικευμένη κατάρτιση / εκπαίδευση)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60" w:after="60"/>
              <w:jc w:val="center"/>
              <w:rPr>
                <w:noProof/>
                <w:spacing w:val="-6"/>
              </w:rPr>
            </w:pPr>
            <w:r>
              <w:rPr>
                <w:noProof/>
                <w:spacing w:val="-6"/>
              </w:rPr>
              <w:t>45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60" w:after="60"/>
              <w:jc w:val="center"/>
              <w:rPr>
                <w:noProof/>
                <w:spacing w:val="-6"/>
              </w:rPr>
            </w:pPr>
            <w:r>
              <w:rPr>
                <w:noProof/>
                <w:spacing w:val="-6"/>
              </w:rPr>
              <w:t>4 000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spacing w:before="60" w:after="60"/>
              <w:jc w:val="center"/>
              <w:rPr>
                <w:noProof/>
                <w:spacing w:val="-6"/>
              </w:rPr>
            </w:pPr>
            <w:r>
              <w:rPr>
                <w:noProof/>
                <w:spacing w:val="-6"/>
              </w:rPr>
              <w:t>180 000</w:t>
            </w:r>
          </w:p>
        </w:tc>
      </w:tr>
      <w:tr>
        <w:trPr>
          <w:trHeight w:val="802"/>
        </w:trPr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60" w:after="60"/>
              <w:jc w:val="left"/>
              <w:rPr>
                <w:noProof/>
                <w:spacing w:val="-6"/>
              </w:rPr>
            </w:pPr>
            <w:r>
              <w:rPr>
                <w:noProof/>
                <w:spacing w:val="-6"/>
              </w:rPr>
              <w:t>Помощ за започване на стопанска дейност (Συνεισφορά για σύσταση επιχείρησης)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60" w:after="60"/>
              <w:jc w:val="center"/>
              <w:rPr>
                <w:noProof/>
                <w:spacing w:val="-6"/>
              </w:rPr>
            </w:pPr>
            <w:r>
              <w:rPr>
                <w:noProof/>
                <w:spacing w:val="-6"/>
              </w:rPr>
              <w:t>65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60" w:after="60"/>
              <w:jc w:val="center"/>
              <w:rPr>
                <w:noProof/>
                <w:spacing w:val="-6"/>
              </w:rPr>
            </w:pPr>
            <w:r>
              <w:rPr>
                <w:noProof/>
                <w:spacing w:val="-6"/>
              </w:rPr>
              <w:t>15 000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spacing w:before="60" w:after="60"/>
              <w:jc w:val="center"/>
              <w:rPr>
                <w:noProof/>
                <w:spacing w:val="-6"/>
              </w:rPr>
            </w:pPr>
            <w:r>
              <w:rPr>
                <w:noProof/>
                <w:spacing w:val="-6"/>
              </w:rPr>
              <w:t>975 000</w:t>
            </w:r>
          </w:p>
        </w:tc>
      </w:tr>
      <w:tr>
        <w:trPr>
          <w:trHeight w:val="398"/>
        </w:trPr>
        <w:tc>
          <w:tcPr>
            <w:tcW w:w="4644" w:type="dxa"/>
            <w:vMerge w:val="restart"/>
            <w:shd w:val="clear" w:color="auto" w:fill="auto"/>
            <w:vAlign w:val="center"/>
          </w:tcPr>
          <w:p>
            <w:pPr>
              <w:spacing w:before="60" w:after="60"/>
              <w:jc w:val="right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Междинен сбор (a):</w:t>
            </w:r>
          </w:p>
          <w:p>
            <w:pPr>
              <w:spacing w:before="60" w:after="60"/>
              <w:jc w:val="right"/>
              <w:rPr>
                <w:rFonts w:eastAsia="Times New Roman"/>
                <w:noProof/>
                <w:spacing w:val="-6"/>
                <w:sz w:val="22"/>
              </w:rPr>
            </w:pPr>
            <w:r>
              <w:rPr>
                <w:noProof/>
                <w:sz w:val="22"/>
              </w:rPr>
              <w:t>Процент от пакета от персонализирани услуги</w:t>
            </w:r>
            <w:r>
              <w:rPr>
                <w:noProof/>
                <w:spacing w:val="-6"/>
                <w:sz w:val="22"/>
              </w:rPr>
              <w:t xml:space="preserve"> </w:t>
            </w:r>
          </w:p>
        </w:tc>
        <w:tc>
          <w:tcPr>
            <w:tcW w:w="3096" w:type="dxa"/>
            <w:gridSpan w:val="2"/>
            <w:vMerge w:val="restart"/>
            <w:shd w:val="clear" w:color="auto" w:fill="D9D9D9"/>
            <w:vAlign w:val="center"/>
          </w:tcPr>
          <w:p>
            <w:pPr>
              <w:spacing w:before="60" w:after="60"/>
              <w:jc w:val="center"/>
              <w:rPr>
                <w:rFonts w:eastAsia="Times New Roman"/>
                <w:noProof/>
                <w:spacing w:val="-6"/>
                <w:sz w:val="22"/>
              </w:rPr>
            </w:pPr>
            <w:r>
              <w:rPr>
                <w:noProof/>
                <w:spacing w:val="-6"/>
                <w:sz w:val="22"/>
              </w:rPr>
              <w:t>–</w:t>
            </w:r>
          </w:p>
        </w:tc>
        <w:tc>
          <w:tcPr>
            <w:tcW w:w="1548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eastAsia="Times New Roman"/>
                <w:noProof/>
                <w:spacing w:val="-6"/>
                <w:sz w:val="22"/>
              </w:rPr>
            </w:pPr>
            <w:r>
              <w:rPr>
                <w:noProof/>
                <w:spacing w:val="-6"/>
              </w:rPr>
              <w:t>3 081 250</w:t>
            </w:r>
          </w:p>
        </w:tc>
      </w:tr>
      <w:tr>
        <w:trPr>
          <w:trHeight w:val="397"/>
        </w:trPr>
        <w:tc>
          <w:tcPr>
            <w:tcW w:w="4644" w:type="dxa"/>
            <w:vMerge/>
            <w:shd w:val="clear" w:color="auto" w:fill="auto"/>
            <w:vAlign w:val="center"/>
          </w:tcPr>
          <w:p>
            <w:pPr>
              <w:spacing w:before="60" w:after="60"/>
              <w:jc w:val="right"/>
              <w:rPr>
                <w:rFonts w:eastAsia="Times New Roman"/>
                <w:noProof/>
                <w:spacing w:val="-6"/>
                <w:sz w:val="22"/>
              </w:rPr>
            </w:pPr>
          </w:p>
        </w:tc>
        <w:tc>
          <w:tcPr>
            <w:tcW w:w="3096" w:type="dxa"/>
            <w:gridSpan w:val="2"/>
            <w:vMerge/>
            <w:shd w:val="clear" w:color="auto" w:fill="D9D9D9"/>
            <w:vAlign w:val="center"/>
          </w:tcPr>
          <w:p>
            <w:pPr>
              <w:spacing w:before="60" w:after="60"/>
              <w:jc w:val="center"/>
              <w:rPr>
                <w:rFonts w:eastAsia="Times New Roman"/>
                <w:noProof/>
                <w:spacing w:val="-6"/>
                <w:sz w:val="22"/>
              </w:rPr>
            </w:pPr>
          </w:p>
        </w:tc>
        <w:tc>
          <w:tcPr>
            <w:tcW w:w="1548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eastAsia="Times New Roman"/>
                <w:noProof/>
                <w:spacing w:val="-6"/>
                <w:sz w:val="22"/>
              </w:rPr>
            </w:pPr>
            <w:r>
              <w:rPr>
                <w:noProof/>
                <w:spacing w:val="-6"/>
                <w:sz w:val="22"/>
              </w:rPr>
              <w:t>(</w:t>
            </w:r>
            <w:r>
              <w:rPr>
                <w:noProof/>
                <w:spacing w:val="-6"/>
              </w:rPr>
              <w:t>65,28 </w:t>
            </w:r>
            <w:r>
              <w:rPr>
                <w:noProof/>
                <w:spacing w:val="-6"/>
                <w:sz w:val="22"/>
              </w:rPr>
              <w:t>%)</w:t>
            </w:r>
          </w:p>
        </w:tc>
      </w:tr>
      <w:tr>
        <w:tc>
          <w:tcPr>
            <w:tcW w:w="9288" w:type="dxa"/>
            <w:gridSpan w:val="4"/>
            <w:shd w:val="clear" w:color="auto" w:fill="auto"/>
            <w:vAlign w:val="center"/>
          </w:tcPr>
          <w:p>
            <w:pPr>
              <w:spacing w:before="60" w:after="60"/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Помощи и стимули (действия по член 7, параграф 1, буква б) от Регламента за ЕФПГ)</w:t>
            </w:r>
          </w:p>
        </w:tc>
      </w:tr>
      <w:tr>
        <w:trPr>
          <w:trHeight w:val="802"/>
        </w:trPr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60" w:after="60"/>
              <w:jc w:val="left"/>
              <w:rPr>
                <w:noProof/>
              </w:rPr>
            </w:pPr>
            <w:r>
              <w:rPr>
                <w:noProof/>
              </w:rPr>
              <w:t xml:space="preserve">Помощи за търсене на работа (Επιδόματα αναζήτησης εργασίας)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</w:rPr>
              <w:t>725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</w:rPr>
              <w:t>1 000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</w:rPr>
              <w:t>725 000</w:t>
            </w:r>
          </w:p>
        </w:tc>
      </w:tr>
      <w:tr>
        <w:trPr>
          <w:trHeight w:val="802"/>
        </w:trPr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60" w:after="60"/>
              <w:jc w:val="left"/>
              <w:rPr>
                <w:noProof/>
                <w:spacing w:val="-6"/>
              </w:rPr>
            </w:pPr>
            <w:r>
              <w:rPr>
                <w:noProof/>
                <w:spacing w:val="-6"/>
              </w:rPr>
              <w:t xml:space="preserve">Помощи за обучение (Επιδόματα Κατάρτισης)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60" w:after="60"/>
              <w:jc w:val="center"/>
              <w:rPr>
                <w:noProof/>
                <w:spacing w:val="-6"/>
              </w:rPr>
            </w:pPr>
            <w:r>
              <w:rPr>
                <w:noProof/>
                <w:spacing w:val="-6"/>
              </w:rPr>
              <w:t>680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60" w:after="60"/>
              <w:jc w:val="center"/>
              <w:rPr>
                <w:noProof/>
                <w:spacing w:val="-6"/>
              </w:rPr>
            </w:pPr>
            <w:r>
              <w:rPr>
                <w:noProof/>
                <w:spacing w:val="-6"/>
              </w:rPr>
              <w:t>1 000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spacing w:before="60" w:after="60"/>
              <w:jc w:val="center"/>
              <w:rPr>
                <w:noProof/>
                <w:spacing w:val="-6"/>
              </w:rPr>
            </w:pPr>
            <w:r>
              <w:rPr>
                <w:noProof/>
                <w:spacing w:val="-6"/>
              </w:rPr>
              <w:t>680 000</w:t>
            </w:r>
          </w:p>
        </w:tc>
      </w:tr>
      <w:tr>
        <w:trPr>
          <w:trHeight w:val="802"/>
        </w:trPr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60" w:after="60"/>
              <w:jc w:val="left"/>
              <w:rPr>
                <w:noProof/>
              </w:rPr>
            </w:pPr>
            <w:r>
              <w:rPr>
                <w:noProof/>
              </w:rPr>
              <w:t xml:space="preserve">Субсидия за създаване на работни места (Επιδότηση θέσεων εργασίας)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</w:rPr>
              <w:t>3 900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</w:rPr>
              <w:t>234 000</w:t>
            </w:r>
          </w:p>
        </w:tc>
      </w:tr>
      <w:tr>
        <w:trPr>
          <w:trHeight w:val="203"/>
        </w:trPr>
        <w:tc>
          <w:tcPr>
            <w:tcW w:w="4644" w:type="dxa"/>
            <w:vMerge w:val="restart"/>
            <w:shd w:val="clear" w:color="auto" w:fill="auto"/>
            <w:vAlign w:val="center"/>
          </w:tcPr>
          <w:p>
            <w:pPr>
              <w:spacing w:before="60" w:after="60"/>
              <w:jc w:val="right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Междинен сбор (б):</w:t>
            </w:r>
          </w:p>
          <w:p>
            <w:pPr>
              <w:spacing w:before="60" w:after="60"/>
              <w:jc w:val="right"/>
              <w:rPr>
                <w:rFonts w:eastAsia="Times New Roman"/>
                <w:noProof/>
                <w:spacing w:val="-6"/>
                <w:sz w:val="22"/>
              </w:rPr>
            </w:pPr>
            <w:r>
              <w:rPr>
                <w:noProof/>
                <w:sz w:val="22"/>
              </w:rPr>
              <w:t>Процент от пакета от персонализирани услуги</w:t>
            </w:r>
            <w:r>
              <w:rPr>
                <w:noProof/>
                <w:spacing w:val="-6"/>
                <w:sz w:val="22"/>
              </w:rPr>
              <w:t>:</w:t>
            </w:r>
          </w:p>
        </w:tc>
        <w:tc>
          <w:tcPr>
            <w:tcW w:w="3096" w:type="dxa"/>
            <w:gridSpan w:val="2"/>
            <w:vMerge w:val="restart"/>
            <w:shd w:val="clear" w:color="auto" w:fill="D9D9D9"/>
            <w:vAlign w:val="center"/>
          </w:tcPr>
          <w:p>
            <w:pPr>
              <w:spacing w:before="60" w:after="60"/>
              <w:jc w:val="center"/>
              <w:rPr>
                <w:rFonts w:eastAsia="Times New Roman"/>
                <w:noProof/>
                <w:spacing w:val="-6"/>
                <w:sz w:val="22"/>
              </w:rPr>
            </w:pPr>
            <w:r>
              <w:rPr>
                <w:noProof/>
                <w:spacing w:val="-6"/>
                <w:sz w:val="22"/>
              </w:rPr>
              <w:t>–</w:t>
            </w:r>
          </w:p>
        </w:tc>
        <w:tc>
          <w:tcPr>
            <w:tcW w:w="1548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eastAsia="Times New Roman"/>
                <w:noProof/>
                <w:spacing w:val="-6"/>
                <w:sz w:val="22"/>
              </w:rPr>
            </w:pPr>
            <w:r>
              <w:rPr>
                <w:noProof/>
                <w:spacing w:val="-6"/>
              </w:rPr>
              <w:t>1 639 000</w:t>
            </w:r>
          </w:p>
        </w:tc>
      </w:tr>
      <w:tr>
        <w:trPr>
          <w:trHeight w:val="202"/>
        </w:trPr>
        <w:tc>
          <w:tcPr>
            <w:tcW w:w="4644" w:type="dxa"/>
            <w:vMerge/>
            <w:shd w:val="clear" w:color="auto" w:fill="auto"/>
            <w:vAlign w:val="center"/>
          </w:tcPr>
          <w:p>
            <w:pPr>
              <w:spacing w:before="60" w:after="60"/>
              <w:jc w:val="right"/>
              <w:rPr>
                <w:rFonts w:eastAsia="Times New Roman"/>
                <w:noProof/>
                <w:spacing w:val="-6"/>
                <w:sz w:val="22"/>
              </w:rPr>
            </w:pPr>
          </w:p>
        </w:tc>
        <w:tc>
          <w:tcPr>
            <w:tcW w:w="3096" w:type="dxa"/>
            <w:gridSpan w:val="2"/>
            <w:vMerge/>
            <w:shd w:val="clear" w:color="auto" w:fill="D9D9D9"/>
            <w:vAlign w:val="center"/>
          </w:tcPr>
          <w:p>
            <w:pPr>
              <w:spacing w:before="60" w:after="60"/>
              <w:jc w:val="center"/>
              <w:rPr>
                <w:rFonts w:eastAsia="Times New Roman"/>
                <w:noProof/>
                <w:spacing w:val="-6"/>
                <w:sz w:val="22"/>
              </w:rPr>
            </w:pPr>
          </w:p>
        </w:tc>
        <w:tc>
          <w:tcPr>
            <w:tcW w:w="1548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eastAsia="Times New Roman"/>
                <w:noProof/>
                <w:spacing w:val="-6"/>
                <w:sz w:val="22"/>
              </w:rPr>
            </w:pPr>
            <w:r>
              <w:rPr>
                <w:noProof/>
                <w:spacing w:val="-6"/>
                <w:sz w:val="22"/>
              </w:rPr>
              <w:t>(</w:t>
            </w:r>
            <w:r>
              <w:rPr>
                <w:noProof/>
                <w:spacing w:val="-6"/>
              </w:rPr>
              <w:t>34,72 </w:t>
            </w:r>
            <w:r>
              <w:rPr>
                <w:noProof/>
                <w:spacing w:val="-6"/>
                <w:sz w:val="22"/>
              </w:rPr>
              <w:t>%)</w:t>
            </w:r>
          </w:p>
        </w:tc>
      </w:tr>
      <w:tr>
        <w:tc>
          <w:tcPr>
            <w:tcW w:w="9288" w:type="dxa"/>
            <w:gridSpan w:val="4"/>
            <w:shd w:val="clear" w:color="auto" w:fill="auto"/>
            <w:vAlign w:val="center"/>
          </w:tcPr>
          <w:p>
            <w:pPr>
              <w:spacing w:before="60" w:after="60"/>
              <w:jc w:val="left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 xml:space="preserve"> Действия по член 7, параграф 4 от Регламента за ЕФПГ</w:t>
            </w:r>
          </w:p>
        </w:tc>
      </w:tr>
      <w:tr>
        <w:tc>
          <w:tcPr>
            <w:tcW w:w="4644" w:type="dxa"/>
            <w:shd w:val="clear" w:color="auto" w:fill="auto"/>
          </w:tcPr>
          <w:p>
            <w:pPr>
              <w:spacing w:before="60" w:after="60"/>
              <w:ind w:left="284"/>
              <w:jc w:val="left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1. Подготвителни дейности</w:t>
            </w:r>
          </w:p>
        </w:tc>
        <w:tc>
          <w:tcPr>
            <w:tcW w:w="3096" w:type="dxa"/>
            <w:gridSpan w:val="2"/>
            <w:shd w:val="clear" w:color="auto" w:fill="D9D9D9"/>
            <w:vAlign w:val="center"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–</w:t>
            </w:r>
          </w:p>
        </w:tc>
        <w:tc>
          <w:tcPr>
            <w:tcW w:w="1548" w:type="dxa"/>
            <w:shd w:val="clear" w:color="auto" w:fill="auto"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</w:rPr>
              <w:t>25 000</w:t>
            </w:r>
          </w:p>
        </w:tc>
      </w:tr>
      <w:tr>
        <w:tc>
          <w:tcPr>
            <w:tcW w:w="4644" w:type="dxa"/>
            <w:shd w:val="clear" w:color="auto" w:fill="auto"/>
          </w:tcPr>
          <w:p>
            <w:pPr>
              <w:spacing w:before="60" w:after="60"/>
              <w:ind w:left="284"/>
              <w:jc w:val="left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2. Управление</w:t>
            </w:r>
          </w:p>
        </w:tc>
        <w:tc>
          <w:tcPr>
            <w:tcW w:w="3096" w:type="dxa"/>
            <w:gridSpan w:val="2"/>
            <w:shd w:val="clear" w:color="auto" w:fill="D9D9D9"/>
            <w:vAlign w:val="center"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–</w:t>
            </w:r>
          </w:p>
        </w:tc>
        <w:tc>
          <w:tcPr>
            <w:tcW w:w="1548" w:type="dxa"/>
            <w:shd w:val="clear" w:color="auto" w:fill="auto"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</w:rPr>
              <w:t>90 000</w:t>
            </w:r>
          </w:p>
        </w:tc>
      </w:tr>
      <w:tr>
        <w:tc>
          <w:tcPr>
            <w:tcW w:w="4644" w:type="dxa"/>
            <w:shd w:val="clear" w:color="auto" w:fill="auto"/>
          </w:tcPr>
          <w:p>
            <w:pPr>
              <w:spacing w:before="60" w:after="60"/>
              <w:ind w:left="284"/>
              <w:jc w:val="left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3. Информиране и публичност</w:t>
            </w:r>
          </w:p>
        </w:tc>
        <w:tc>
          <w:tcPr>
            <w:tcW w:w="3096" w:type="dxa"/>
            <w:gridSpan w:val="2"/>
            <w:shd w:val="clear" w:color="auto" w:fill="D9D9D9"/>
            <w:vAlign w:val="center"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–</w:t>
            </w:r>
          </w:p>
        </w:tc>
        <w:tc>
          <w:tcPr>
            <w:tcW w:w="1548" w:type="dxa"/>
            <w:shd w:val="clear" w:color="auto" w:fill="auto"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</w:rPr>
              <w:t>55 000</w:t>
            </w:r>
          </w:p>
        </w:tc>
      </w:tr>
      <w:tr>
        <w:tc>
          <w:tcPr>
            <w:tcW w:w="4644" w:type="dxa"/>
            <w:shd w:val="clear" w:color="auto" w:fill="auto"/>
          </w:tcPr>
          <w:p>
            <w:pPr>
              <w:spacing w:before="60" w:after="60"/>
              <w:ind w:left="284"/>
              <w:jc w:val="left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4. Контрол и докладване</w:t>
            </w:r>
          </w:p>
        </w:tc>
        <w:tc>
          <w:tcPr>
            <w:tcW w:w="3096" w:type="dxa"/>
            <w:gridSpan w:val="2"/>
            <w:shd w:val="clear" w:color="auto" w:fill="D9D9D9"/>
            <w:vAlign w:val="center"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–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</w:rPr>
              <w:t>25 000</w:t>
            </w:r>
          </w:p>
        </w:tc>
      </w:tr>
      <w:tr>
        <w:trPr>
          <w:trHeight w:val="203"/>
        </w:trPr>
        <w:tc>
          <w:tcPr>
            <w:tcW w:w="4644" w:type="dxa"/>
            <w:vMerge w:val="restart"/>
            <w:shd w:val="clear" w:color="auto" w:fill="auto"/>
            <w:vAlign w:val="center"/>
          </w:tcPr>
          <w:p>
            <w:pPr>
              <w:spacing w:before="60" w:after="60"/>
              <w:jc w:val="right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Междинен сбор (в):</w:t>
            </w:r>
          </w:p>
          <w:p>
            <w:pPr>
              <w:spacing w:before="60" w:after="60"/>
              <w:jc w:val="right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Процент от общите разходи:</w:t>
            </w:r>
          </w:p>
        </w:tc>
        <w:tc>
          <w:tcPr>
            <w:tcW w:w="3096" w:type="dxa"/>
            <w:gridSpan w:val="2"/>
            <w:vMerge w:val="restart"/>
            <w:shd w:val="clear" w:color="auto" w:fill="D9D9D9"/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–</w:t>
            </w:r>
          </w:p>
        </w:tc>
        <w:tc>
          <w:tcPr>
            <w:tcW w:w="1548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</w:rPr>
              <w:t>195 000</w:t>
            </w:r>
          </w:p>
        </w:tc>
      </w:tr>
      <w:tr>
        <w:trPr>
          <w:trHeight w:val="202"/>
        </w:trPr>
        <w:tc>
          <w:tcPr>
            <w:tcW w:w="4644" w:type="dxa"/>
            <w:vMerge/>
            <w:shd w:val="clear" w:color="auto" w:fill="auto"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22"/>
              </w:rPr>
            </w:pPr>
          </w:p>
        </w:tc>
        <w:tc>
          <w:tcPr>
            <w:tcW w:w="3096" w:type="dxa"/>
            <w:gridSpan w:val="2"/>
            <w:vMerge/>
            <w:shd w:val="clear" w:color="auto" w:fill="D9D9D9"/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sz w:val="22"/>
              </w:rPr>
            </w:pPr>
          </w:p>
        </w:tc>
        <w:tc>
          <w:tcPr>
            <w:tcW w:w="1548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(</w:t>
            </w:r>
            <w:r>
              <w:rPr>
                <w:noProof/>
              </w:rPr>
              <w:t>3,97 </w:t>
            </w:r>
            <w:r>
              <w:rPr>
                <w:noProof/>
                <w:sz w:val="22"/>
              </w:rPr>
              <w:t>%)</w:t>
            </w:r>
          </w:p>
        </w:tc>
      </w:tr>
      <w:tr>
        <w:tc>
          <w:tcPr>
            <w:tcW w:w="4644" w:type="dxa"/>
            <w:shd w:val="clear" w:color="auto" w:fill="auto"/>
          </w:tcPr>
          <w:p>
            <w:pPr>
              <w:spacing w:before="60" w:after="60"/>
              <w:jc w:val="left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Общо разходи (а + б + в):</w:t>
            </w:r>
          </w:p>
        </w:tc>
        <w:tc>
          <w:tcPr>
            <w:tcW w:w="3096" w:type="dxa"/>
            <w:gridSpan w:val="2"/>
            <w:shd w:val="clear" w:color="auto" w:fill="D9D9D9"/>
            <w:vAlign w:val="center"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–</w:t>
            </w:r>
          </w:p>
        </w:tc>
        <w:tc>
          <w:tcPr>
            <w:tcW w:w="1548" w:type="dxa"/>
            <w:shd w:val="clear" w:color="auto" w:fill="auto"/>
          </w:tcPr>
          <w:p>
            <w:pPr>
              <w:spacing w:before="60" w:after="60"/>
              <w:jc w:val="center"/>
              <w:rPr>
                <w:noProof/>
                <w:sz w:val="22"/>
              </w:rPr>
            </w:pPr>
            <w:r>
              <w:rPr>
                <w:noProof/>
              </w:rPr>
              <w:t>4 915 250</w:t>
            </w:r>
          </w:p>
        </w:tc>
      </w:tr>
      <w:tr>
        <w:tc>
          <w:tcPr>
            <w:tcW w:w="4644" w:type="dxa"/>
            <w:shd w:val="clear" w:color="auto" w:fill="auto"/>
          </w:tcPr>
          <w:p>
            <w:pPr>
              <w:spacing w:before="60" w:after="60"/>
              <w:jc w:val="left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Финансово участие от ЕФПГ (60 % от общия размер на разходите)</w:t>
            </w:r>
          </w:p>
        </w:tc>
        <w:tc>
          <w:tcPr>
            <w:tcW w:w="3096" w:type="dxa"/>
            <w:gridSpan w:val="2"/>
            <w:shd w:val="clear" w:color="auto" w:fill="D9D9D9"/>
            <w:vAlign w:val="center"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  <w:sz w:val="22"/>
              </w:rPr>
              <w:t>–</w:t>
            </w:r>
          </w:p>
        </w:tc>
        <w:tc>
          <w:tcPr>
            <w:tcW w:w="1548" w:type="dxa"/>
            <w:shd w:val="clear" w:color="auto" w:fill="auto"/>
          </w:tcPr>
          <w:p>
            <w:pPr>
              <w:spacing w:before="60" w:after="60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noProof/>
              </w:rPr>
              <w:t>2 949 150</w:t>
            </w:r>
          </w:p>
        </w:tc>
      </w:tr>
    </w:tbl>
    <w:p>
      <w:pPr>
        <w:pStyle w:val="ManualNumPar1"/>
        <w:rPr>
          <w:noProof/>
          <w:szCs w:val="20"/>
        </w:rPr>
      </w:pPr>
      <w:r>
        <w:t>34.</w:t>
      </w:r>
      <w:r>
        <w:tab/>
      </w:r>
      <w:r>
        <w:rPr>
          <w:noProof/>
        </w:rPr>
        <w:t>Разходите за дейностите, определени в горната таблица като дейности по член 7, параграф 1, буква б) от Регламента за ЕФПГ, не надвишават 35 % от общия размер на разходите за съгласувания пакет от персонализирани услуги. Гърция потвърди, че тези действия са обвързани с активното участие на бенефициерите от целевата група в дейности по търсене на работа или обучение.</w:t>
      </w:r>
    </w:p>
    <w:p>
      <w:pPr>
        <w:pStyle w:val="ManualNumPar1"/>
        <w:rPr>
          <w:noProof/>
        </w:rPr>
      </w:pPr>
      <w:r>
        <w:t>35.</w:t>
      </w:r>
      <w:r>
        <w:tab/>
      </w:r>
      <w:r>
        <w:rPr>
          <w:noProof/>
        </w:rPr>
        <w:t>Гърция потвърди, че разходите за инвестиции за самостоятелна заетост, започване на стопанска дейност и придобиване от служителите няма да надхвърлят сумата от 15 000 EUR за бенефициер.</w:t>
      </w:r>
    </w:p>
    <w:p>
      <w:pPr>
        <w:pStyle w:val="ManualHeading3"/>
        <w:rPr>
          <w:noProof/>
        </w:rPr>
      </w:pPr>
      <w:r>
        <w:rPr>
          <w:noProof/>
        </w:rPr>
        <w:t>Период на допустимост на разходите</w:t>
      </w:r>
    </w:p>
    <w:p>
      <w:pPr>
        <w:pStyle w:val="ManualNumPar1"/>
        <w:rPr>
          <w:noProof/>
        </w:rPr>
      </w:pPr>
      <w:r>
        <w:t>36.</w:t>
      </w:r>
      <w:r>
        <w:tab/>
      </w:r>
      <w:r>
        <w:rPr>
          <w:noProof/>
        </w:rPr>
        <w:t>На 13 юли 2017 г. Гърция започна да предоставя персонализираните услуги на бенефициерите от целевата група. По тази причина разходите за действията са допустими за предоставяне на финансово участие от ЕФПГ в периода от 13 юли 2017 г. до 13 юли 2019 г.</w:t>
      </w:r>
    </w:p>
    <w:p>
      <w:pPr>
        <w:pStyle w:val="ManualNumPar1"/>
        <w:rPr>
          <w:noProof/>
        </w:rPr>
      </w:pPr>
      <w:r>
        <w:t>37.</w:t>
      </w:r>
      <w:r>
        <w:tab/>
      </w:r>
      <w:r>
        <w:rPr>
          <w:noProof/>
        </w:rPr>
        <w:t xml:space="preserve">Гърция започна да извършва административни разходи по прилагането на ЕФПГ на 5 юни 2017 г. По тази причина разходите за дейности по подготовка, управление, информация, публичност, контрол и докладване ще бъдат допустими за финансово участие от ЕФПГ в периода от 5 юни 2017 г. до 13 януари 2020 г. </w:t>
      </w:r>
    </w:p>
    <w:p>
      <w:pPr>
        <w:pStyle w:val="ManualHeading3"/>
        <w:rPr>
          <w:noProof/>
        </w:rPr>
      </w:pPr>
      <w:r>
        <w:rPr>
          <w:noProof/>
        </w:rPr>
        <w:t>Допълване с действия, финансирани с национални средства или със средства от Съюза</w:t>
      </w:r>
    </w:p>
    <w:p>
      <w:pPr>
        <w:pStyle w:val="ManualNumPar1"/>
        <w:rPr>
          <w:noProof/>
        </w:rPr>
      </w:pPr>
      <w:r>
        <w:t>38.</w:t>
      </w:r>
      <w:r>
        <w:tab/>
      </w:r>
      <w:r>
        <w:rPr>
          <w:noProof/>
        </w:rPr>
        <w:t>Източникът на национално предварително финансиране или национално съфинансиране е държавната инвестиционна програма на гръцкото министерство на икономиката и развитието.</w:t>
      </w:r>
    </w:p>
    <w:p>
      <w:pPr>
        <w:pStyle w:val="ManualNumPar1"/>
        <w:rPr>
          <w:noProof/>
        </w:rPr>
      </w:pPr>
      <w:r>
        <w:t>39.</w:t>
      </w:r>
      <w:r>
        <w:tab/>
      </w:r>
      <w:r>
        <w:rPr>
          <w:noProof/>
        </w:rPr>
        <w:t>Гърция потвърди, че описаните по-горе мерки, за които са отпуснати финансови средства по линия на ЕФПГ, няма да получат паралелно с това финансова подкрепа и от други финансови инструменти на Съюза.</w:t>
      </w:r>
    </w:p>
    <w:p>
      <w:pPr>
        <w:pStyle w:val="ManualHeading3"/>
        <w:tabs>
          <w:tab w:val="clear" w:pos="850"/>
          <w:tab w:val="left" w:pos="0"/>
        </w:tabs>
        <w:ind w:left="0" w:firstLine="0"/>
        <w:rPr>
          <w:noProof/>
          <w:u w:val="single"/>
        </w:rPr>
      </w:pPr>
      <w:r>
        <w:rPr>
          <w:noProof/>
        </w:rPr>
        <w:t>Процедури за провеждане на консултации с избраните бенефициери, с техни представители или със социалните партньори, както и със съответните органи на местно и регионално равнище</w:t>
      </w:r>
    </w:p>
    <w:p>
      <w:pPr>
        <w:pStyle w:val="ManualNumPar1"/>
        <w:rPr>
          <w:noProof/>
        </w:rPr>
      </w:pPr>
      <w:r>
        <w:t>40.</w:t>
      </w:r>
      <w:r>
        <w:tab/>
      </w:r>
      <w:r>
        <w:rPr>
          <w:noProof/>
        </w:rPr>
        <w:t xml:space="preserve">Гърция посочи, че съгласуваният пакет от персонализирани услуги е бил изготвен след консултации с </w:t>
      </w:r>
      <w:r>
        <w:rPr>
          <w:noProof/>
          <w:color w:val="000000"/>
        </w:rPr>
        <w:t>генералния секретар и представители на Института по труда на генералната конфедерация на гръцките служители</w:t>
      </w:r>
      <w:r>
        <w:rPr>
          <w:noProof/>
        </w:rPr>
        <w:t xml:space="preserve"> (GSEE).</w:t>
      </w:r>
    </w:p>
    <w:p>
      <w:pPr>
        <w:pStyle w:val="ManualNumPar1"/>
        <w:rPr>
          <w:noProof/>
        </w:rPr>
      </w:pPr>
      <w:r>
        <w:t>41.</w:t>
      </w:r>
      <w:r>
        <w:tab/>
      </w:r>
      <w:r>
        <w:rPr>
          <w:noProof/>
        </w:rPr>
        <w:t xml:space="preserve">През януари 2017 г. бяха проведени </w:t>
      </w:r>
      <w:r>
        <w:rPr>
          <w:noProof/>
          <w:color w:val="000000"/>
        </w:rPr>
        <w:t xml:space="preserve">шест </w:t>
      </w:r>
      <w:r>
        <w:rPr>
          <w:noProof/>
        </w:rPr>
        <w:t>срещи в кабинета на генералния секретар на Министерството на труда; три от тези срещи бяха между генералния секретар и представителите на GSEE, а другите три — между генералния секретар и координационния комитет на съкратените работници.</w:t>
      </w:r>
    </w:p>
    <w:p>
      <w:pPr>
        <w:pStyle w:val="ManualHeading2"/>
        <w:rPr>
          <w:noProof/>
        </w:rPr>
      </w:pPr>
      <w:r>
        <w:rPr>
          <w:noProof/>
        </w:rPr>
        <w:t>Система за управление и контрол</w:t>
      </w:r>
    </w:p>
    <w:p>
      <w:pPr>
        <w:pStyle w:val="ManualNumPar1"/>
        <w:rPr>
          <w:noProof/>
        </w:rPr>
      </w:pPr>
      <w:r>
        <w:t>42.</w:t>
      </w:r>
      <w:r>
        <w:tab/>
      </w:r>
      <w:r>
        <w:rPr>
          <w:noProof/>
        </w:rPr>
        <w:t>В заявлението е описана системата за управление и контрол, в която са определени отговорностите на съответните органи. Гърция уведоми Комисията, че финансовото участие ще бъде управлявано и контролирано от същите органи, които управляват и контролират финансирането по линия на Европейския социален фонд (ЕСФ) в Гърция. Оперативната група Национална стратегическа референтна рамка (НСРР) на отдела по заетостта и социалната икономика на Министерство на труда, социалната сигурност и социалната солидарност ще действа като управляващ орган, EDEL (Комитет за финансов одит) — като одитен орган, а Специалната служба за сертифициране и проверка на съфинансираните програми — като сертифициращ орган.</w:t>
      </w:r>
    </w:p>
    <w:p>
      <w:pPr>
        <w:pStyle w:val="ManualHeading2"/>
        <w:rPr>
          <w:noProof/>
        </w:rPr>
      </w:pPr>
      <w:r>
        <w:rPr>
          <w:noProof/>
        </w:rPr>
        <w:t>Ангажименти, поети от засегнатата държава членка</w:t>
      </w:r>
    </w:p>
    <w:p>
      <w:pPr>
        <w:pStyle w:val="ManualNumPar1"/>
        <w:rPr>
          <w:noProof/>
        </w:rPr>
      </w:pPr>
      <w:r>
        <w:t>43.</w:t>
      </w:r>
      <w:r>
        <w:tab/>
      </w:r>
      <w:r>
        <w:rPr>
          <w:noProof/>
        </w:rPr>
        <w:t xml:space="preserve">Гърция предостави всички необходими гаранции за това, че: </w:t>
      </w:r>
    </w:p>
    <w:p>
      <w:pPr>
        <w:pStyle w:val="Tiret1"/>
        <w:numPr>
          <w:ilvl w:val="0"/>
          <w:numId w:val="13"/>
        </w:numPr>
        <w:rPr>
          <w:noProof/>
        </w:rPr>
      </w:pPr>
      <w:r>
        <w:rPr>
          <w:noProof/>
        </w:rPr>
        <w:t>при достъпа до предложените действия и тяхното изпълнение ще се спазват принципите на равнопоставеност и недискриминация;</w:t>
      </w:r>
    </w:p>
    <w:p>
      <w:pPr>
        <w:pStyle w:val="Tiret1"/>
        <w:numPr>
          <w:ilvl w:val="0"/>
          <w:numId w:val="13"/>
        </w:numPr>
        <w:rPr>
          <w:noProof/>
        </w:rPr>
      </w:pPr>
      <w:r>
        <w:rPr>
          <w:noProof/>
        </w:rPr>
        <w:t>са спазени изискванията, определени в националното законодателство и в законодателството на ЕС относно колективните съкращения;</w:t>
      </w:r>
    </w:p>
    <w:p>
      <w:pPr>
        <w:pStyle w:val="Tiret1"/>
        <w:numPr>
          <w:ilvl w:val="0"/>
          <w:numId w:val="13"/>
        </w:numPr>
        <w:rPr>
          <w:noProof/>
        </w:rPr>
      </w:pPr>
      <w:r>
        <w:rPr>
          <w:noProof/>
        </w:rPr>
        <w:t>когато дружеството, извършило съкращенията, е продължило дейността си след освобождаването на работниците, то е спазило своите правни задължения във връзка със съкращенията и е предприело съответните действия във връзка с работниците си;</w:t>
      </w:r>
    </w:p>
    <w:p>
      <w:pPr>
        <w:pStyle w:val="Tiret1"/>
        <w:numPr>
          <w:ilvl w:val="0"/>
          <w:numId w:val="13"/>
        </w:numPr>
        <w:rPr>
          <w:noProof/>
        </w:rPr>
      </w:pPr>
      <w:r>
        <w:rPr>
          <w:noProof/>
        </w:rPr>
        <w:t>за предложените действия няма да бъде получена финансова помощ от други фондове или финансови инструменти на Съюза и няма да бъде допуснато дублиране на финансирането;</w:t>
      </w:r>
    </w:p>
    <w:p>
      <w:pPr>
        <w:pStyle w:val="Tiret1"/>
        <w:numPr>
          <w:ilvl w:val="0"/>
          <w:numId w:val="13"/>
        </w:numPr>
        <w:rPr>
          <w:noProof/>
        </w:rPr>
      </w:pPr>
      <w:r>
        <w:rPr>
          <w:noProof/>
        </w:rPr>
        <w:t>предложените действия ще допълват действия, финансирани от структурните фондове;</w:t>
      </w:r>
    </w:p>
    <w:p>
      <w:pPr>
        <w:pStyle w:val="Tiret1"/>
        <w:numPr>
          <w:ilvl w:val="0"/>
          <w:numId w:val="13"/>
        </w:numPr>
        <w:rPr>
          <w:noProof/>
        </w:rPr>
      </w:pPr>
      <w:r>
        <w:rPr>
          <w:noProof/>
        </w:rPr>
        <w:t>финансовото участие от ЕФПГ ще бъде съобразено с процедурните и материалноправните разпоредби на Съюза относно държавните помощи.</w:t>
      </w:r>
    </w:p>
    <w:p>
      <w:pPr>
        <w:pStyle w:val="ManualHeading1"/>
        <w:rPr>
          <w:noProof/>
        </w:rPr>
      </w:pPr>
      <w:r>
        <w:rPr>
          <w:noProof/>
        </w:rPr>
        <w:t>ОТРАЖЕНИЕ ВЪРХУ БЮДЖЕТА</w:t>
      </w:r>
    </w:p>
    <w:p>
      <w:pPr>
        <w:pStyle w:val="ManualHeading2"/>
        <w:rPr>
          <w:noProof/>
        </w:rPr>
      </w:pPr>
      <w:r>
        <w:rPr>
          <w:noProof/>
        </w:rPr>
        <w:t>Бюджетно предложение</w:t>
      </w:r>
    </w:p>
    <w:p>
      <w:pPr>
        <w:pStyle w:val="ManualNumPar1"/>
        <w:rPr>
          <w:noProof/>
        </w:rPr>
      </w:pPr>
      <w:r>
        <w:t>44.</w:t>
      </w:r>
      <w:r>
        <w:tab/>
      </w:r>
      <w:r>
        <w:rPr>
          <w:noProof/>
        </w:rPr>
        <w:t>В съответствие с предвиденото в член 12 от Регламент (ЕС, Евратом) № 1311/2013 на Съвета от 2 декември 2013 г. за определяне на многогодишната финансова рамка за годините 2014—2020</w:t>
      </w:r>
      <w:r>
        <w:rPr>
          <w:rStyle w:val="FootnoteReference"/>
          <w:noProof/>
        </w:rPr>
        <w:footnoteReference w:id="31"/>
      </w:r>
      <w:r>
        <w:rPr>
          <w:noProof/>
        </w:rPr>
        <w:t xml:space="preserve"> ЕФПГ не може да надхвърля максимален годишен размер от 150 милиона евро (по цени от 2011 г.).</w:t>
      </w:r>
    </w:p>
    <w:p>
      <w:pPr>
        <w:pStyle w:val="ManualNumPar1"/>
        <w:rPr>
          <w:rFonts w:eastAsia="Calibri"/>
          <w:noProof/>
        </w:rPr>
      </w:pPr>
      <w:r>
        <w:t>45.</w:t>
      </w:r>
      <w:r>
        <w:tab/>
      </w:r>
      <w:r>
        <w:rPr>
          <w:noProof/>
        </w:rPr>
        <w:t>След като проучи заявлението с оглед на условията, определени в член 13, параграф 1 от Регламента за ЕФПГ, и като отчете броя на бенефициерите от целевата група, предложените действия и прогнозните разходи, Комисията предлага да бъдат мобилизирани средства от ЕФПГ в размер на 2 949 150 EUR, което представлява 60 % от общите разходи за предложените действия, за предоставяне на финансово участие по заявлението.</w:t>
      </w:r>
    </w:p>
    <w:p>
      <w:pPr>
        <w:pStyle w:val="ManualNumPar1"/>
        <w:rPr>
          <w:rFonts w:eastAsia="Times New Roman"/>
          <w:noProof/>
        </w:rPr>
      </w:pPr>
      <w:r>
        <w:t>46.</w:t>
      </w:r>
      <w:r>
        <w:tab/>
      </w:r>
      <w:r>
        <w:rPr>
          <w:noProof/>
        </w:rPr>
        <w:t>Предложеното решение за мобилизиране на средства от ЕФПГ ще бъде взето съвместно от Европейския парламент и Съвета в съответствие с предвиденото в точка 13 от Междуинституционалното споразумение от 2 декември 2013 г. между Европейския парламент, Съвета и Комисията относно бюджетната дисциплина, сътрудничеството по бюджетни въпроси и доброто финансово управление</w:t>
      </w:r>
      <w:r>
        <w:rPr>
          <w:rStyle w:val="FootnoteReference"/>
          <w:noProof/>
          <w:spacing w:val="-4"/>
        </w:rPr>
        <w:footnoteReference w:id="32"/>
      </w:r>
      <w:r>
        <w:rPr>
          <w:noProof/>
        </w:rPr>
        <w:t>.</w:t>
      </w:r>
    </w:p>
    <w:p>
      <w:pPr>
        <w:pStyle w:val="ManualHeading2"/>
        <w:rPr>
          <w:noProof/>
        </w:rPr>
      </w:pPr>
      <w:r>
        <w:rPr>
          <w:noProof/>
        </w:rPr>
        <w:t>Свързани актове</w:t>
      </w:r>
    </w:p>
    <w:p>
      <w:pPr>
        <w:pStyle w:val="ManualNumPar1"/>
        <w:rPr>
          <w:noProof/>
        </w:rPr>
      </w:pPr>
      <w:r>
        <w:t>47.</w:t>
      </w:r>
      <w:r>
        <w:tab/>
      </w:r>
      <w:r>
        <w:rPr>
          <w:noProof/>
        </w:rPr>
        <w:t>Едновременно с представянето на настоящото предложение за решение за мобилизиране на средства от ЕФПГ Комисията ще представи на Европейския парламент и на Съвета предложение за прехвърляне към съответния бюджетен ред на сумата от 2 949 150 EUR.</w:t>
      </w:r>
    </w:p>
    <w:p>
      <w:pPr>
        <w:pStyle w:val="ManualNumPar1"/>
        <w:rPr>
          <w:noProof/>
        </w:rPr>
      </w:pPr>
      <w:r>
        <w:t>48.</w:t>
      </w:r>
      <w:r>
        <w:tab/>
      </w:r>
      <w:r>
        <w:rPr>
          <w:noProof/>
        </w:rPr>
        <w:t>Едновременно с приемането на настоящото предложение за решение за мобилизиране на средства от ЕФПГ Комисията ще приеме решение за предоставяне на финансово участие посредством акт за изпълнение, който ще влезе в сила на датата, на която Европейският парламент и Съветът приемат предложеното решение за мобилизиране на средства от ЕФПГ.</w:t>
      </w:r>
    </w:p>
    <w:p>
      <w:pPr>
        <w:rPr>
          <w:noProof/>
        </w:rPr>
        <w:sectPr>
          <w:footerReference w:type="default" r:id="rId12"/>
          <w:footerReference w:type="first" r:id="rId13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Statut"/>
        <w:rPr>
          <w:noProof/>
        </w:rPr>
      </w:pPr>
      <w:r>
        <w:rPr>
          <w:noProof/>
        </w:rPr>
        <w:t>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РЕШЕНИЕ НА ЕВРОПЕЙСКИЯ ПАРЛАМЕНТ И НА СЪВЕТА</w:t>
      </w:r>
    </w:p>
    <w:p>
      <w:pPr>
        <w:pStyle w:val="Titreobjet"/>
        <w:rPr>
          <w:noProof/>
        </w:rPr>
      </w:pPr>
      <w:r>
        <w:rPr>
          <w:noProof/>
        </w:rPr>
        <w:t>за мобилизиране на средства от Европейския фонд за приспособяване към глобализацията във връзка със</w:t>
      </w:r>
      <w:r>
        <w:rPr>
          <w:noProof/>
        </w:rPr>
        <w:br/>
        <w:t>заявление от Гърция — EGF/2017/003 GR/Attica retail</w:t>
      </w:r>
    </w:p>
    <w:p>
      <w:pPr>
        <w:pStyle w:val="Institutionquiagit"/>
        <w:rPr>
          <w:noProof/>
        </w:rPr>
      </w:pPr>
      <w:r>
        <w:rPr>
          <w:noProof/>
        </w:rPr>
        <w:t>ЕВРОПЕЙСКИЯТ ПАРЛАМЕНТ И СЪВЕТЪТ НА ЕВРОПЕЙСКИЯ СЪЮЗ,</w:t>
      </w:r>
    </w:p>
    <w:p>
      <w:pPr>
        <w:rPr>
          <w:noProof/>
        </w:rPr>
      </w:pPr>
      <w:r>
        <w:rPr>
          <w:noProof/>
        </w:rPr>
        <w:t>като взеха предвид Договора за функционирането на Европейския съюз,</w:t>
      </w:r>
    </w:p>
    <w:p>
      <w:pPr>
        <w:rPr>
          <w:noProof/>
        </w:rPr>
      </w:pPr>
      <w:r>
        <w:rPr>
          <w:noProof/>
        </w:rPr>
        <w:t>като взеха предвид Регламент (EС) № 1309/2013 на Европейския парламент и на Съвета от 17 декември 2013 г. относно Европейския фонд за приспособяване към глобализацията (2014—2020 г.) и за отмяна на Регламент (ЕО) № 1927/2006</w:t>
      </w:r>
      <w:r>
        <w:rPr>
          <w:rStyle w:val="FootnoteReference"/>
          <w:noProof/>
        </w:rPr>
        <w:footnoteReference w:id="33"/>
      </w:r>
      <w:r>
        <w:rPr>
          <w:noProof/>
        </w:rPr>
        <w:t>, и по-специално член 15, параграф 4 от него,</w:t>
      </w:r>
    </w:p>
    <w:p>
      <w:pPr>
        <w:rPr>
          <w:noProof/>
        </w:rPr>
      </w:pPr>
      <w:r>
        <w:rPr>
          <w:noProof/>
        </w:rPr>
        <w:t>като взеха предвид Междуинституционалното споразумение от 2 декември 2013 г. между Европейския парламент, Съвета и Комисията относно бюджетната дисциплина, сътрудничеството по бюджетни въпроси и доброто финансово управление</w:t>
      </w:r>
      <w:r>
        <w:rPr>
          <w:rStyle w:val="FootnoteReference"/>
          <w:noProof/>
        </w:rPr>
        <w:footnoteReference w:id="34"/>
      </w:r>
      <w:r>
        <w:rPr>
          <w:noProof/>
        </w:rPr>
        <w:t>, и по-специално точка 13 от него,</w:t>
      </w:r>
    </w:p>
    <w:p>
      <w:pPr>
        <w:rPr>
          <w:noProof/>
        </w:rPr>
      </w:pPr>
      <w:r>
        <w:rPr>
          <w:noProof/>
        </w:rPr>
        <w:t>като взеха предвид предложението на Европейската комисия,</w:t>
      </w:r>
    </w:p>
    <w:p>
      <w:pPr>
        <w:rPr>
          <w:noProof/>
        </w:rPr>
      </w:pPr>
      <w:r>
        <w:rPr>
          <w:noProof/>
        </w:rPr>
        <w:t>като имат предвид, че:</w:t>
      </w:r>
    </w:p>
    <w:p>
      <w:pPr>
        <w:pStyle w:val="ManualConsidrant"/>
        <w:rPr>
          <w:noProof/>
        </w:rPr>
      </w:pPr>
      <w:r>
        <w:t>(1)</w:t>
      </w:r>
      <w:r>
        <w:tab/>
      </w:r>
      <w:r>
        <w:rPr>
          <w:noProof/>
        </w:rPr>
        <w:t>Европейският фонд за приспособяване към глобализацията (ЕФПГ) е създаден с цел оказване на подкрепа на съкратени работници и самостоятелно заети лица, чиято дейност е прекратена в резултат на големи структурни промени в моделите на световната търговия вследствие на глобализацията, в резултат на продължаване на световната финансова и икономическа криза или в резултат на нова световна финансова и икономическа криза, както и с цел подпомагане на тяхната реинтеграция на пазара на труда.</w:t>
      </w:r>
    </w:p>
    <w:p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>В съответствие с предвиденото в член 12 от Регламент (ЕС, Евратом) № 1311/2013 на Съвета</w:t>
      </w:r>
      <w:r>
        <w:rPr>
          <w:rStyle w:val="FootnoteReference"/>
          <w:noProof/>
        </w:rPr>
        <w:footnoteReference w:id="35"/>
      </w:r>
      <w:r>
        <w:rPr>
          <w:noProof/>
        </w:rPr>
        <w:t xml:space="preserve"> ЕФПГ не може да надхвърля максимален годишен размер от 150 милиона евро (по цени от 2011 г.).</w:t>
      </w:r>
    </w:p>
    <w:p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>На 13 април 2017 г. Гърция подаде заявление за мобилизиране на средства от ЕФПГ във връзка със съкращения в икономическия отрасъл от разделение 47 по Статистическата класификация на икономическите дейности в Европейската общност („NACE“) Rev. 2 („Търговия на дребно, без търговията с автомобили и мотоциклети“) в регионите на ниво 2 по общата класификация на териториалните единици за статистически цели („NUTS“)</w:t>
      </w:r>
      <w:r>
        <w:rPr>
          <w:rStyle w:val="FootnoteReference"/>
          <w:noProof/>
        </w:rPr>
        <w:footnoteReference w:id="36"/>
      </w:r>
      <w:r>
        <w:rPr>
          <w:noProof/>
        </w:rPr>
        <w:t xml:space="preserve"> Атика (EL30), Източна Македония, Тракия (EL11), Централна Македония (EL12), Западна Македония (EL13), Тесалия (EL14), Епир (EL21), Западна Гърция (EL23), Централна Гърция (EL24), Пелопонес (EL25), южните Егейски острови (EL42) и о-в Крит (EL43) в Гърция. Към него беше предоставена допълнителна информация съгласно член 8, параграф 3 от Регламент (ЕС) № 1309/2013. Заявлението отговаря на изискванията за определяне на финансово участие от ЕФПГ, установени в член 13 от Регламент (ЕС) № 1309/2013.</w:t>
      </w:r>
    </w:p>
    <w:p>
      <w:pPr>
        <w:pStyle w:val="ManualConsidrant"/>
        <w:rPr>
          <w:noProof/>
        </w:rPr>
      </w:pPr>
      <w:r>
        <w:t>(4)</w:t>
      </w:r>
      <w:r>
        <w:tab/>
      </w:r>
      <w:r>
        <w:rPr>
          <w:noProof/>
        </w:rPr>
        <w:t>В съответствие с член 4, параграф 2 от Регламент (ЕС) № 1309/2013 заявлението на Гърция се счита за допустимо, тъй като съкращенията имат сериозно отражение върху заетостта и местната, регионалната или националната икономика.</w:t>
      </w:r>
    </w:p>
    <w:p>
      <w:pPr>
        <w:pStyle w:val="ManualConsidrant"/>
        <w:rPr>
          <w:noProof/>
        </w:rPr>
      </w:pPr>
      <w:r>
        <w:t>(5)</w:t>
      </w:r>
      <w:r>
        <w:tab/>
      </w:r>
      <w:r>
        <w:rPr>
          <w:noProof/>
        </w:rPr>
        <w:t>Поради това, за да бъде удовлетворено подаденото от Гърция заявление, следва да бъдат мобилизирани средства за предоставяне на финансово участие от ЕФПГ в размер на 2 949 150 EUR.</w:t>
      </w:r>
    </w:p>
    <w:p>
      <w:pPr>
        <w:pStyle w:val="ManualConsidrant"/>
        <w:rPr>
          <w:noProof/>
        </w:rPr>
      </w:pPr>
      <w:r>
        <w:t>(6)</w:t>
      </w:r>
      <w:r>
        <w:tab/>
      </w:r>
      <w:r>
        <w:rPr>
          <w:noProof/>
        </w:rPr>
        <w:t>За да се сведе до минимум времето, необходимо за мобилизиране на средства от ЕФПГ, настоящото решение следва да се прилага от датата на приемането му,</w:t>
      </w:r>
    </w:p>
    <w:p>
      <w:pPr>
        <w:pStyle w:val="Formuledadoption"/>
        <w:rPr>
          <w:noProof/>
        </w:rPr>
      </w:pPr>
      <w:r>
        <w:rPr>
          <w:noProof/>
        </w:rPr>
        <w:t xml:space="preserve">ПРИЕХА НАСТОЯЩОТО РЕШЕНИЕ: 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rPr>
          <w:noProof/>
        </w:rPr>
      </w:pPr>
      <w:r>
        <w:rPr>
          <w:noProof/>
        </w:rPr>
        <w:t>В рамките на общия бюджет на Съюза за 2017 финансова година от Европейския фонд за приспособяване към глобализацията се мобилизират 2 949 150 EUR под формата на бюджетни кредити за поети задължения и бюджетни кредити за плащания.</w:t>
      </w:r>
    </w:p>
    <w:p>
      <w:pPr>
        <w:pStyle w:val="Titrearticle"/>
        <w:rPr>
          <w:noProof/>
        </w:rPr>
      </w:pPr>
      <w:r>
        <w:rPr>
          <w:noProof/>
        </w:rPr>
        <w:t>Член 2</w:t>
      </w:r>
    </w:p>
    <w:p>
      <w:pPr>
        <w:keepNext/>
        <w:keepLines/>
        <w:rPr>
          <w:noProof/>
        </w:rPr>
      </w:pPr>
      <w:r>
        <w:rPr>
          <w:noProof/>
        </w:rPr>
        <w:t xml:space="preserve">Настоящото решение влиза в сила в деня на публикуването му в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 xml:space="preserve">. Прилага се от </w:t>
      </w:r>
      <w:r>
        <w:rPr>
          <w:noProof/>
          <w:color w:val="FF0000"/>
        </w:rPr>
        <w:t>[</w:t>
      </w:r>
      <w:r>
        <w:rPr>
          <w:i/>
          <w:noProof/>
          <w:color w:val="FF0000"/>
        </w:rPr>
        <w:t>датата на приемането му</w:t>
      </w:r>
      <w:r>
        <w:rPr>
          <w:noProof/>
          <w:color w:val="FF0000"/>
        </w:rPr>
        <w:t>]</w:t>
      </w:r>
      <w:r>
        <w:rPr>
          <w:rStyle w:val="FootnoteReference"/>
        </w:rPr>
        <w:sym w:font="Symbol" w:char="F02A"/>
      </w:r>
      <w:r>
        <w:rPr>
          <w:noProof/>
        </w:rPr>
        <w:t>.</w:t>
      </w:r>
    </w:p>
    <w:p>
      <w:pPr>
        <w:pStyle w:val="Fait"/>
        <w:rPr>
          <w:noProof/>
        </w:rPr>
      </w:pPr>
      <w:r>
        <w:rPr>
          <w:noProof/>
        </w:rPr>
        <w:footnoteReference w:customMarkFollows="1" w:id="37"/>
        <w:t>Съставено в Брюксел на  година.</w:t>
      </w:r>
    </w:p>
    <w:p>
      <w:pPr>
        <w:pStyle w:val="Institutionquisigne"/>
        <w:rPr>
          <w:noProof/>
        </w:rPr>
      </w:pPr>
      <w:r>
        <w:rPr>
          <w:noProof/>
        </w:rPr>
        <w:t>За Европейския парламент</w:t>
      </w: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>Председател</w:t>
      </w:r>
      <w:r>
        <w:rPr>
          <w:noProof/>
        </w:rPr>
        <w:tab/>
        <w:t>Председател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16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ОВ L 347, 20.12.2013 г., стр. 855.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>По смисъла на член 3 от Регламента за ЕФПГ.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ab/>
        <w:t>Източна Македония, Тракия (EL11), Централна Македония (EL12), Западна Македония (EL13), Тесалия (EL14), Епир (EL21), Западна Гърция (EL23), Централна Гърция (EL24), Пелопонес (EL25), южните Егейски острови (EL42), о-в Крит (EL43).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ab/>
        <w:t>Регламент (ЕС) № 1046/2012 на Комисията от 8 ноември 2012 г. за прилагане на Регламент (ЕО) № 1059/2003 на Европейския парламент и на Съвета за установяване на обща класификация на териториалните единици за статистически цели (NUTS) по отношение на предоставянето на динамичните редове според новото регионално деление (ОВ L 310, 9.11.2012 г., стр. 34).</w:t>
      </w:r>
    </w:p>
  </w:footnote>
  <w:footnote w:id="5">
    <w:p>
      <w:pPr>
        <w:pStyle w:val="FootnoteText"/>
      </w:pPr>
      <w:r>
        <w:rPr>
          <w:rStyle w:val="FootnoteReference"/>
        </w:rPr>
        <w:footnoteRef/>
      </w:r>
      <w:r>
        <w:tab/>
        <w:t>ОВ L 393, 30.12.2006 г., стр. 1.</w:t>
      </w:r>
    </w:p>
  </w:footnote>
  <w:footnote w:id="6">
    <w:p>
      <w:pPr>
        <w:pStyle w:val="FootnoteText"/>
      </w:pPr>
      <w:r>
        <w:rPr>
          <w:rStyle w:val="FootnoteReference"/>
        </w:rPr>
        <w:footnoteRef/>
      </w:r>
      <w:r>
        <w:tab/>
        <w:t>Съгласно член 7, параграф 4 от Регламент (EС) № 1309/2013.</w:t>
      </w:r>
    </w:p>
  </w:footnote>
  <w:footnote w:id="7">
    <w:p>
      <w:pPr>
        <w:pStyle w:val="FootnoteText"/>
      </w:pPr>
      <w:r>
        <w:rPr>
          <w:rStyle w:val="FootnoteReference"/>
        </w:rPr>
        <w:footnoteRef/>
      </w:r>
      <w:r>
        <w:tab/>
        <w:t>Също като бележка под линия 3.</w:t>
      </w:r>
    </w:p>
  </w:footnote>
  <w:footnote w:id="8">
    <w:p>
      <w:pPr>
        <w:pStyle w:val="FootnoteText"/>
      </w:pPr>
      <w:r>
        <w:rPr>
          <w:rStyle w:val="FootnoteReference"/>
        </w:rPr>
        <w:footnoteRef/>
      </w:r>
      <w:r>
        <w:tab/>
        <w:t xml:space="preserve">Деветте предприятия имат магазини и супермаркети, които продават електроника, електрически уреди, компютри, козметични стоки, облекло, обувки, храни и напитки и др. </w:t>
      </w:r>
    </w:p>
    <w:p>
      <w:pPr>
        <w:pStyle w:val="FootnoteText"/>
      </w:pPr>
      <w:r>
        <w:tab/>
        <w:t>Две предприятия (ΗΛΕΚΤΡΟΝΙΚΗ ΑΘΗΝΩΝ Α.Ε.Ε и ΣΑΡΑΦΙΔΗΣ Α.Ε.) фалираха, а останалите седем продължиха своята дейност.</w:t>
      </w:r>
    </w:p>
  </w:footnote>
  <w:footnote w:id="9">
    <w:p>
      <w:pPr>
        <w:pStyle w:val="FootnoteText"/>
      </w:pPr>
      <w:r>
        <w:rPr>
          <w:rStyle w:val="FootnoteReference"/>
        </w:rPr>
        <w:footnoteRef/>
      </w:r>
      <w:r>
        <w:tab/>
      </w:r>
      <w:hyperlink r:id="rId1">
        <w:r>
          <w:rPr>
            <w:rStyle w:val="Hyperlink"/>
            <w:color w:val="auto"/>
          </w:rPr>
          <w:t>https://ec.europa.eu/info/sites/info/files/ecfin_forecast_spring_110517_el_en.pdf</w:t>
        </w:r>
      </w:hyperlink>
    </w:p>
  </w:footnote>
  <w:footnote w:id="10">
    <w:p>
      <w:pPr>
        <w:pStyle w:val="FootnoteText"/>
      </w:pPr>
      <w:r>
        <w:rPr>
          <w:rStyle w:val="FootnoteReference"/>
        </w:rPr>
        <w:footnoteRef/>
      </w:r>
      <w:r>
        <w:tab/>
        <w:t>БВП и основни компоненти (продукция, разходи и приходи), Кодекс: nama_10_gdp.</w:t>
      </w:r>
    </w:p>
  </w:footnote>
  <w:footnote w:id="11">
    <w:p>
      <w:pPr>
        <w:pStyle w:val="FootnoteText"/>
      </w:pPr>
      <w:r>
        <w:rPr>
          <w:rStyle w:val="FootnoteReference"/>
        </w:rPr>
        <w:footnoteRef/>
      </w:r>
      <w:r>
        <w:tab/>
        <w:t>В Гърция прагът на бедността е установен на 4 500 EUR годишно на човек (физическо лице) и 9 450 EUR за домакинствата, съставени от двама възрастни и две деца.</w:t>
      </w:r>
    </w:p>
  </w:footnote>
  <w:footnote w:id="12">
    <w:p>
      <w:pPr>
        <w:pStyle w:val="FootnoteText"/>
      </w:pPr>
      <w:r>
        <w:rPr>
          <w:rStyle w:val="FootnoteReference"/>
        </w:rPr>
        <w:footnoteRef/>
      </w:r>
      <w:r>
        <w:tab/>
      </w:r>
      <w:hyperlink r:id="rId2">
        <w:r>
          <w:rPr>
            <w:rStyle w:val="Hyperlink"/>
            <w:color w:val="auto"/>
          </w:rPr>
          <w:t>http://www.imegsevee.gr/dtimegsevee/1078--l-r</w:t>
        </w:r>
      </w:hyperlink>
    </w:p>
  </w:footnote>
  <w:footnote w:id="13">
    <w:p>
      <w:pPr>
        <w:pStyle w:val="FootnoteText"/>
      </w:pPr>
      <w:r>
        <w:rPr>
          <w:rStyle w:val="FootnoteReference"/>
        </w:rPr>
        <w:footnoteRef/>
      </w:r>
      <w:r>
        <w:tab/>
        <w:t>Институт за малките предприятия на гръцката конфедерация на професионалистите, занаятчиите и търговците.</w:t>
      </w:r>
    </w:p>
  </w:footnote>
  <w:footnote w:id="14">
    <w:p>
      <w:pPr>
        <w:pStyle w:val="FootnoteText"/>
      </w:pPr>
      <w:r>
        <w:rPr>
          <w:rStyle w:val="FootnoteReference"/>
        </w:rPr>
        <w:footnoteRef/>
      </w:r>
      <w:r>
        <w:tab/>
        <w:t>Показателят за доверие на потребителите представлява претегленият процент на положителните и отрицателните отговори.</w:t>
      </w:r>
    </w:p>
  </w:footnote>
  <w:footnote w:id="15">
    <w:p>
      <w:pPr>
        <w:pStyle w:val="FootnoteText"/>
      </w:pPr>
      <w:r>
        <w:rPr>
          <w:rStyle w:val="FootnoteReference"/>
        </w:rPr>
        <w:footnoteRef/>
      </w:r>
      <w:r>
        <w:tab/>
      </w:r>
      <w:hyperlink r:id="rId3">
        <w:r>
          <w:rPr>
            <w:rStyle w:val="Hyperlink"/>
            <w:color w:val="auto"/>
          </w:rPr>
          <w:t>http://iobe.gr/docs/situation/BCS_01032017_PRE_GR.pdf</w:t>
        </w:r>
      </w:hyperlink>
    </w:p>
  </w:footnote>
  <w:footnote w:id="16">
    <w:p>
      <w:pPr>
        <w:pStyle w:val="FootnoteText"/>
      </w:pPr>
      <w:r>
        <w:rPr>
          <w:rStyle w:val="FootnoteReference"/>
        </w:rPr>
        <w:footnoteRef/>
      </w:r>
      <w:r>
        <w:tab/>
        <w:t>EGF/2010/010 CZ/Unilever, EGF/2010/016 ES/Aragón Retail, EGF/2011/004 EL/ALDI Hellas, EGF/2014/009 EL/Sprider Stores, EGF/2014/013 EL/Odyssefs Fokas, EGF/2015/011 GR/Supermarket Larissa, EGF/2016/005 NL/Drenthe Overijssel Retail.</w:t>
      </w:r>
    </w:p>
  </w:footnote>
  <w:footnote w:id="17">
    <w:p>
      <w:pPr>
        <w:pStyle w:val="FootnoteText"/>
      </w:pPr>
      <w:r>
        <w:rPr>
          <w:rStyle w:val="FootnoteReference"/>
        </w:rPr>
        <w:footnoteRef/>
      </w:r>
      <w:r>
        <w:tab/>
      </w:r>
      <w:hyperlink r:id="rId4">
        <w:r>
          <w:rPr>
            <w:rStyle w:val="Hyperlink"/>
            <w:color w:val="auto"/>
          </w:rPr>
          <w:t>http://www.bankofgreece.gr/BogEkdoseis/Summary_Annrep2016.pdf</w:t>
        </w:r>
      </w:hyperlink>
    </w:p>
  </w:footnote>
  <w:footnote w:id="18">
    <w:p>
      <w:pPr>
        <w:pStyle w:val="FootnoteText"/>
      </w:pPr>
      <w:r>
        <w:rPr>
          <w:rStyle w:val="FootnoteReference"/>
        </w:rPr>
        <w:footnoteRef/>
      </w:r>
      <w:r>
        <w:tab/>
      </w:r>
      <w:hyperlink r:id="rId5">
        <w:r>
          <w:rPr>
            <w:rStyle w:val="Hyperlink"/>
            <w:color w:val="auto"/>
          </w:rPr>
          <w:t>https://www.nbg.gr/greek/the-group/press-office/e-spot/reports/Documents/SMEs%20Survey_Retail%20Trade%20(September%202016).pdf</w:t>
        </w:r>
      </w:hyperlink>
    </w:p>
  </w:footnote>
  <w:footnote w:id="19">
    <w:p>
      <w:pPr>
        <w:pStyle w:val="FootnoteText"/>
      </w:pPr>
      <w:r>
        <w:rPr>
          <w:rStyle w:val="FootnoteReference"/>
        </w:rPr>
        <w:footnoteRef/>
      </w:r>
      <w:r>
        <w:tab/>
        <w:t>http://www.pressreader.com/greece/naftemporiki/20170111/281784218780186</w:t>
      </w:r>
    </w:p>
  </w:footnote>
  <w:footnote w:id="20">
    <w:p>
      <w:pPr>
        <w:pStyle w:val="FootnoteText"/>
      </w:pPr>
      <w:r>
        <w:rPr>
          <w:rStyle w:val="FootnoteReference"/>
        </w:rPr>
        <w:footnoteRef/>
      </w:r>
      <w:r>
        <w:tab/>
      </w:r>
      <w:hyperlink r:id="rId6">
        <w:r>
          <w:rPr>
            <w:rStyle w:val="Hyperlink"/>
            <w:color w:val="auto"/>
          </w:rPr>
          <w:t>http://www.statistics.gr/en/statistics/-/publication/DKT39/2017-M05</w:t>
        </w:r>
      </w:hyperlink>
    </w:p>
  </w:footnote>
  <w:footnote w:id="21">
    <w:p>
      <w:pPr>
        <w:pStyle w:val="FootnoteText"/>
      </w:pPr>
      <w:r>
        <w:rPr>
          <w:rStyle w:val="FootnoteReference"/>
        </w:rPr>
        <w:footnoteRef/>
      </w:r>
      <w:r>
        <w:tab/>
      </w:r>
      <w:hyperlink r:id="rId7">
        <w:r>
          <w:rPr>
            <w:rStyle w:val="Hyperlink"/>
            <w:color w:val="auto"/>
          </w:rPr>
          <w:t>www.greekecommerce.gr/gr/file-download/eltrun-ecommerce-b2c-2016</w:t>
        </w:r>
      </w:hyperlink>
    </w:p>
  </w:footnote>
  <w:footnote w:id="22">
    <w:p>
      <w:pPr>
        <w:pStyle w:val="FootnoteText"/>
      </w:pPr>
      <w:r>
        <w:rPr>
          <w:rStyle w:val="FootnoteReference"/>
        </w:rPr>
        <w:footnoteRef/>
      </w:r>
      <w:r>
        <w:tab/>
        <w:t>Евростат: Code tsdec450.</w:t>
      </w:r>
    </w:p>
  </w:footnote>
  <w:footnote w:id="23">
    <w:p>
      <w:pPr>
        <w:pStyle w:val="FootnoteText"/>
      </w:pPr>
      <w:r>
        <w:rPr>
          <w:rStyle w:val="FootnoteReference"/>
        </w:rPr>
        <w:footnoteRef/>
      </w:r>
      <w:r>
        <w:tab/>
      </w:r>
      <w:hyperlink r:id="rId8">
        <w:r>
          <w:rPr>
            <w:rStyle w:val="Hyperlink"/>
            <w:color w:val="auto"/>
          </w:rPr>
          <w:t>http://www.inegsee.gr/ekdosi/etisia-ekthesi-2016-ine-gsee-i-elliniki-ikonomia-ke-i-apascholisi/</w:t>
        </w:r>
      </w:hyperlink>
    </w:p>
  </w:footnote>
  <w:footnote w:id="24">
    <w:p>
      <w:pPr>
        <w:pStyle w:val="FootnoteText"/>
      </w:pPr>
      <w:r>
        <w:rPr>
          <w:rStyle w:val="FootnoteReference"/>
        </w:rPr>
        <w:footnoteRef/>
      </w:r>
      <w:r>
        <w:tab/>
        <w:t>Източник: МОТ</w:t>
      </w:r>
    </w:p>
    <w:p>
      <w:pPr>
        <w:pStyle w:val="FootnoteText"/>
        <w:ind w:firstLine="0"/>
        <w:rPr>
          <w:spacing w:val="-6"/>
        </w:rPr>
      </w:pPr>
      <w:hyperlink r:id="rId9">
        <w:r>
          <w:rPr>
            <w:rStyle w:val="Hyperlink"/>
            <w:color w:val="auto"/>
            <w:spacing w:val="-6"/>
          </w:rPr>
          <w:t>http://www.ilo.org/global/about-the-ilo/multimedia/maps-and-charts/WCMS_442905/lang--en/index.htm</w:t>
        </w:r>
      </w:hyperlink>
    </w:p>
  </w:footnote>
  <w:footnote w:id="25">
    <w:p>
      <w:pPr>
        <w:pStyle w:val="FootnoteText"/>
      </w:pPr>
      <w:r>
        <w:rPr>
          <w:rStyle w:val="FootnoteReference"/>
        </w:rPr>
        <w:footnoteRef/>
      </w:r>
      <w:r>
        <w:tab/>
        <w:t>Code tsdec450.</w:t>
      </w:r>
    </w:p>
  </w:footnote>
  <w:footnote w:id="26">
    <w:p>
      <w:pPr>
        <w:pStyle w:val="FootnoteText"/>
      </w:pPr>
      <w:r>
        <w:rPr>
          <w:rStyle w:val="FootnoteReference"/>
        </w:rPr>
        <w:footnoteRef/>
      </w:r>
      <w:r>
        <w:tab/>
        <w:t>Също като бележка под линия 3.</w:t>
      </w:r>
    </w:p>
  </w:footnote>
  <w:footnote w:id="27">
    <w:p>
      <w:pPr>
        <w:pStyle w:val="FootnoteText"/>
      </w:pPr>
      <w:r>
        <w:rPr>
          <w:rStyle w:val="FootnoteReference"/>
        </w:rPr>
        <w:footnoteRef/>
      </w:r>
      <w:r>
        <w:tab/>
      </w:r>
      <w:hyperlink r:id="rId10">
        <w:r>
          <w:rPr>
            <w:rStyle w:val="Hyperlink"/>
            <w:color w:val="auto"/>
          </w:rPr>
          <w:t>http://www.statistics.gr/documents/20181/44dfe0a4-2f54-47c0-aa04-83b6d56508f8</w:t>
        </w:r>
      </w:hyperlink>
    </w:p>
  </w:footnote>
  <w:footnote w:id="28">
    <w:p>
      <w:pPr>
        <w:pStyle w:val="FootnoteText"/>
      </w:pPr>
      <w:r>
        <w:rPr>
          <w:rStyle w:val="FootnoteReference"/>
        </w:rPr>
        <w:footnoteRef/>
      </w:r>
      <w:r>
        <w:tab/>
        <w:t>EL42 — южните Егейски острови, и EL43— о-в Крит.</w:t>
      </w:r>
    </w:p>
  </w:footnote>
  <w:footnote w:id="29">
    <w:p>
      <w:pPr>
        <w:pStyle w:val="FootnoteText"/>
      </w:pPr>
      <w:r>
        <w:rPr>
          <w:rStyle w:val="FootnoteReference"/>
        </w:rPr>
        <w:footnoteRef/>
      </w:r>
      <w:r>
        <w:tab/>
        <w:t>12 работници в EL42 — южните Егейски острови, и 8 в EL43 — о-в Крит.</w:t>
      </w:r>
    </w:p>
  </w:footnote>
  <w:footnote w:id="30">
    <w:p>
      <w:pPr>
        <w:pStyle w:val="FootnoteText"/>
      </w:pPr>
      <w:r>
        <w:rPr>
          <w:rStyle w:val="FootnoteReference"/>
        </w:rPr>
        <w:footnoteRef/>
      </w:r>
      <w:r>
        <w:tab/>
        <w:t xml:space="preserve">Хоризонтални умения като: </w:t>
      </w:r>
      <w:r>
        <w:rPr>
          <w:color w:val="0000FF"/>
        </w:rPr>
        <w:t>адаптиране към нови ситуации, вземане на решения, търсене на работа и др.</w:t>
      </w:r>
    </w:p>
  </w:footnote>
  <w:footnote w:id="31">
    <w:p>
      <w:pPr>
        <w:pStyle w:val="FootnoteText"/>
      </w:pPr>
      <w:r>
        <w:rPr>
          <w:rStyle w:val="FootnoteReference"/>
        </w:rPr>
        <w:footnoteRef/>
      </w:r>
      <w:r>
        <w:tab/>
        <w:t>ОВ L 347, 20.12.2013 г., стр. 884.</w:t>
      </w:r>
    </w:p>
  </w:footnote>
  <w:footnote w:id="32">
    <w:p>
      <w:pPr>
        <w:pStyle w:val="FootnoteText"/>
      </w:pPr>
      <w:r>
        <w:rPr>
          <w:rStyle w:val="FootnoteReference"/>
        </w:rPr>
        <w:footnoteRef/>
      </w:r>
      <w:r>
        <w:tab/>
        <w:t>ОВ С 373, 20.12.2013 г., стр. 1.</w:t>
      </w:r>
    </w:p>
  </w:footnote>
  <w:footnote w:id="33">
    <w:p>
      <w:pPr>
        <w:pStyle w:val="FootnoteText"/>
      </w:pPr>
      <w:r>
        <w:rPr>
          <w:rStyle w:val="FootnoteReference"/>
        </w:rPr>
        <w:footnoteRef/>
      </w:r>
      <w:r>
        <w:tab/>
        <w:t>ОВ L 347, 20.12.2013 г., стр. 855.</w:t>
      </w:r>
    </w:p>
  </w:footnote>
  <w:footnote w:id="34">
    <w:p>
      <w:pPr>
        <w:pStyle w:val="FootnoteText"/>
      </w:pPr>
      <w:r>
        <w:rPr>
          <w:rStyle w:val="FootnoteReference"/>
        </w:rPr>
        <w:footnoteRef/>
      </w:r>
      <w:r>
        <w:tab/>
        <w:t>ОВ С 373, 20.12.2013 г., стр. 1.</w:t>
      </w:r>
    </w:p>
  </w:footnote>
  <w:footnote w:id="35">
    <w:p>
      <w:pPr>
        <w:pStyle w:val="FootnoteText"/>
      </w:pPr>
      <w:r>
        <w:rPr>
          <w:rStyle w:val="FootnoteReference"/>
        </w:rPr>
        <w:footnoteRef/>
      </w:r>
      <w:r>
        <w:tab/>
        <w:t>Регламент (EC, Евратом) № 1311/2013 на Съвета от 2 декември 2013 г. за определяне на многогодишната финансова рамка за годините 2014—2020 (ОВ L 347, 20.12.2013 г., стр. 884).</w:t>
      </w:r>
    </w:p>
  </w:footnote>
  <w:footnote w:id="36">
    <w:p>
      <w:pPr>
        <w:pStyle w:val="FootnoteText"/>
      </w:pPr>
      <w:r>
        <w:rPr>
          <w:rStyle w:val="FootnoteReference"/>
        </w:rPr>
        <w:footnoteRef/>
      </w:r>
      <w:r>
        <w:tab/>
        <w:t>Регламент (ЕС) № 1046/2012 на Комисията от 8 ноември 2012 г. за прилагане на Регламент (ЕО) № 1059/2003 на Европейския парламент и на Съвета за установяване на обща класификация на териториалните единици за статистически цели (NUTS) по отношение на предоставянето на динамичните редове според новото регионално деление (ОВ L 310, 9.11.2012 г., стр. 34).</w:t>
      </w:r>
    </w:p>
  </w:footnote>
  <w:footnote w:id="37">
    <w:p>
      <w:pPr>
        <w:pStyle w:val="FootnoteText"/>
        <w:rPr>
          <w:color w:val="FF0000"/>
        </w:rPr>
      </w:pPr>
      <w:r>
        <w:rPr>
          <w:rStyle w:val="FootnoteReference"/>
        </w:rPr>
        <w:sym w:font="Symbol" w:char="F02A"/>
      </w:r>
      <w:r>
        <w:rPr>
          <w:color w:val="FF0000"/>
        </w:rPr>
        <w:t xml:space="preserve"> </w:t>
      </w:r>
      <w:r>
        <w:tab/>
      </w:r>
      <w:r>
        <w:rPr>
          <w:color w:val="FF0000"/>
        </w:rPr>
        <w:t>Датата да се попълни от Парламента преди публикуването в ОВ.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CBB686B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99E463D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780CFFF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4498EC5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332C75C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1F90476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9C2823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45869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12"/>
    <w:lvlOverride w:ilvl="0">
      <w:startOverride w:val="1"/>
    </w:lvlOverride>
  </w:num>
  <w:num w:numId="2">
    <w:abstractNumId w:val="9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</w:num>
  <w:num w:numId="9">
    <w:abstractNumId w:val="6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8"/>
  </w:num>
  <w:num w:numId="15">
    <w:abstractNumId w:val="12"/>
  </w:num>
  <w:num w:numId="16">
    <w:abstractNumId w:val="20"/>
  </w:num>
  <w:num w:numId="17">
    <w:abstractNumId w:val="11"/>
  </w:num>
  <w:num w:numId="18">
    <w:abstractNumId w:val="13"/>
  </w:num>
  <w:num w:numId="19">
    <w:abstractNumId w:val="9"/>
  </w:num>
  <w:num w:numId="20">
    <w:abstractNumId w:val="19"/>
  </w:num>
  <w:num w:numId="21">
    <w:abstractNumId w:val="8"/>
  </w:num>
  <w:num w:numId="22">
    <w:abstractNumId w:val="14"/>
  </w:num>
  <w:num w:numId="23">
    <w:abstractNumId w:val="16"/>
  </w:num>
  <w:num w:numId="24">
    <w:abstractNumId w:val="17"/>
  </w:num>
  <w:num w:numId="25">
    <w:abstractNumId w:val="10"/>
  </w:num>
  <w:num w:numId="26">
    <w:abstractNumId w:val="15"/>
  </w:num>
  <w:num w:numId="27">
    <w:abstractNumId w:val="2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hideSpellingErrors/>
  <w:hideGrammaticalErrors/>
  <w:attachedTemplate r:id="rId1"/>
  <w:revisionView w:markup="0"/>
  <w:documentProtection w:edit="forms" w:enforcement="0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7-10-20 16:20:34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1"/>
    <w:docVar w:name="DQCResult_LinkedStyles" w:val="0;0"/>
    <w:docVar w:name="DQCResult_ModifiedMargins" w:val="0;5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4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FigNum" w:val="1"/>
    <w:docVar w:name="LW_CONFIDENCE" w:val=" "/>
    <w:docVar w:name="LW_CONST_RESTREINT_UE" w:val="RESTREINT UE"/>
    <w:docVar w:name="LW_CORRIGENDUM" w:val="&lt;UNUSED&gt;"/>
    <w:docVar w:name="LW_COVERPAGE_GUID" w:val="72E62384BCF44E14B80DB740F558EDF4"/>
    <w:docVar w:name="LW_CROSSREFERENCE" w:val="&lt;UNUSED&gt;"/>
    <w:docVar w:name="LW_DocType" w:val="COM"/>
    <w:docVar w:name="LW_EMISSION" w:val="23.10.2017"/>
    <w:docVar w:name="LW_EMISSION_ISODATE" w:val="2017-10-23"/>
    <w:docVar w:name="LW_EMISSION_LOCATION" w:val="BRX"/>
    <w:docVar w:name="LW_EMISSION_PREFIX" w:val="Брюксел, "/>
    <w:docVar w:name="LW_EMISSION_SUFFIX" w:val=" \u1075?."/>
    <w:docVar w:name="LW_ID_DOCMODEL" w:val="SJ-026"/>
    <w:docVar w:name="LW_ID_DOCSIGNATURE" w:val="SJ-026"/>
    <w:docVar w:name="LW_ID_DOCSTRUCTURE" w:val="COM/PL/ORG"/>
    <w:docVar w:name="LW_ID_DOCTYPE" w:val="SJ-026"/>
    <w:docVar w:name="LW_ID_STATUT" w:val="SJ-026"/>
    <w:docVar w:name="LW_INTERETEEE.CP" w:val="&lt;UNUSED&gt;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&lt;UNUSED&gt;"/>
    <w:docVar w:name="LW_REF.II.NEW.CP_NUMBER" w:val="&lt;UNUSED&gt;"/>
    <w:docVar w:name="LW_REF.II.NEW.CP_YEAR" w:val="2017"/>
    <w:docVar w:name="LW_REF.INST.NEW" w:val="COM"/>
    <w:docVar w:name="LW_REF.INST.NEW_ADOPTED" w:val="final"/>
    <w:docVar w:name="LW_REF.INST.NEW_TEXT" w:val="(2017) 613"/>
    <w:docVar w:name="LW_REF.INTERNE" w:val="&lt;UNUSED&gt;"/>
    <w:docVar w:name="LW_SOUS.TITRE.OBJ.CP" w:val="&lt;UNUSED&gt;"/>
    <w:docVar w:name="LW_STATUT.CP" w:val="\u1055?\u1088?\u1077?\u1076?\u1083?\u1086?\u1078?\u1077?\u1085?\u1080?\u1077? \u1079?\u1072?"/>
    <w:docVar w:name="LW_SUPERTITRE" w:val="&lt;UNUSED&gt;"/>
    <w:docVar w:name="LW_TITRE.OBJ.CP" w:val="\u1079?\u1072? \u1084?\u1086?\u1073?\u1080?\u1083?\u1080?\u1079?\u1080?\u1088?\u1072?\u1085?\u1077? \u1085?\u1072? \u1089?\u1088?\u1077?\u1076?\u1089?\u1090?\u1074?\u1072? \u1086?\u1090? \u1045?\u1074?\u1088?\u1086?\u1087?\u1077?\u1081?\u1089?\u1082?\u1080?\u1103? \u1092?\u1086?\u1085?\u1076? \u1079?\u1072? \u1087?\u1088?\u1080?\u1089?\u1087?\u1086?\u1089?\u1086?\u1073?\u1103?\u1074?\u1072?\u1085?\u1077? \u1082?\u1098?\u1084? \u1075?\u1083?\u1086?\u1073?\u1072?\u1083?\u1080?\u1079?\u1072?\u1094?\u1080?\u1103?\u1090?\u1072? \u1074?\u1098?\u1074? \u1074?\u1088?\u1098?\u1079?\u1082?\u1072? \u1089?\u1098?\u1089?_x000b_\u1079?\u1072?\u1103?\u1074?\u1083?\u1077?\u1085?\u1080?\u1077? \u1086?\u1090? \u1043?\u1098?\u1088?\u1094?\u1080?\u1103? \u8212? EGF/2017/003 GR/Attica retail"/>
    <w:docVar w:name="LW_TYPE.DOC.CP" w:val="\u1056?\u1045?\u1064?\u1045?\u1053?\u1048?\u1045? \u1053?\u1040? \u1045?\u1042?\u1056?\u1054?\u1055?\u1045?\u1049?\u1057?\u1050?\u1048?\u1071? \u1055?\u1040?\u1056?\u1051?\u1040?\u1052?\u1045?\u1053?\u1058? \u1048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2"/>
      </w:numPr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4"/>
      </w:numPr>
    </w:pPr>
  </w:style>
  <w:style w:type="paragraph" w:customStyle="1" w:styleId="Tiret1">
    <w:name w:val="Tiret 1"/>
    <w:basedOn w:val="Point1"/>
    <w:pPr>
      <w:numPr>
        <w:numId w:val="15"/>
      </w:numPr>
    </w:pPr>
  </w:style>
  <w:style w:type="paragraph" w:customStyle="1" w:styleId="Tiret2">
    <w:name w:val="Tiret 2"/>
    <w:basedOn w:val="Point2"/>
    <w:pPr>
      <w:numPr>
        <w:numId w:val="16"/>
      </w:numPr>
    </w:pPr>
  </w:style>
  <w:style w:type="paragraph" w:customStyle="1" w:styleId="Tiret3">
    <w:name w:val="Tiret 3"/>
    <w:basedOn w:val="Point3"/>
    <w:pPr>
      <w:numPr>
        <w:numId w:val="17"/>
      </w:numPr>
    </w:pPr>
  </w:style>
  <w:style w:type="paragraph" w:customStyle="1" w:styleId="Tiret4">
    <w:name w:val="Tiret 4"/>
    <w:basedOn w:val="Point4"/>
    <w:pPr>
      <w:numPr>
        <w:numId w:val="1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21"/>
      </w:numPr>
    </w:pPr>
  </w:style>
  <w:style w:type="paragraph" w:customStyle="1" w:styleId="Point1number">
    <w:name w:val="Point 1 (number)"/>
    <w:basedOn w:val="Normal"/>
    <w:pPr>
      <w:numPr>
        <w:ilvl w:val="2"/>
        <w:numId w:val="21"/>
      </w:numPr>
    </w:pPr>
  </w:style>
  <w:style w:type="paragraph" w:customStyle="1" w:styleId="Point2number">
    <w:name w:val="Point 2 (number)"/>
    <w:basedOn w:val="Normal"/>
    <w:pPr>
      <w:numPr>
        <w:ilvl w:val="4"/>
        <w:numId w:val="21"/>
      </w:numPr>
    </w:pPr>
  </w:style>
  <w:style w:type="paragraph" w:customStyle="1" w:styleId="Point3number">
    <w:name w:val="Point 3 (number)"/>
    <w:basedOn w:val="Normal"/>
    <w:pPr>
      <w:numPr>
        <w:ilvl w:val="6"/>
        <w:numId w:val="21"/>
      </w:numPr>
    </w:pPr>
  </w:style>
  <w:style w:type="paragraph" w:customStyle="1" w:styleId="Point0letter">
    <w:name w:val="Point 0 (letter)"/>
    <w:basedOn w:val="Normal"/>
    <w:pPr>
      <w:numPr>
        <w:ilvl w:val="1"/>
        <w:numId w:val="21"/>
      </w:numPr>
    </w:pPr>
  </w:style>
  <w:style w:type="paragraph" w:customStyle="1" w:styleId="Point1letter">
    <w:name w:val="Point 1 (letter)"/>
    <w:basedOn w:val="Normal"/>
    <w:pPr>
      <w:numPr>
        <w:ilvl w:val="3"/>
        <w:numId w:val="21"/>
      </w:numPr>
    </w:pPr>
  </w:style>
  <w:style w:type="paragraph" w:customStyle="1" w:styleId="Point2letter">
    <w:name w:val="Point 2 (letter)"/>
    <w:basedOn w:val="Normal"/>
    <w:pPr>
      <w:numPr>
        <w:ilvl w:val="5"/>
        <w:numId w:val="21"/>
      </w:numPr>
    </w:pPr>
  </w:style>
  <w:style w:type="paragraph" w:customStyle="1" w:styleId="Point3letter">
    <w:name w:val="Point 3 (letter)"/>
    <w:basedOn w:val="Normal"/>
    <w:pPr>
      <w:numPr>
        <w:ilvl w:val="7"/>
        <w:numId w:val="21"/>
      </w:numPr>
    </w:pPr>
  </w:style>
  <w:style w:type="paragraph" w:customStyle="1" w:styleId="Point4letter">
    <w:name w:val="Point 4 (letter)"/>
    <w:basedOn w:val="Normal"/>
    <w:pPr>
      <w:numPr>
        <w:ilvl w:val="8"/>
        <w:numId w:val="21"/>
      </w:numPr>
    </w:pPr>
  </w:style>
  <w:style w:type="paragraph" w:customStyle="1" w:styleId="Bullet0">
    <w:name w:val="Bullet 0"/>
    <w:basedOn w:val="Normal"/>
    <w:pPr>
      <w:numPr>
        <w:numId w:val="22"/>
      </w:numPr>
    </w:pPr>
  </w:style>
  <w:style w:type="paragraph" w:customStyle="1" w:styleId="Bullet1">
    <w:name w:val="Bullet 1"/>
    <w:basedOn w:val="Normal"/>
    <w:pPr>
      <w:numPr>
        <w:numId w:val="23"/>
      </w:numPr>
    </w:pPr>
  </w:style>
  <w:style w:type="paragraph" w:customStyle="1" w:styleId="Bullet2">
    <w:name w:val="Bullet 2"/>
    <w:basedOn w:val="Normal"/>
    <w:pPr>
      <w:numPr>
        <w:numId w:val="24"/>
      </w:numPr>
    </w:pPr>
  </w:style>
  <w:style w:type="paragraph" w:customStyle="1" w:styleId="Bullet3">
    <w:name w:val="Bullet 3"/>
    <w:basedOn w:val="Normal"/>
    <w:pPr>
      <w:numPr>
        <w:numId w:val="25"/>
      </w:numPr>
    </w:pPr>
  </w:style>
  <w:style w:type="paragraph" w:customStyle="1" w:styleId="Bullet4">
    <w:name w:val="Bullet 4"/>
    <w:basedOn w:val="Normal"/>
    <w:pPr>
      <w:numPr>
        <w:numId w:val="26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2"/>
      </w:numPr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4"/>
      </w:numPr>
    </w:pPr>
  </w:style>
  <w:style w:type="paragraph" w:customStyle="1" w:styleId="Tiret1">
    <w:name w:val="Tiret 1"/>
    <w:basedOn w:val="Point1"/>
    <w:pPr>
      <w:numPr>
        <w:numId w:val="15"/>
      </w:numPr>
    </w:pPr>
  </w:style>
  <w:style w:type="paragraph" w:customStyle="1" w:styleId="Tiret2">
    <w:name w:val="Tiret 2"/>
    <w:basedOn w:val="Point2"/>
    <w:pPr>
      <w:numPr>
        <w:numId w:val="16"/>
      </w:numPr>
    </w:pPr>
  </w:style>
  <w:style w:type="paragraph" w:customStyle="1" w:styleId="Tiret3">
    <w:name w:val="Tiret 3"/>
    <w:basedOn w:val="Point3"/>
    <w:pPr>
      <w:numPr>
        <w:numId w:val="17"/>
      </w:numPr>
    </w:pPr>
  </w:style>
  <w:style w:type="paragraph" w:customStyle="1" w:styleId="Tiret4">
    <w:name w:val="Tiret 4"/>
    <w:basedOn w:val="Point4"/>
    <w:pPr>
      <w:numPr>
        <w:numId w:val="1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21"/>
      </w:numPr>
    </w:pPr>
  </w:style>
  <w:style w:type="paragraph" w:customStyle="1" w:styleId="Point1number">
    <w:name w:val="Point 1 (number)"/>
    <w:basedOn w:val="Normal"/>
    <w:pPr>
      <w:numPr>
        <w:ilvl w:val="2"/>
        <w:numId w:val="21"/>
      </w:numPr>
    </w:pPr>
  </w:style>
  <w:style w:type="paragraph" w:customStyle="1" w:styleId="Point2number">
    <w:name w:val="Point 2 (number)"/>
    <w:basedOn w:val="Normal"/>
    <w:pPr>
      <w:numPr>
        <w:ilvl w:val="4"/>
        <w:numId w:val="21"/>
      </w:numPr>
    </w:pPr>
  </w:style>
  <w:style w:type="paragraph" w:customStyle="1" w:styleId="Point3number">
    <w:name w:val="Point 3 (number)"/>
    <w:basedOn w:val="Normal"/>
    <w:pPr>
      <w:numPr>
        <w:ilvl w:val="6"/>
        <w:numId w:val="21"/>
      </w:numPr>
    </w:pPr>
  </w:style>
  <w:style w:type="paragraph" w:customStyle="1" w:styleId="Point0letter">
    <w:name w:val="Point 0 (letter)"/>
    <w:basedOn w:val="Normal"/>
    <w:pPr>
      <w:numPr>
        <w:ilvl w:val="1"/>
        <w:numId w:val="21"/>
      </w:numPr>
    </w:pPr>
  </w:style>
  <w:style w:type="paragraph" w:customStyle="1" w:styleId="Point1letter">
    <w:name w:val="Point 1 (letter)"/>
    <w:basedOn w:val="Normal"/>
    <w:pPr>
      <w:numPr>
        <w:ilvl w:val="3"/>
        <w:numId w:val="21"/>
      </w:numPr>
    </w:pPr>
  </w:style>
  <w:style w:type="paragraph" w:customStyle="1" w:styleId="Point2letter">
    <w:name w:val="Point 2 (letter)"/>
    <w:basedOn w:val="Normal"/>
    <w:pPr>
      <w:numPr>
        <w:ilvl w:val="5"/>
        <w:numId w:val="21"/>
      </w:numPr>
    </w:pPr>
  </w:style>
  <w:style w:type="paragraph" w:customStyle="1" w:styleId="Point3letter">
    <w:name w:val="Point 3 (letter)"/>
    <w:basedOn w:val="Normal"/>
    <w:pPr>
      <w:numPr>
        <w:ilvl w:val="7"/>
        <w:numId w:val="21"/>
      </w:numPr>
    </w:pPr>
  </w:style>
  <w:style w:type="paragraph" w:customStyle="1" w:styleId="Point4letter">
    <w:name w:val="Point 4 (letter)"/>
    <w:basedOn w:val="Normal"/>
    <w:pPr>
      <w:numPr>
        <w:ilvl w:val="8"/>
        <w:numId w:val="21"/>
      </w:numPr>
    </w:pPr>
  </w:style>
  <w:style w:type="paragraph" w:customStyle="1" w:styleId="Bullet0">
    <w:name w:val="Bullet 0"/>
    <w:basedOn w:val="Normal"/>
    <w:pPr>
      <w:numPr>
        <w:numId w:val="22"/>
      </w:numPr>
    </w:pPr>
  </w:style>
  <w:style w:type="paragraph" w:customStyle="1" w:styleId="Bullet1">
    <w:name w:val="Bullet 1"/>
    <w:basedOn w:val="Normal"/>
    <w:pPr>
      <w:numPr>
        <w:numId w:val="23"/>
      </w:numPr>
    </w:pPr>
  </w:style>
  <w:style w:type="paragraph" w:customStyle="1" w:styleId="Bullet2">
    <w:name w:val="Bullet 2"/>
    <w:basedOn w:val="Normal"/>
    <w:pPr>
      <w:numPr>
        <w:numId w:val="24"/>
      </w:numPr>
    </w:pPr>
  </w:style>
  <w:style w:type="paragraph" w:customStyle="1" w:styleId="Bullet3">
    <w:name w:val="Bullet 3"/>
    <w:basedOn w:val="Normal"/>
    <w:pPr>
      <w:numPr>
        <w:numId w:val="25"/>
      </w:numPr>
    </w:pPr>
  </w:style>
  <w:style w:type="paragraph" w:customStyle="1" w:styleId="Bullet4">
    <w:name w:val="Bullet 4"/>
    <w:basedOn w:val="Normal"/>
    <w:pPr>
      <w:numPr>
        <w:numId w:val="26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egsee.gr/ekdosi/etisia-ekthesi-2016-ine-gsee-i-elliniki-ikonomia-ke-i-apascholisi/" TargetMode="External"/><Relationship Id="rId3" Type="http://schemas.openxmlformats.org/officeDocument/2006/relationships/hyperlink" Target="http://iobe.gr/docs/situation/BCS_01032017_PRE_GR.pdf" TargetMode="External"/><Relationship Id="rId7" Type="http://schemas.openxmlformats.org/officeDocument/2006/relationships/hyperlink" Target="http://www.greekecommerce.gr/gr/file-download/eltrun-ecommerce-b2c-2016" TargetMode="External"/><Relationship Id="rId2" Type="http://schemas.openxmlformats.org/officeDocument/2006/relationships/hyperlink" Target="http://www.imegsevee.gr/dtimegsevee/1078--l-r" TargetMode="External"/><Relationship Id="rId1" Type="http://schemas.openxmlformats.org/officeDocument/2006/relationships/hyperlink" Target="https://ec.europa.eu/info/sites/info/files/ecfin_forecast_spring_110517_el_en.pdf" TargetMode="External"/><Relationship Id="rId6" Type="http://schemas.openxmlformats.org/officeDocument/2006/relationships/hyperlink" Target="http://www.statistics.gr/en/statistics/-/publication/DKT39/2017-M05" TargetMode="External"/><Relationship Id="rId5" Type="http://schemas.openxmlformats.org/officeDocument/2006/relationships/hyperlink" Target="https://www.nbg.gr/greek/the-group/press-office/e-spot/reports/Documents/SMEs%20Survey_Retail%20Trade%20(September%202016).pdf" TargetMode="External"/><Relationship Id="rId10" Type="http://schemas.openxmlformats.org/officeDocument/2006/relationships/hyperlink" Target="http://www.statistics.gr/documents/20181/44dfe0a4-2f54-47c0-aa04-83b6d56508f8" TargetMode="External"/><Relationship Id="rId4" Type="http://schemas.openxmlformats.org/officeDocument/2006/relationships/hyperlink" Target="http://www.bankofgreece.gr/BogEkdoseis/Summary_Annrep2016.pdf" TargetMode="External"/><Relationship Id="rId9" Type="http://schemas.openxmlformats.org/officeDocument/2006/relationships/hyperlink" Target="http://www.ilo.org/global/about-the-ilo/multimedia/maps-and-charts/WCMS_442905/lang--en/index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net1.cec.eu.int\EMPL\F\F2\1.10.11.10%20EGF\05%20Individual%20cases\EGF_2017_003%20GR%20Attica%20retail\02%20Assessment\0%20Assessment\Statistics\Eurostat_Table_tsdec450&#176;total%20unempl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Sheet0!$A$5</c:f>
              <c:strCache>
                <c:ptCount val="1"/>
                <c:pt idx="0">
                  <c:v>EU (28 countries)</c:v>
                </c:pt>
              </c:strCache>
            </c:strRef>
          </c:tx>
          <c:spPr>
            <a:ln>
              <a:solidFill>
                <a:srgbClr val="0000FF"/>
              </a:solidFill>
            </a:ln>
          </c:spPr>
          <c:marker>
            <c:symbol val="none"/>
          </c:marker>
          <c:cat>
            <c:strRef>
              <c:f>Sheet0!$B$4:$AS$4</c:f>
              <c:strCache>
                <c:ptCount val="9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</c:strCache>
            </c:strRef>
          </c:cat>
          <c:val>
            <c:numRef>
              <c:f>Sheet0!$B$5:$AS$5</c:f>
              <c:numCache>
                <c:formatCode>General</c:formatCode>
                <c:ptCount val="9"/>
                <c:pt idx="0">
                  <c:v>7</c:v>
                </c:pt>
                <c:pt idx="1">
                  <c:v>9</c:v>
                </c:pt>
                <c:pt idx="2">
                  <c:v>9.6</c:v>
                </c:pt>
                <c:pt idx="3">
                  <c:v>9.6999999999999993</c:v>
                </c:pt>
                <c:pt idx="4">
                  <c:v>10.5</c:v>
                </c:pt>
                <c:pt idx="5">
                  <c:v>10.9</c:v>
                </c:pt>
                <c:pt idx="6">
                  <c:v>10.199999999999999</c:v>
                </c:pt>
                <c:pt idx="7">
                  <c:v>9.4</c:v>
                </c:pt>
                <c:pt idx="8">
                  <c:v>8.6</c:v>
                </c:pt>
              </c:numCache>
            </c:numRef>
          </c:val>
          <c:smooth val="0"/>
        </c:ser>
        <c:ser>
          <c:idx val="11"/>
          <c:order val="1"/>
          <c:tx>
            <c:strRef>
              <c:f>Sheet0!$A$16</c:f>
              <c:strCache>
                <c:ptCount val="1"/>
                <c:pt idx="0">
                  <c:v>Greece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marker>
            <c:symbol val="square"/>
            <c:size val="5"/>
          </c:marker>
          <c:cat>
            <c:strRef>
              <c:f>Sheet0!$B$4:$AS$4</c:f>
              <c:strCache>
                <c:ptCount val="9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</c:strCache>
            </c:strRef>
          </c:cat>
          <c:val>
            <c:numRef>
              <c:f>Sheet0!$B$16:$AS$16</c:f>
              <c:numCache>
                <c:formatCode>General</c:formatCode>
                <c:ptCount val="9"/>
                <c:pt idx="0">
                  <c:v>7.8</c:v>
                </c:pt>
                <c:pt idx="1">
                  <c:v>9.6</c:v>
                </c:pt>
                <c:pt idx="2">
                  <c:v>12.7</c:v>
                </c:pt>
                <c:pt idx="3">
                  <c:v>17.899999999999999</c:v>
                </c:pt>
                <c:pt idx="4">
                  <c:v>24.5</c:v>
                </c:pt>
                <c:pt idx="5">
                  <c:v>27.5</c:v>
                </c:pt>
                <c:pt idx="6">
                  <c:v>26.5</c:v>
                </c:pt>
                <c:pt idx="7">
                  <c:v>24.9</c:v>
                </c:pt>
                <c:pt idx="8">
                  <c:v>23.6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0117120"/>
        <c:axId val="57050240"/>
      </c:lineChart>
      <c:catAx>
        <c:axId val="80117120"/>
        <c:scaling>
          <c:orientation val="minMax"/>
        </c:scaling>
        <c:delete val="0"/>
        <c:axPos val="b"/>
        <c:majorTickMark val="out"/>
        <c:minorTickMark val="none"/>
        <c:tickLblPos val="nextTo"/>
        <c:crossAx val="57050240"/>
        <c:crosses val="autoZero"/>
        <c:auto val="1"/>
        <c:lblAlgn val="ctr"/>
        <c:lblOffset val="100"/>
        <c:noMultiLvlLbl val="0"/>
      </c:catAx>
      <c:valAx>
        <c:axId val="570502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0117120"/>
        <c:crosses val="autoZero"/>
        <c:crossBetween val="between"/>
      </c:valAx>
    </c:plotArea>
    <c:legend>
      <c:legendPos val="r"/>
      <c:overlay val="0"/>
      <c:spPr>
        <a:ln>
          <a:solidFill>
            <a:srgbClr val="FF0000"/>
          </a:solidFill>
        </a:ln>
      </c:spPr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_rels/drawing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png"/><Relationship Id="rId1" Type="http://schemas.openxmlformats.org/officeDocument/2006/relationships/image" Target="../media/image2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1</cdr:x>
      <cdr:y>1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0" y="0"/>
          <a:ext cx="9485715" cy="3333334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</cdr:x>
      <cdr:y>0</cdr:y>
    </cdr:from>
    <cdr:to>
      <cdr:x>1</cdr:x>
      <cdr:y>1</cdr:y>
    </cdr:to>
    <cdr:pic>
      <cdr:nvPicPr>
        <cdr:cNvPr id="3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2"/>
        <a:stretch xmlns:a="http://schemas.openxmlformats.org/drawingml/2006/main">
          <a:fillRect/>
        </a:stretch>
      </cdr:blipFill>
      <cdr:spPr>
        <a:xfrm xmlns:a="http://schemas.openxmlformats.org/drawingml/2006/main">
          <a:off x="0" y="0"/>
          <a:ext cx="9361905" cy="3304762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</cdr:x>
      <cdr:y>0</cdr:y>
    </cdr:from>
    <cdr:to>
      <cdr:x>1</cdr:x>
      <cdr:y>1</cdr:y>
    </cdr:to>
    <cdr:pic>
      <cdr:nvPicPr>
        <cdr:cNvPr id="4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2"/>
        <a:stretch xmlns:a="http://schemas.openxmlformats.org/drawingml/2006/main">
          <a:fillRect/>
        </a:stretch>
      </cdr:blipFill>
      <cdr:spPr>
        <a:xfrm xmlns:a="http://schemas.openxmlformats.org/drawingml/2006/main">
          <a:off x="0" y="0"/>
          <a:ext cx="9361905" cy="3304762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B5E06-A6C1-4FFC-A106-EF6D36886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2</TotalTime>
  <Pages>16</Pages>
  <Words>4398</Words>
  <Characters>24235</Characters>
  <Application>Microsoft Office Word</Application>
  <DocSecurity>0</DocSecurity>
  <Lines>655</Lines>
  <Paragraphs>340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17</cp:revision>
  <cp:lastPrinted>2017-09-01T11:58:00Z</cp:lastPrinted>
  <dcterms:created xsi:type="dcterms:W3CDTF">2017-10-13T10:38:00Z</dcterms:created>
  <dcterms:modified xsi:type="dcterms:W3CDTF">2017-10-20T14:20:00Z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5.8.3, Build 20140113</vt:lpwstr>
  </property>
  <property fmtid="{D5CDD505-2E9C-101B-9397-08002B2CF9AE}" pid="7" name="Part">
    <vt:lpwstr>1</vt:lpwstr>
  </property>
  <property fmtid="{D5CDD505-2E9C-101B-9397-08002B2CF9AE}" pid="8" name="Total parts">
    <vt:lpwstr>1</vt:lpwstr>
  </property>
  <property fmtid="{D5CDD505-2E9C-101B-9397-08002B2CF9AE}" pid="9" name="LWTemplateID">
    <vt:lpwstr>SJ-026</vt:lpwstr>
  </property>
  <property fmtid="{D5CDD505-2E9C-101B-9397-08002B2CF9AE}" pid="10" name="DQCStatus">
    <vt:lpwstr>Green (DQC version 03)</vt:lpwstr>
  </property>
</Properties>
</file>