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1F034A1E08D4A0C897201733BA4BBE4" style="width:450.4pt;height:39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На 9 февруари 2017 г. Съдът постанови решението си по дело C-585/15, Raffinerie Tirlemontoise SA/Белгия, с което обяви за невалидни Регламент (ЕО) № 2267/2000 на Комисията от 12 октомври 2000 г. за определяне на размера на налога върху производството и коефициента за изчисляване на допълнителния налог в сектора на захарта за пазарната 1999/2000 година и Регламент (ЕО) № 1993/2001 на Комисията от 11 октомври 2001 г. за определяне на размера на налога върху производството в сектора на захарта за пазарната 2000/2001 година.</w:t>
      </w:r>
    </w:p>
    <w:p>
      <w:pPr>
        <w:rPr>
          <w:noProof/>
        </w:rPr>
      </w:pPr>
      <w:r>
        <w:rPr>
          <w:noProof/>
        </w:rPr>
        <w:t xml:space="preserve">Налогът за въпросните пазарни години бе първоначално определен от Комисията в съответствие с Регламент (ЕО) № 2038/1999 на Съвета от 13 септември 1999 г. относно общата организация на пазарите в сектора на захарта. В посочения регламент се предвиждаше система за самофинансиране на сектора на захарта чрез гъвкави налози върху производството. </w:t>
      </w:r>
    </w:p>
    <w:p>
      <w:pPr>
        <w:rPr>
          <w:noProof/>
        </w:rPr>
      </w:pPr>
      <w:r>
        <w:rPr>
          <w:noProof/>
        </w:rPr>
        <w:t>Съгласно Регламент (ЕО) № 2038/1999 на Съвета общата организация на пазарите в сектора на захарта се основаваше на принципа, че производителят носи пълна финансова отговорност за натрупаните през всяка пазарна година загуби от реализирането на пазара на тази част от продукцията на Общността по квотата, която представлява излишък спрямо вътрешното потребление на Общността, и на диференциацията на ценовите гаранции за реализация на пазара, отразяващи определената за всяко предприятие производствена квота.</w:t>
      </w:r>
    </w:p>
    <w:p>
      <w:pPr>
        <w:rPr>
          <w:noProof/>
        </w:rPr>
      </w:pPr>
      <w:r>
        <w:rPr>
          <w:noProof/>
        </w:rPr>
        <w:t>Принципът на финансова отговорност се гарантираше от приноса на производителите под формата на плащане на основен налог върху производството за цялата продукция на захар А и Б, ограничен до 2 % от интервенционната цена за бяла захар, и на налог Б за продукцията на захар Б, ограничен до 37,5 % от тази цена. Когато тези налози не позволяваха да се постигне целта за самофинансиране на сектора за всяка пазарна година, в Регламент (ЕО) № 2038/1999 се предвиждаше допълнителен налог, който да се заплаща от производителите. В член 33 от Регламент (ЕО) № 2038/1999 са определени елементите, които трябва да бъдат взети предвид при изчисляването на налозите.</w:t>
      </w:r>
    </w:p>
    <w:p>
      <w:pPr>
        <w:rPr>
          <w:noProof/>
        </w:rPr>
      </w:pPr>
      <w:r>
        <w:rPr>
          <w:noProof/>
        </w:rPr>
        <w:t>В горепосоченото решение Съдът не постави под въпрос системата на налози върху производството, нито принципа, според който производителите на захар трябва да носят пълната финансова отговорност за натрупаните през всяка пазарна година загуби от реализирането на пазара на тази част от продукцията по квотата, която представлява излишък спрямо вътрешното потребление на Съюза, и следователно подлежат на облагане по отношение на продукцията по квота, като размерът на налога следва да бъде определен от Комисията с оглед покриване на загубите, понесени през пазарните години 1999/2000 и 2000/2001.</w:t>
      </w:r>
    </w:p>
    <w:p>
      <w:pPr>
        <w:rPr>
          <w:noProof/>
        </w:rPr>
      </w:pPr>
      <w:r>
        <w:rPr>
          <w:noProof/>
        </w:rPr>
        <w:t>Съдът постанови обаче, че Комисията е допуснала грешки при изчисляването на годишните налози за въпросния период съгласно Регламент (ЕО) № 2038/1999 на Съвета. Той установи, че методът, използван от Комисията в нейните регламенти (ЕО) № 2267/2000 и (ЕО) № 1993/2001 за определяне на размера на налога, е бил неправилен, тъй като е довел до надценяване на разходите, които е трябвало да бъдат покрити, и следователно до неоснователно надвнесени налози от производителите на захар.</w:t>
      </w:r>
    </w:p>
    <w:p>
      <w:pPr>
        <w:rPr>
          <w:noProof/>
        </w:rPr>
      </w:pPr>
      <w:r>
        <w:rPr>
          <w:noProof/>
        </w:rPr>
        <w:t xml:space="preserve">Решението остави юридическа празнота по отношение на точната сума на налозите за пазарните години 1999/2000 и 2000/2001. Поради това, за да бъдат приведени в съответствие с решението на Съда, следва налозите за тези пазарни години да се заменят с обратно действие с нови налози, изчислени по утвърдения от Съда метод.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В съответствие с член 266 от ДФЕС „институцията, чийто акт е бил отменен [...] е длъжна да предприеме необходимите мерки за изпълнение на решението на Съда на Европейския съюз“.</w:t>
      </w:r>
      <w:r>
        <w:rPr>
          <w:i/>
          <w:noProof/>
        </w:rPr>
        <w:t xml:space="preserve"> </w:t>
      </w:r>
      <w:r>
        <w:rPr>
          <w:noProof/>
        </w:rPr>
        <w:t>Поради това след отмяната на регламенти (ЕО) № 2267/2000 и (ЕО) № 1993/2001 за въпросния период трябва да бъдат определени нови налози.</w:t>
      </w:r>
    </w:p>
    <w:p>
      <w:pPr>
        <w:pBdr>
          <w:top w:val="nil"/>
          <w:left w:val="nil"/>
          <w:bottom w:val="nil"/>
          <w:right w:val="nil"/>
          <w:between w:val="nil"/>
          <w:bar w:val="nil"/>
        </w:pBdr>
        <w:spacing w:before="0" w:after="240"/>
        <w:rPr>
          <w:rFonts w:eastAsia="Arial Unicode MS"/>
          <w:noProof/>
        </w:rPr>
      </w:pPr>
      <w:r>
        <w:rPr>
          <w:noProof/>
        </w:rPr>
        <w:t xml:space="preserve">След 1999 г. уредбата на общата организация на пазара за сектора на захарта се промени: Регламент (ЕО) № 2038/1999 беше отменен и заменен с Регламент (ЕО) № 1260/2001 на Съвета, който пък беше отменен и заменен с Регламент (ЕО) № 318/2006, а той — отменен и заменен с Регламент (ЕО) № 1234/2007 на Съвета. Регламент (ЕС) № 1308/2013 на Съвета отмени и замени Регламент (ЕО) № 1234/2007 на Съвета. Прочее, Регламент (ЕО) № 2038/1999 на Съвета вече не може да служи като правно основание за коригиране на налозите. Следователно Комисията не е оправомощена да приеме правния акт за поправка, необходим за изпълнение на решението. </w:t>
      </w:r>
    </w:p>
    <w:p>
      <w:pPr>
        <w:pBdr>
          <w:top w:val="nil"/>
          <w:left w:val="nil"/>
          <w:bottom w:val="nil"/>
          <w:right w:val="nil"/>
          <w:between w:val="nil"/>
          <w:bar w:val="nil"/>
        </w:pBdr>
        <w:spacing w:before="0" w:after="240"/>
        <w:rPr>
          <w:rFonts w:eastAsia="Arial Unicode MS"/>
          <w:noProof/>
        </w:rPr>
      </w:pPr>
      <w:r>
        <w:rPr>
          <w:noProof/>
        </w:rPr>
        <w:t>Съгласно член 43, параграф 3 от ДФЕС „Съветът, по предложение на Комисията, приема мерки за определяне на [...] налозите“. С оглед на естеството на предложения регламент изглежда, че член 43, параграф 3 от ДФЕС е най-подходящото правно основание за коригиране на размера на налозите върху захарта за въпросните пазарни години.</w:t>
      </w:r>
    </w:p>
    <w:p>
      <w:pPr>
        <w:pBdr>
          <w:top w:val="nil"/>
          <w:left w:val="nil"/>
          <w:bottom w:val="nil"/>
          <w:right w:val="nil"/>
          <w:between w:val="nil"/>
          <w:bar w:val="nil"/>
        </w:pBdr>
        <w:spacing w:before="0" w:after="240"/>
        <w:rPr>
          <w:rFonts w:eastAsia="Arial Unicode MS"/>
          <w:noProof/>
        </w:rPr>
      </w:pPr>
      <w:r>
        <w:rPr>
          <w:noProof/>
        </w:rPr>
        <w:t>В гореспоменатото решение Съдът поясни всички елементи, които трябва да се вземат под внимание при изчисляването на „средната загуба“ по смисъла на член 33 от Регламент (ЕО) № 2038/1999 на Съвета, служеща за определяне на „общата загуба“, която трябва да бъде покрита от налога върху производството. По-специално „средната загуба“ трябва да бъде изчислена, като сумата на действително изплатените възстановявания се раздели на цялото изнесено количество захар по квотата, независимо от това дали върху износа са били изплатени възстановявания. Прилагането на посочения от Съда нов метод води до значително намаление на „средната загуба“ и на „общата загуба“, които да бъдат покрити чрез налозите за въпросния период.</w:t>
      </w:r>
    </w:p>
    <w:p>
      <w:pPr>
        <w:pBdr>
          <w:top w:val="nil"/>
          <w:left w:val="nil"/>
          <w:bottom w:val="nil"/>
          <w:right w:val="nil"/>
          <w:between w:val="nil"/>
          <w:bar w:val="nil"/>
        </w:pBdr>
        <w:spacing w:before="0" w:after="240"/>
        <w:rPr>
          <w:rFonts w:eastAsia="Arial Unicode MS"/>
          <w:noProof/>
        </w:rPr>
      </w:pPr>
      <w:r>
        <w:rPr>
          <w:noProof/>
        </w:rPr>
        <w:t>Поради това в предложения регламент ще бъдат установени налозите върху производството за пазарните години 1999/2000 и 2000/2001, преизчислени въз основа на посочения от Съда метод. Това ще позволи на държавите членки да изчислят възстановяванията, дължими на производителите на захар в резултат на неоснователно надвнесените налози за същия период. Държавите членки следва да възстановят изчислените в резултат от прилагането на коригираните налози суми на производителите на захар в съответствие с приложимите национални разпоредби, в т.ч. националните давностни срокове. Те следва да гарантират, че основателните и навременни искания за възстановяване, отправени от икономическите оператори, ще бъдат удовлетворени.</w:t>
      </w:r>
    </w:p>
    <w:p>
      <w:pPr>
        <w:pBdr>
          <w:top w:val="nil"/>
          <w:left w:val="nil"/>
          <w:bottom w:val="nil"/>
          <w:right w:val="nil"/>
          <w:between w:val="nil"/>
          <w:bar w:val="nil"/>
        </w:pBdr>
        <w:spacing w:before="0" w:after="240"/>
        <w:rPr>
          <w:rFonts w:eastAsia="Arial Unicode MS"/>
          <w:noProof/>
        </w:rPr>
      </w:pPr>
      <w:r>
        <w:rPr>
          <w:noProof/>
        </w:rPr>
        <w:t>Освен това поправката на налозите върху производството за пазарните години 1999/2000 и 2000/2001 ще има отражение и върху сумата, дължима от производителите на захар на производителите на цвекло, що се отнася до разликата между максималната стойност на налог A или Б и размера на същите налози, изплатени за съответните пазарни години.</w:t>
      </w:r>
    </w:p>
    <w:p>
      <w:pPr>
        <w:pBdr>
          <w:top w:val="nil"/>
          <w:left w:val="nil"/>
          <w:bottom w:val="nil"/>
          <w:right w:val="nil"/>
          <w:between w:val="nil"/>
          <w:bar w:val="nil"/>
        </w:pBdr>
        <w:spacing w:before="0" w:after="240"/>
        <w:rPr>
          <w:rFonts w:eastAsia="Arial Unicode MS"/>
          <w:noProof/>
        </w:rPr>
      </w:pPr>
      <w:r>
        <w:rPr>
          <w:noProof/>
        </w:rPr>
        <w:t xml:space="preserve">Съгласно общата организация на пазарите в сектора на захарта, която беше в сила до 2006 г., налозите се изплащаха от производителите на захар, но 60 % от тези разходи се компенсираха за сметка на производителите на цвекло чрез по-ниската цена на цвеклото. Когато размерът на налозите беше определен под максималното равнище за налог A или Б (съответно 2 % и 37,5 % от интервенционната цена за бяла захар), съгласно член 36, параграф 2 от Регламент (ЕО) № 2038/1999 производителите на захар трябваше да плащат на продавачите на цвекло 60 % от разликата между максималната стойност на въпросния налог и действително дължимата стойност на основния налог или налога Б. </w:t>
      </w:r>
    </w:p>
    <w:p>
      <w:pPr>
        <w:pBdr>
          <w:top w:val="nil"/>
          <w:left w:val="nil"/>
          <w:bottom w:val="nil"/>
          <w:right w:val="nil"/>
          <w:between w:val="nil"/>
          <w:bar w:val="nil"/>
        </w:pBdr>
        <w:spacing w:before="0" w:after="240"/>
        <w:rPr>
          <w:rFonts w:eastAsia="Arial Unicode MS"/>
          <w:noProof/>
        </w:rPr>
      </w:pPr>
      <w:r>
        <w:rPr>
          <w:noProof/>
        </w:rPr>
        <w:t>Поради това с настоящия правен акт за поправка се определят коригираните суми, които производителите на захар следва да възстановят на продавачите на цвекло. На продавачите на цвекло следва да се възстанови само разликата между старите и новите суми.</w:t>
      </w:r>
    </w:p>
    <w:p>
      <w:pPr>
        <w:pBdr>
          <w:top w:val="nil"/>
          <w:left w:val="nil"/>
          <w:bottom w:val="nil"/>
          <w:right w:val="nil"/>
          <w:between w:val="nil"/>
          <w:bar w:val="nil"/>
        </w:pBdr>
        <w:spacing w:before="0" w:after="240"/>
        <w:rPr>
          <w:rFonts w:eastAsia="Arial Unicode MS"/>
          <w:noProof/>
        </w:rPr>
      </w:pPr>
      <w:r>
        <w:rPr>
          <w:noProof/>
        </w:rPr>
        <w:t>Възстановяването на налозите върху захарта представлява коригиране на първоначално изплатените налози върху захарта за собствените ресурси на ЕС. Държавите членки трябва да въведат новите права за плащане във връзка с налога върху захарта въз основа на новия размер на налозите не по-късно от 30 септември 2018 г.</w:t>
      </w:r>
    </w:p>
    <w:p>
      <w:pPr>
        <w:pStyle w:val="ManualHeading1"/>
        <w:jc w:val="left"/>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rPr>
          <w:rFonts w:eastAsia="Times New Roman"/>
          <w:noProof/>
          <w:szCs w:val="24"/>
        </w:rPr>
      </w:pPr>
      <w:r>
        <w:rPr>
          <w:noProof/>
        </w:rPr>
        <w:t xml:space="preserve">Комисията представи на държавите членки работен документ, свързан с определянето на коригираните налози върху захарта и последващите действия във връзка с решението на Съда от 9 февруари 2017 г. Този работен документ беше представен и обсъден в Управителния комитет за общата организация на селскостопанските пазари на 28 септември 2017 г. </w:t>
      </w:r>
    </w:p>
    <w:p>
      <w:pPr>
        <w:rPr>
          <w:rFonts w:eastAsia="Times New Roman"/>
          <w:noProof/>
          <w:szCs w:val="24"/>
        </w:rPr>
      </w:pPr>
      <w:r>
        <w:rPr>
          <w:noProof/>
        </w:rPr>
        <w:t>Редица държави членки призоваха Комисията да изготви правен акт за поправка на налозите, който следва да включва възстановяването със средства от бюджета на Съюза на лихвите по възстановяванията, които съответните държави членки са изплатили или предстои да изплатят на производителите на захар във връзка с платените от тях завишени налози за съответните години. Освен това според някои делегации лихвите следва да се изчисляват при единна ставка на европейско равнище.</w:t>
      </w:r>
    </w:p>
    <w:p>
      <w:pPr>
        <w:pStyle w:val="ManualHeading1"/>
        <w:rPr>
          <w:noProof/>
        </w:rPr>
      </w:pPr>
      <w:r>
        <w:rPr>
          <w:noProof/>
        </w:rPr>
        <w:t>4.</w:t>
      </w:r>
      <w:r>
        <w:rPr>
          <w:noProof/>
        </w:rPr>
        <w:tab/>
        <w:t>ОТРАЖЕНИЯ ВЪРХУ БЮДЖЕТА</w:t>
      </w:r>
    </w:p>
    <w:p>
      <w:pPr>
        <w:pBdr>
          <w:top w:val="nil"/>
          <w:left w:val="nil"/>
          <w:bottom w:val="nil"/>
          <w:right w:val="nil"/>
          <w:between w:val="nil"/>
          <w:bar w:val="nil"/>
        </w:pBdr>
        <w:spacing w:before="0" w:after="240"/>
        <w:rPr>
          <w:rFonts w:eastAsia="Arial Unicode MS"/>
          <w:noProof/>
        </w:rPr>
      </w:pPr>
      <w:r>
        <w:rPr>
          <w:noProof/>
        </w:rPr>
        <w:t>Корекцията на налозите върху производството на захар за пазарните години 1999/2000 и 2000/2001 ще доведе до негативна поправка в размер на 116 318 466 EUR, която ще бъде за сметка на собствените ресурси в бюджета на ЕС. Освен тази сума държавите членки биха могли да поискат от Комисията възстановяването на действително изплатените от тях лихви в съответствие с тяхното национално законодателство, вследствие на възстановяването на неправилно завишените налози, събирани за съответните години. Тези разходи ще бъдат поети от бюджета на ЕС и възстановени поотделно на всяка от засегнатите държави членки след представяне на съответните доказателства за извършено плащане.</w:t>
      </w:r>
    </w:p>
    <w:p>
      <w:pPr>
        <w:pBdr>
          <w:top w:val="nil"/>
          <w:left w:val="nil"/>
          <w:bottom w:val="nil"/>
          <w:right w:val="nil"/>
          <w:between w:val="nil"/>
          <w:bar w:val="nil"/>
        </w:pBdr>
        <w:spacing w:before="0" w:after="240"/>
        <w:rPr>
          <w:b/>
          <w:noProof/>
        </w:rPr>
      </w:pPr>
      <w:r>
        <w:t xml:space="preserve"> </w:t>
      </w:r>
      <w:r>
        <w:rPr>
          <w:b/>
          <w:noProof/>
        </w:rPr>
        <w:t>5.</w:t>
      </w:r>
      <w:r>
        <w:rPr>
          <w:noProof/>
        </w:rPr>
        <w:tab/>
      </w:r>
      <w:r>
        <w:rPr>
          <w:b/>
          <w:noProof/>
        </w:rPr>
        <w:t>ДРУГИ ЕЛЕМЕНТИ</w:t>
      </w:r>
    </w:p>
    <w:p>
      <w:pPr>
        <w:rPr>
          <w:rFonts w:eastAsia="Times New Roman"/>
          <w:noProof/>
          <w:szCs w:val="24"/>
        </w:rPr>
      </w:pPr>
      <w:r>
        <w:rPr>
          <w:noProof/>
        </w:rPr>
        <w:t>Същевременно Комисията изготвя работен документ на своите служби, придружаващ настоящото предложение за регламент на Съвета, с цел изясняване на някои елементи, свързани с възстановяванията на главницата и лихвите, възстановяванията в полза на продавачите на цвекло, счетоводната процедура и наблюдението на процеса на възстановяване.</w:t>
      </w:r>
    </w:p>
    <w:p>
      <w:pPr>
        <w:rPr>
          <w:rFonts w:eastAsia="Times New Roman"/>
          <w:noProof/>
          <w:szCs w:val="24"/>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2017/0269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 xml:space="preserve">за определяне на размера на налозите върху производството и коефициента на допълнителния налог в сектора на захарта за пазарната 1999/2000 година и за определяне на размера на налозите върху производството в сектора на захарта за пазарната 2000/2001 година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член 33, параграф 8 и член 34, параграф 5 от Регламент (ЕО) № 2038/1999 на Съвета</w:t>
      </w:r>
      <w:r>
        <w:rPr>
          <w:rStyle w:val="FootnoteReference"/>
          <w:noProof/>
        </w:rPr>
        <w:footnoteReference w:id="1"/>
      </w:r>
      <w:r>
        <w:rPr>
          <w:noProof/>
        </w:rPr>
        <w:t xml:space="preserve"> Комисията се оправомощава да приеме подробни правила относно основния налог върху производството и коефициента за изчисляване на допълнителни налог, които подлежат на събиране от притежателите на квоти, действащи в рамките на общата организация на пазарите в сектора на захарта.</w:t>
      </w:r>
    </w:p>
    <w:p>
      <w:pPr>
        <w:pStyle w:val="ManualConsidrant"/>
        <w:rPr>
          <w:noProof/>
        </w:rPr>
      </w:pPr>
      <w:r>
        <w:t>(2)</w:t>
      </w:r>
      <w:r>
        <w:tab/>
      </w:r>
      <w:r>
        <w:rPr>
          <w:noProof/>
        </w:rPr>
        <w:t>В регламент (ЕО) № 2267/2000</w:t>
      </w:r>
      <w:r>
        <w:rPr>
          <w:rStyle w:val="FootnoteReference"/>
          <w:noProof/>
        </w:rPr>
        <w:footnoteReference w:id="2"/>
      </w:r>
      <w:r>
        <w:rPr>
          <w:noProof/>
        </w:rPr>
        <w:t xml:space="preserve"> и (ЕО) № 1993/2001</w:t>
      </w:r>
      <w:r>
        <w:rPr>
          <w:rStyle w:val="FootnoteReference"/>
          <w:noProof/>
        </w:rPr>
        <w:footnoteReference w:id="3"/>
      </w:r>
      <w:r>
        <w:rPr>
          <w:noProof/>
        </w:rPr>
        <w:t xml:space="preserve"> на Комисията бяха установени размерът на налога върху производството и коефициентът на допълнителния налог в сектора на захарта. </w:t>
      </w:r>
    </w:p>
    <w:p>
      <w:pPr>
        <w:pStyle w:val="ManualConsidrant"/>
        <w:rPr>
          <w:noProof/>
        </w:rPr>
      </w:pPr>
      <w:r>
        <w:t>(3)</w:t>
      </w:r>
      <w:r>
        <w:tab/>
      </w:r>
      <w:r>
        <w:rPr>
          <w:noProof/>
        </w:rPr>
        <w:t>В рамките на реформата на общата организация на пазарите в сектора на захарта Регламент (ЕО) № 2038/1999 беше отменен и заменен с Регламент (ЕО) № 1260/2001 на Съвета</w:t>
      </w:r>
      <w:r>
        <w:rPr>
          <w:rStyle w:val="FootnoteReference"/>
          <w:noProof/>
        </w:rPr>
        <w:footnoteReference w:id="4"/>
      </w:r>
      <w:r>
        <w:rPr>
          <w:noProof/>
        </w:rPr>
        <w:t>. Регламент (ЕО) № 318/2006 на Съвета</w:t>
      </w:r>
      <w:r>
        <w:rPr>
          <w:rStyle w:val="FootnoteReference"/>
          <w:noProof/>
        </w:rPr>
        <w:footnoteReference w:id="5"/>
      </w:r>
      <w:r>
        <w:rPr>
          <w:noProof/>
        </w:rPr>
        <w:t xml:space="preserve"> отмени и замени Регламент (ЕО) № 1260/2001 на Съвета. Регламент (ЕО) № 318/2006, впоследствие отменен и включен в Регламент (ЕО) № 1234/2007 на Съвета</w:t>
      </w:r>
      <w:r>
        <w:rPr>
          <w:rStyle w:val="FootnoteReference"/>
          <w:noProof/>
        </w:rPr>
        <w:footnoteReference w:id="6"/>
      </w:r>
      <w:r>
        <w:rPr>
          <w:noProof/>
        </w:rPr>
        <w:t>, замени променливата система за налог върху производството в сектора на захарта за самофинансиране на режима на производствени квоти с нова производствена такса, чиято цел е да допринесе за финансирането на разходите, възникващи в сектора на захарта, в рамките на общата организация на пазара на захар. Тази временна производствена такса остана приложима до 30 септември 2017 г. съгласно Регламент (ЕС) № 1308/2013 на Европейския парламент и на Съвета</w:t>
      </w:r>
      <w:r>
        <w:rPr>
          <w:rStyle w:val="FootnoteReference"/>
          <w:noProof/>
        </w:rPr>
        <w:footnoteReference w:id="7"/>
      </w:r>
      <w:r>
        <w:rPr>
          <w:noProof/>
        </w:rPr>
        <w:t xml:space="preserve">, който отмени и замени Регламент (ЕО) № 1234/2007. </w:t>
      </w:r>
    </w:p>
    <w:p>
      <w:pPr>
        <w:pStyle w:val="ManualConsidrant"/>
        <w:rPr>
          <w:noProof/>
        </w:rPr>
      </w:pPr>
      <w:r>
        <w:t>(4)</w:t>
      </w:r>
      <w:r>
        <w:tab/>
      </w:r>
      <w:r>
        <w:rPr>
          <w:noProof/>
        </w:rPr>
        <w:t>С решение от 9 февруари 2017 г.</w:t>
      </w:r>
      <w:r>
        <w:rPr>
          <w:rStyle w:val="FootnoteReference"/>
          <w:noProof/>
        </w:rPr>
        <w:footnoteReference w:id="8"/>
      </w:r>
      <w:r>
        <w:rPr>
          <w:noProof/>
        </w:rPr>
        <w:t xml:space="preserve"> Съдът обяви за невалидни регламент (ЕО) № 2267/2000 и (ЕО) № 1993/2001. В своето решение Съдът прие, че член 33, параграф 1 от Регламент (ЕО) № 2038/1999 трябва да се тълкува в смисъл, че за целите на изчисляването на средната загуба общата сума на действителните разходи, свързани с възстановяванията при износ на продукти, за които се прилага тази разпоредба, следва да се раздели на цялото изнесено количество от тези продукти, независимо дали действително са били изплатени възстановявания за това количество. </w:t>
      </w:r>
    </w:p>
    <w:p>
      <w:pPr>
        <w:pStyle w:val="ManualConsidrant"/>
        <w:rPr>
          <w:noProof/>
        </w:rPr>
      </w:pPr>
      <w:r>
        <w:t>(5)</w:t>
      </w:r>
      <w:r>
        <w:tab/>
      </w:r>
      <w:r>
        <w:rPr>
          <w:noProof/>
        </w:rPr>
        <w:t xml:space="preserve">По-нататък Съдът постанови също, че член 33, параграф 2 от Регламент (ЕО) № 2038/1999 трябва да се тълкува в смисъл, че за целите на определянето на общата сума на налозите върху производството следва да се вземе предвид средната загуба, изчислена като общата сума на действителните разходи, свързани с възстановяванията при износ на продукти, за които се прилага тази разпоредба, се раздели на цялото изнесено количество от тези продукти, независимо дали действително са били изплатени възстановявания за това количество. </w:t>
      </w:r>
    </w:p>
    <w:p>
      <w:pPr>
        <w:pStyle w:val="ManualConsidrant"/>
        <w:rPr>
          <w:noProof/>
        </w:rPr>
      </w:pPr>
      <w:r>
        <w:t>(6)</w:t>
      </w:r>
      <w:r>
        <w:tab/>
      </w:r>
      <w:r>
        <w:rPr>
          <w:noProof/>
        </w:rPr>
        <w:t>Поради това, с цел да се спази решението на Съда, е необходимо да се определи подходящият размер на налозите върху производството и на допълнителните налози.</w:t>
      </w:r>
    </w:p>
    <w:p>
      <w:pPr>
        <w:pStyle w:val="ManualConsidrant"/>
        <w:rPr>
          <w:noProof/>
        </w:rPr>
      </w:pPr>
      <w:r>
        <w:t>(7)</w:t>
      </w:r>
      <w:r>
        <w:tab/>
      </w:r>
      <w:r>
        <w:rPr>
          <w:noProof/>
        </w:rPr>
        <w:t>По-специално „средната загуба“ трябва да бъде изчислена, като сумата на действително изплатените възстановявания се раздели на цялото изнесено количество продукти, които са били допустими за възстановяване, независимо от това дали върху износа са били изплатени възстановявания. Прилагането на посочения от Съда метод води до значително намаление на „средната загуба“ и на „общата загуба“, които се покриват чрез налозите за въпросния период.</w:t>
      </w:r>
    </w:p>
    <w:p>
      <w:pPr>
        <w:pStyle w:val="ManualConsidrant"/>
        <w:rPr>
          <w:noProof/>
        </w:rPr>
      </w:pPr>
      <w:r>
        <w:t>(8)</w:t>
      </w:r>
      <w:r>
        <w:tab/>
      </w:r>
      <w:r>
        <w:rPr>
          <w:noProof/>
        </w:rPr>
        <w:t>Поправката на размера на налога върху производството за пазарните години 1999/2000 и 2000/2001 ще има отражение и върху сумата, дължима от производителите на захар на производителите на цвекло поради разликата между максималната стойност на налог A или Б и размера на същите налози, изплатени за съответните пазарни години.</w:t>
      </w:r>
    </w:p>
    <w:p>
      <w:pPr>
        <w:pStyle w:val="ManualConsidrant"/>
        <w:rPr>
          <w:noProof/>
        </w:rPr>
      </w:pPr>
      <w:r>
        <w:t>(9)</w:t>
      </w:r>
      <w:r>
        <w:tab/>
      </w:r>
      <w:r>
        <w:rPr>
          <w:noProof/>
        </w:rPr>
        <w:t xml:space="preserve">Съгласно правилата за установяване на общата организация на пазарите в сектора на захарта, която беше в сила до 2006 г., тези налози се изплащаха от производителите на захар, но 60 % от тези разходи се компенсираха за сметка на производителите на цвекло чрез по-ниската цена на цвеклото. В член 36, параграф 2 от Регламент (ЕО) № 2038/1999 се предвиждаше, че когато размерът на налозите е бил определен под максималното равнище за налог A или Б (съответно 2 % и 37,5 % от интервенционната цена за бяла захар), производителите на захар е трябвало да плащат на продавачите на цвекло 60 % от разликата между максималната стойност на въпросния налог и действително дължимата стойност на основния налог или налога Б. </w:t>
      </w:r>
    </w:p>
    <w:p>
      <w:pPr>
        <w:pStyle w:val="ManualConsidrant"/>
        <w:rPr>
          <w:noProof/>
        </w:rPr>
      </w:pPr>
      <w:r>
        <w:t>(10)</w:t>
      </w:r>
      <w:r>
        <w:tab/>
      </w:r>
      <w:r>
        <w:rPr>
          <w:noProof/>
        </w:rPr>
        <w:t>Поради това следва да бъдат установени коригираните суми, които производителите на захар да възстановят на продавачите на цвекло. На продавачите на цвекло следва да се възстанови само разликата между старите и новите суми.</w:t>
      </w:r>
    </w:p>
    <w:p>
      <w:pPr>
        <w:pStyle w:val="ManualConsidrant"/>
        <w:rPr>
          <w:noProof/>
        </w:rPr>
      </w:pPr>
      <w:r>
        <w:t>(11)</w:t>
      </w:r>
      <w:r>
        <w:tab/>
      </w:r>
      <w:r>
        <w:rPr>
          <w:noProof/>
        </w:rPr>
        <w:t>За пазарната 1999/2000 година общата загуба, преизчислена съгласно метода, определен от Съда, която не се покрива от налозите, възлиза на 66 941 664 EUR. Коефициентът по член 34, параграф 2 от Регламент (ЕО) № 2038/1999 следва да бъде определен в съответствие с това и следва да бъде приложим с обратно действие за същата пазарна година.</w:t>
      </w:r>
    </w:p>
    <w:p>
      <w:pPr>
        <w:pStyle w:val="ManualConsidrant"/>
        <w:rPr>
          <w:noProof/>
        </w:rPr>
      </w:pPr>
      <w:r>
        <w:t>(12)</w:t>
      </w:r>
      <w:r>
        <w:tab/>
      </w:r>
      <w:r>
        <w:rPr>
          <w:noProof/>
        </w:rPr>
        <w:t>За пазарната 2000/2001 година общата загуба, изчислена съгласно метода, определен от Съда, която не се покрива от налозите, възлиза на 49 376 802 EUR.</w:t>
      </w:r>
    </w:p>
    <w:p>
      <w:pPr>
        <w:pStyle w:val="ManualConsidrant"/>
        <w:rPr>
          <w:noProof/>
        </w:rPr>
      </w:pPr>
      <w:r>
        <w:t>(13)</w:t>
      </w:r>
      <w:r>
        <w:tab/>
      </w:r>
      <w:r>
        <w:rPr>
          <w:noProof/>
        </w:rPr>
        <w:t>От съображения за правна сигурност и за гарантиране на равнопоставеното третиране на съответните икономически оператори в различните държави членки е необходимо да се установи дата, до която посочените в настоящия регламент налози следва да бъдат определени по смисъла на член 2, параграф 2, втора и трета алинея от Регламент (ЕС, Евратом) № 609/2014 на Съвета</w:t>
      </w:r>
      <w:r>
        <w:rPr>
          <w:rStyle w:val="FootnoteReference"/>
          <w:noProof/>
        </w:rPr>
        <w:footnoteReference w:id="9"/>
      </w:r>
      <w:r>
        <w:rPr>
          <w:noProof/>
        </w:rPr>
        <w:t xml:space="preserve">. </w:t>
      </w:r>
    </w:p>
    <w:p>
      <w:pPr>
        <w:pStyle w:val="ManualConsidrant"/>
        <w:rPr>
          <w:noProof/>
        </w:rPr>
      </w:pPr>
      <w:r>
        <w:t>(14)</w:t>
      </w:r>
      <w:r>
        <w:tab/>
      </w:r>
      <w:r>
        <w:rPr>
          <w:noProof/>
        </w:rPr>
        <w:t>На икономическите оператори бяха начислени завишени налози за пазарните години 1999/2000 и 2000/2001. Държавите членки следва да възстановят изчислените в прилагане на коригираните налози суми на икономическите оператори в съответствие с приложимите национални разпоредби, в т.ч. националните давностни срокове. Те следва да гарантират, че основателните и навременни искания за възстановяване, отправени от икономическите оператори, ще бъдат удовлетворени.</w:t>
      </w:r>
    </w:p>
    <w:p>
      <w:pPr>
        <w:pStyle w:val="ManualConsidrant"/>
        <w:rPr>
          <w:noProof/>
        </w:rPr>
      </w:pPr>
      <w:r>
        <w:t>(15)</w:t>
      </w:r>
      <w:r>
        <w:tab/>
      </w:r>
      <w:r>
        <w:rPr>
          <w:noProof/>
        </w:rPr>
        <w:t>Предвиденото в настоящия регламент изчисление на налозите върху производството и на допълнителните налози следва да се прилага, считано от влизането в сила на регламенти (ЕО) № 2267/2000 и (ЕО) № 1993/2001,</w:t>
      </w:r>
    </w:p>
    <w:p>
      <w:pPr>
        <w:pStyle w:val="Formuledadoption"/>
        <w:rPr>
          <w:noProof/>
        </w:rPr>
      </w:pPr>
      <w:r>
        <w:rPr>
          <w:noProof/>
        </w:rPr>
        <w:t>ПРИЕ НАСТОЯЩИЯ РЕГЛАМЕНТ:</w:t>
      </w:r>
    </w:p>
    <w:p>
      <w:pPr>
        <w:pStyle w:val="Titrearticle"/>
        <w:rPr>
          <w:noProof/>
        </w:rPr>
      </w:pPr>
      <w:r>
        <w:rPr>
          <w:noProof/>
        </w:rPr>
        <w:t>Член 1</w:t>
      </w:r>
    </w:p>
    <w:p>
      <w:pPr>
        <w:pStyle w:val="ManualNumPar1"/>
        <w:rPr>
          <w:noProof/>
        </w:rPr>
      </w:pPr>
      <w:r>
        <w:rPr>
          <w:noProof/>
        </w:rPr>
        <w:t>1.</w:t>
      </w:r>
      <w:r>
        <w:rPr>
          <w:noProof/>
        </w:rPr>
        <w:tab/>
        <w:t>Размерът на налозите върху производството в сектора на захарта за пазарните години 1999/2000 и 2000/2001 е посочен в точка 1 от приложението.</w:t>
      </w:r>
    </w:p>
    <w:p>
      <w:pPr>
        <w:pStyle w:val="ManualNumPar1"/>
        <w:rPr>
          <w:noProof/>
        </w:rPr>
      </w:pPr>
      <w:r>
        <w:rPr>
          <w:noProof/>
        </w:rPr>
        <w:t>2.</w:t>
      </w:r>
      <w:r>
        <w:rPr>
          <w:noProof/>
        </w:rPr>
        <w:tab/>
        <w:t>Коефициентът, необходим за изчисляването на допълнителния налог за налога върху производството за пазарната 1999/2000 година, е посочен в точка 2 от приложението.</w:t>
      </w:r>
    </w:p>
    <w:p>
      <w:pPr>
        <w:pStyle w:val="ManualNumPar1"/>
        <w:rPr>
          <w:noProof/>
        </w:rPr>
      </w:pPr>
      <w:r>
        <w:rPr>
          <w:noProof/>
        </w:rPr>
        <w:t>3.</w:t>
      </w:r>
      <w:r>
        <w:rPr>
          <w:noProof/>
        </w:rPr>
        <w:tab/>
        <w:t>Сумата, която производителите на захар трябва да платят на продавачите на цвекло във връзка с налога А и налога Б за пазарната 2000/2001 година, е посочена в точка 3 от приложението.</w:t>
      </w:r>
    </w:p>
    <w:p>
      <w:pPr>
        <w:pStyle w:val="Titrearticle"/>
        <w:rPr>
          <w:noProof/>
        </w:rPr>
      </w:pPr>
      <w:r>
        <w:rPr>
          <w:noProof/>
        </w:rPr>
        <w:t>Член 2</w:t>
      </w:r>
    </w:p>
    <w:p>
      <w:pPr>
        <w:rPr>
          <w:noProof/>
        </w:rPr>
      </w:pPr>
      <w:r>
        <w:rPr>
          <w:noProof/>
        </w:rPr>
        <w:t>Датата на констатацията, както е посочено в член 2, параграф 2, втора и трета алинея от Регламент (ЕС, Евратом) № 609/2014, за налозите, определени с настоящия регламент, не трябва да е по-късна от 30 септември 2018 г.</w:t>
      </w:r>
    </w:p>
    <w:p>
      <w:pPr>
        <w:pStyle w:val="Titrearticle"/>
        <w:rPr>
          <w:noProof/>
        </w:rPr>
      </w:pPr>
      <w:r>
        <w:rPr>
          <w:noProof/>
        </w:rPr>
        <w:t>Член 3</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t>Член 1 обаче се прилага от:</w:t>
      </w:r>
    </w:p>
    <w:p>
      <w:pPr>
        <w:pStyle w:val="Tiret0"/>
        <w:numPr>
          <w:ilvl w:val="0"/>
          <w:numId w:val="10"/>
        </w:numPr>
        <w:rPr>
          <w:noProof/>
        </w:rPr>
      </w:pPr>
      <w:r>
        <w:rPr>
          <w:noProof/>
        </w:rPr>
        <w:t xml:space="preserve">13 октомври 2000 г., що се отнася до пазарната 1999/2000 година, </w:t>
      </w:r>
    </w:p>
    <w:p>
      <w:pPr>
        <w:pStyle w:val="Tiret0"/>
        <w:rPr>
          <w:noProof/>
        </w:rPr>
      </w:pPr>
      <w:r>
        <w:rPr>
          <w:noProof/>
        </w:rPr>
        <w:t>12 октомври 2001 г., що се отнася до пазарната 2000/2001 година.</w:t>
      </w:r>
    </w:p>
    <w:p>
      <w:pPr>
        <w:spacing w:line="360" w:lineRule="auto"/>
        <w:rPr>
          <w:noProof/>
        </w:rPr>
      </w:pP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ФИНАНСОВА ОБОСНОВКА</w:t>
      </w:r>
    </w:p>
    <w:p>
      <w:pPr>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1276"/>
        <w:gridCol w:w="283"/>
        <w:gridCol w:w="567"/>
        <w:gridCol w:w="1134"/>
      </w:tblGrid>
      <w:tr>
        <w:trPr>
          <w:trHeight w:val="355"/>
        </w:trPr>
        <w:tc>
          <w:tcPr>
            <w:tcW w:w="7144" w:type="dxa"/>
            <w:gridSpan w:val="4"/>
            <w:vMerge w:val="restart"/>
          </w:tcPr>
          <w:p>
            <w:pPr>
              <w:pStyle w:val="Fichefinanciretitretable"/>
              <w:rPr>
                <w:noProof/>
              </w:rPr>
            </w:pPr>
            <w:r>
              <w:rPr>
                <w:noProof/>
              </w:rPr>
              <w:t>ФИНАНСОВА ОБОСНОВКА</w:t>
            </w:r>
          </w:p>
        </w:tc>
        <w:tc>
          <w:tcPr>
            <w:tcW w:w="1984" w:type="dxa"/>
            <w:gridSpan w:val="3"/>
          </w:tcPr>
          <w:p>
            <w:pPr>
              <w:pStyle w:val="Fichefinanciretextetable"/>
            </w:pPr>
            <w:r>
              <w:rPr>
                <w:noProof/>
              </w:rPr>
              <w:t>FS/17/4938476</w:t>
            </w:r>
          </w:p>
        </w:tc>
      </w:tr>
      <w:tr>
        <w:trPr>
          <w:trHeight w:val="355"/>
        </w:trPr>
        <w:tc>
          <w:tcPr>
            <w:tcW w:w="7144" w:type="dxa"/>
            <w:gridSpan w:val="4"/>
            <w:vMerge/>
            <w:tcBorders>
              <w:bottom w:val="nil"/>
            </w:tcBorders>
          </w:tcPr>
          <w:p>
            <w:pPr>
              <w:pStyle w:val="Fichefinanciretitretable"/>
              <w:rPr>
                <w:noProof/>
              </w:rPr>
            </w:pPr>
          </w:p>
        </w:tc>
        <w:tc>
          <w:tcPr>
            <w:tcW w:w="1984" w:type="dxa"/>
            <w:gridSpan w:val="3"/>
          </w:tcPr>
          <w:p>
            <w:pPr>
              <w:pStyle w:val="Fichefinanciretextetable"/>
            </w:pPr>
            <w:r>
              <w:rPr>
                <w:noProof/>
                <w:spacing w:val="-3"/>
                <w:sz w:val="19"/>
              </w:rPr>
              <w:t>6.2.2017.1</w:t>
            </w:r>
          </w:p>
        </w:tc>
      </w:tr>
      <w:tr>
        <w:tc>
          <w:tcPr>
            <w:tcW w:w="7144" w:type="dxa"/>
            <w:gridSpan w:val="4"/>
            <w:tcBorders>
              <w:top w:val="nil"/>
            </w:tcBorders>
          </w:tcPr>
          <w:p>
            <w:pPr>
              <w:pStyle w:val="Fichefinanciretextetable"/>
              <w:rPr>
                <w:noProof/>
              </w:rPr>
            </w:pPr>
          </w:p>
        </w:tc>
        <w:tc>
          <w:tcPr>
            <w:tcW w:w="1984" w:type="dxa"/>
            <w:gridSpan w:val="3"/>
          </w:tcPr>
          <w:p>
            <w:pPr>
              <w:pStyle w:val="Fichefinanciretextetable"/>
              <w:rPr>
                <w:noProof/>
              </w:rPr>
            </w:pPr>
            <w:r>
              <w:rPr>
                <w:noProof/>
              </w:rPr>
              <w:t>ДАТА: 6.9.2017 г.</w:t>
            </w:r>
          </w:p>
          <w:p>
            <w:pPr>
              <w:pStyle w:val="Fichefinanciretextetable"/>
              <w:rPr>
                <w:noProof/>
              </w:rPr>
            </w:pPr>
          </w:p>
        </w:tc>
      </w:tr>
      <w:tr>
        <w:tc>
          <w:tcPr>
            <w:tcW w:w="567" w:type="dxa"/>
            <w:tcBorders>
              <w:right w:val="nil"/>
            </w:tcBorders>
          </w:tcPr>
          <w:p>
            <w:pPr>
              <w:pStyle w:val="Fichefinanciretextetable"/>
              <w:rPr>
                <w:noProof/>
              </w:rPr>
            </w:pPr>
            <w:r>
              <w:rPr>
                <w:noProof/>
              </w:rPr>
              <w:t>1.</w:t>
            </w:r>
          </w:p>
        </w:tc>
        <w:tc>
          <w:tcPr>
            <w:tcW w:w="6577" w:type="dxa"/>
            <w:gridSpan w:val="3"/>
            <w:tcBorders>
              <w:left w:val="nil"/>
              <w:right w:val="nil"/>
            </w:tcBorders>
          </w:tcPr>
          <w:p>
            <w:pPr>
              <w:pStyle w:val="Fichefinanciretextetable"/>
              <w:rPr>
                <w:noProof/>
              </w:rPr>
            </w:pPr>
            <w:r>
              <w:rPr>
                <w:noProof/>
              </w:rPr>
              <w:t>БЮДЖЕТЕН РЕД:</w:t>
            </w:r>
          </w:p>
          <w:p>
            <w:pPr>
              <w:pStyle w:val="Fichefinanciretextetable"/>
              <w:rPr>
                <w:noProof/>
              </w:rPr>
            </w:pPr>
            <w:r>
              <w:rPr>
                <w:noProof/>
              </w:rPr>
              <w:t>Вж. бюджетна прогноза по-долу.</w:t>
            </w:r>
          </w:p>
          <w:p>
            <w:pPr>
              <w:pStyle w:val="Fichefinanciretextetable"/>
              <w:rPr>
                <w:noProof/>
              </w:rPr>
            </w:pPr>
          </w:p>
          <w:p>
            <w:pPr>
              <w:pStyle w:val="Fichefinanciretextetable"/>
              <w:rPr>
                <w:noProof/>
                <w:spacing w:val="-3"/>
              </w:rPr>
            </w:pPr>
            <w:r>
              <w:rPr>
                <w:noProof/>
              </w:rPr>
              <w:t>Глава 1 1 - Статия 1 1 0 (Налози върху производството за пазарната 2005/2006 година и предходни години):</w:t>
            </w:r>
          </w:p>
          <w:p>
            <w:pPr>
              <w:pStyle w:val="Fichefinanciretextetable"/>
              <w:rPr>
                <w:noProof/>
                <w:spacing w:val="-3"/>
              </w:rPr>
            </w:pPr>
          </w:p>
          <w:p>
            <w:pPr>
              <w:pStyle w:val="Fichefinanciretextetable"/>
              <w:rPr>
                <w:noProof/>
              </w:rPr>
            </w:pPr>
            <w:r>
              <w:rPr>
                <w:noProof/>
              </w:rPr>
              <w:t>05 07 02 (Уреждане на спорове)</w:t>
            </w:r>
          </w:p>
          <w:p>
            <w:pPr>
              <w:pStyle w:val="Fichefinanciretextetable"/>
              <w:rPr>
                <w:noProof/>
              </w:rPr>
            </w:pPr>
          </w:p>
        </w:tc>
        <w:tc>
          <w:tcPr>
            <w:tcW w:w="1984" w:type="dxa"/>
            <w:gridSpan w:val="3"/>
            <w:tcBorders>
              <w:left w:val="nil"/>
            </w:tcBorders>
          </w:tcPr>
          <w:p>
            <w:pPr>
              <w:pStyle w:val="Fichefinanciretextetable"/>
              <w:rPr>
                <w:noProof/>
              </w:rPr>
            </w:pPr>
            <w:r>
              <w:rPr>
                <w:noProof/>
              </w:rPr>
              <w:t>БЮДЖЕТНИ КРЕДИТИ:</w:t>
            </w:r>
          </w:p>
          <w:p>
            <w:pPr>
              <w:pStyle w:val="Fichefinanciretextetable"/>
              <w:rPr>
                <w:noProof/>
              </w:rPr>
            </w:pPr>
            <w:r>
              <w:rPr>
                <w:noProof/>
              </w:rPr>
              <w:t>Б2017;</w:t>
            </w:r>
          </w:p>
          <w:p>
            <w:pPr>
              <w:pStyle w:val="Fichefinanciretextetable"/>
              <w:rPr>
                <w:noProof/>
              </w:rPr>
            </w:pPr>
            <w:r>
              <w:rPr>
                <w:noProof/>
              </w:rPr>
              <w:t>ПБ 2018</w:t>
            </w:r>
          </w:p>
          <w:p>
            <w:pPr>
              <w:pStyle w:val="Fichefinanciretextetable"/>
              <w:rPr>
                <w:noProof/>
              </w:rPr>
            </w:pPr>
          </w:p>
          <w:p>
            <w:pPr>
              <w:pStyle w:val="Fichefinanciretextetable"/>
              <w:rPr>
                <w:noProof/>
              </w:rPr>
            </w:pPr>
            <w:r>
              <w:rPr>
                <w:noProof/>
              </w:rPr>
              <w:t xml:space="preserve">p.m.; </w:t>
            </w:r>
          </w:p>
          <w:p>
            <w:pPr>
              <w:pStyle w:val="Fichefinanciretextetable"/>
              <w:rPr>
                <w:noProof/>
              </w:rPr>
            </w:pPr>
            <w:r>
              <w:rPr>
                <w:noProof/>
              </w:rPr>
              <w:t xml:space="preserve">p.m.          </w:t>
            </w:r>
          </w:p>
          <w:p>
            <w:pPr>
              <w:pStyle w:val="Fichefinanciretextetable"/>
              <w:rPr>
                <w:noProof/>
              </w:rPr>
            </w:pPr>
            <w:r>
              <w:rPr>
                <w:noProof/>
              </w:rPr>
              <w:t>29 млн. евро</w:t>
            </w:r>
          </w:p>
          <w:p>
            <w:pPr>
              <w:pStyle w:val="Fichefinanciretextetable"/>
              <w:rPr>
                <w:noProof/>
              </w:rPr>
            </w:pPr>
            <w:r>
              <w:rPr>
                <w:noProof/>
              </w:rPr>
              <w:t>22,3 млн. евро</w:t>
            </w:r>
          </w:p>
        </w:tc>
      </w:tr>
      <w:tr>
        <w:tc>
          <w:tcPr>
            <w:tcW w:w="567" w:type="dxa"/>
            <w:tcBorders>
              <w:bottom w:val="nil"/>
              <w:right w:val="nil"/>
            </w:tcBorders>
          </w:tcPr>
          <w:p>
            <w:pPr>
              <w:pStyle w:val="Fichefinanciretextetable"/>
              <w:rPr>
                <w:noProof/>
              </w:rPr>
            </w:pPr>
            <w:r>
              <w:rPr>
                <w:noProof/>
              </w:rPr>
              <w:t>2.</w:t>
            </w:r>
          </w:p>
        </w:tc>
        <w:tc>
          <w:tcPr>
            <w:tcW w:w="8561" w:type="dxa"/>
            <w:gridSpan w:val="6"/>
            <w:tcBorders>
              <w:left w:val="nil"/>
            </w:tcBorders>
          </w:tcPr>
          <w:p>
            <w:pPr>
              <w:pStyle w:val="Fichefinanciretextetable"/>
              <w:rPr>
                <w:noProof/>
              </w:rPr>
            </w:pPr>
            <w:r>
              <w:rPr>
                <w:noProof/>
              </w:rPr>
              <w:t>НАИМЕНОВАНИЕ:</w:t>
            </w:r>
          </w:p>
          <w:p>
            <w:pPr>
              <w:pStyle w:val="Fichefinanciretextetable"/>
              <w:rPr>
                <w:noProof/>
              </w:rPr>
            </w:pPr>
          </w:p>
          <w:p>
            <w:pPr>
              <w:pStyle w:val="Fichefinanciretextetable"/>
              <w:rPr>
                <w:noProof/>
              </w:rPr>
            </w:pPr>
            <w:r>
              <w:rPr>
                <w:noProof/>
              </w:rPr>
              <w:t>РЕГЛАМЕНТ НА СЪВЕТА за определяне на размера на налозите върху производството и коефициента на допълнителния налог в сектора на захарта за пазарната 1999/2000 година и за определяне на размера на налозите върху производството в сектора на захарта за пазарната 2000/2001 година</w:t>
            </w:r>
          </w:p>
        </w:tc>
      </w:tr>
      <w:tr>
        <w:tc>
          <w:tcPr>
            <w:tcW w:w="567" w:type="dxa"/>
            <w:tcBorders>
              <w:bottom w:val="nil"/>
              <w:right w:val="nil"/>
            </w:tcBorders>
          </w:tcPr>
          <w:p>
            <w:pPr>
              <w:pStyle w:val="Fichefinanciretextetable"/>
              <w:rPr>
                <w:noProof/>
              </w:rPr>
            </w:pPr>
            <w:r>
              <w:rPr>
                <w:noProof/>
              </w:rPr>
              <w:t>3.</w:t>
            </w:r>
          </w:p>
        </w:tc>
        <w:tc>
          <w:tcPr>
            <w:tcW w:w="8561" w:type="dxa"/>
            <w:gridSpan w:val="6"/>
            <w:tcBorders>
              <w:left w:val="nil"/>
            </w:tcBorders>
          </w:tcPr>
          <w:p>
            <w:pPr>
              <w:pStyle w:val="Fichefinanciretextetable"/>
              <w:rPr>
                <w:noProof/>
              </w:rPr>
            </w:pPr>
            <w:r>
              <w:rPr>
                <w:noProof/>
              </w:rPr>
              <w:t>ПРАВНО ОСНОВАНИЕ:</w:t>
            </w:r>
          </w:p>
          <w:p>
            <w:pPr>
              <w:pStyle w:val="Fichefinanciretextetable"/>
              <w:rPr>
                <w:noProof/>
              </w:rPr>
            </w:pPr>
          </w:p>
          <w:p>
            <w:pPr>
              <w:pStyle w:val="Fichefinanciretextetable"/>
              <w:rPr>
                <w:noProof/>
              </w:rPr>
            </w:pPr>
            <w:r>
              <w:rPr>
                <w:noProof/>
              </w:rPr>
              <w:t>Член 43, параграф 3 от Договора за функционирането на Европейския съюз</w:t>
            </w:r>
          </w:p>
        </w:tc>
      </w:tr>
      <w:tr>
        <w:tc>
          <w:tcPr>
            <w:tcW w:w="567" w:type="dxa"/>
            <w:tcBorders>
              <w:right w:val="nil"/>
            </w:tcBorders>
          </w:tcPr>
          <w:p>
            <w:pPr>
              <w:pStyle w:val="Fichefinanciretextetable"/>
              <w:rPr>
                <w:noProof/>
              </w:rPr>
            </w:pPr>
            <w:r>
              <w:rPr>
                <w:noProof/>
              </w:rPr>
              <w:t>4.</w:t>
            </w:r>
          </w:p>
        </w:tc>
        <w:tc>
          <w:tcPr>
            <w:tcW w:w="8561" w:type="dxa"/>
            <w:gridSpan w:val="6"/>
            <w:tcBorders>
              <w:left w:val="nil"/>
            </w:tcBorders>
          </w:tcPr>
          <w:p>
            <w:pPr>
              <w:pStyle w:val="Fichefinanciretextetable"/>
              <w:rPr>
                <w:noProof/>
              </w:rPr>
            </w:pPr>
            <w:r>
              <w:rPr>
                <w:noProof/>
              </w:rPr>
              <w:t>ЦЕЛИ:</w:t>
            </w:r>
          </w:p>
          <w:p>
            <w:pPr>
              <w:pStyle w:val="Fichefinanciretextetable"/>
              <w:rPr>
                <w:noProof/>
              </w:rPr>
            </w:pPr>
            <w:r>
              <w:rPr>
                <w:noProof/>
              </w:rPr>
              <w:t>Настоящият регламент има за цел да установи с обратно действие размера на налозите върху производството на захар за пазарните години 1999/2000 и 2000/2001, преизчислен въз основа на пояснения от Съда метод.</w:t>
            </w:r>
          </w:p>
        </w:tc>
      </w:tr>
      <w:tr>
        <w:tc>
          <w:tcPr>
            <w:tcW w:w="567" w:type="dxa"/>
            <w:tcBorders>
              <w:bottom w:val="nil"/>
              <w:right w:val="nil"/>
            </w:tcBorders>
          </w:tcPr>
          <w:p>
            <w:pPr>
              <w:pStyle w:val="Fichefinanciretextetable"/>
              <w:rPr>
                <w:noProof/>
              </w:rPr>
            </w:pPr>
            <w:r>
              <w:rPr>
                <w:noProof/>
              </w:rPr>
              <w:t>5.</w:t>
            </w:r>
          </w:p>
        </w:tc>
        <w:tc>
          <w:tcPr>
            <w:tcW w:w="3884" w:type="dxa"/>
            <w:tcBorders>
              <w:left w:val="nil"/>
            </w:tcBorders>
          </w:tcPr>
          <w:p>
            <w:pPr>
              <w:pStyle w:val="Fichefinanciretextetable"/>
              <w:rPr>
                <w:noProof/>
              </w:rPr>
            </w:pPr>
            <w:r>
              <w:rPr>
                <w:noProof/>
              </w:rPr>
              <w:t>ФИНАНСОВО ОТРАЖЕНИЕ</w:t>
            </w:r>
          </w:p>
        </w:tc>
        <w:tc>
          <w:tcPr>
            <w:tcW w:w="1417" w:type="dxa"/>
          </w:tcPr>
          <w:p>
            <w:pPr>
              <w:pStyle w:val="Fichefinanciretextetable"/>
              <w:jc w:val="center"/>
              <w:rPr>
                <w:noProof/>
              </w:rPr>
            </w:pPr>
            <w:r>
              <w:rPr>
                <w:noProof/>
              </w:rPr>
              <w:t>12 МЕСЕЧЕН ПЕРИОД</w:t>
            </w:r>
            <w:r>
              <w:rPr>
                <w:noProof/>
              </w:rPr>
              <w:br/>
            </w:r>
            <w:r>
              <w:rPr>
                <w:noProof/>
              </w:rPr>
              <w:br/>
              <w:t>(в млн. евро)</w:t>
            </w:r>
          </w:p>
        </w:tc>
        <w:tc>
          <w:tcPr>
            <w:tcW w:w="1559" w:type="dxa"/>
            <w:gridSpan w:val="2"/>
          </w:tcPr>
          <w:p>
            <w:pPr>
              <w:pStyle w:val="Fichefinanciretextetable"/>
              <w:jc w:val="center"/>
              <w:rPr>
                <w:noProof/>
              </w:rPr>
            </w:pPr>
            <w:r>
              <w:rPr>
                <w:noProof/>
              </w:rPr>
              <w:t>ФИНАНСОВА ГОДИНА</w:t>
            </w:r>
          </w:p>
          <w:p>
            <w:pPr>
              <w:pStyle w:val="Fichefinanciretextetable"/>
              <w:jc w:val="center"/>
              <w:rPr>
                <w:noProof/>
              </w:rPr>
            </w:pPr>
            <w:r>
              <w:rPr>
                <w:noProof/>
              </w:rPr>
              <w:t>2018 г.</w:t>
            </w:r>
          </w:p>
          <w:p>
            <w:pPr>
              <w:pStyle w:val="Fichefinanciretextetable"/>
              <w:jc w:val="center"/>
              <w:rPr>
                <w:noProof/>
              </w:rPr>
            </w:pPr>
            <w:r>
              <w:rPr>
                <w:noProof/>
              </w:rPr>
              <w:t>(в млн. евро)</w:t>
            </w:r>
          </w:p>
        </w:tc>
        <w:tc>
          <w:tcPr>
            <w:tcW w:w="1701" w:type="dxa"/>
            <w:gridSpan w:val="2"/>
          </w:tcPr>
          <w:p>
            <w:pPr>
              <w:pStyle w:val="Fichefinanciretextetable"/>
              <w:jc w:val="center"/>
              <w:rPr>
                <w:noProof/>
              </w:rPr>
            </w:pPr>
            <w:r>
              <w:rPr>
                <w:noProof/>
              </w:rPr>
              <w:t>ФИНАНСОВА ГОДИНА</w:t>
            </w:r>
          </w:p>
          <w:p>
            <w:pPr>
              <w:pStyle w:val="Fichefinanciretextetable"/>
              <w:jc w:val="center"/>
              <w:rPr>
                <w:noProof/>
              </w:rPr>
            </w:pPr>
            <w:r>
              <w:rPr>
                <w:noProof/>
              </w:rPr>
              <w:t>2019 г.</w:t>
            </w:r>
          </w:p>
          <w:p>
            <w:pPr>
              <w:pStyle w:val="Fichefinanciretextetable"/>
              <w:jc w:val="center"/>
              <w:rPr>
                <w:noProof/>
              </w:rPr>
            </w:pPr>
            <w:r>
              <w:rPr>
                <w:noProof/>
              </w:rPr>
              <w:t>(в млн. евро)</w:t>
            </w:r>
          </w:p>
        </w:tc>
      </w:tr>
      <w:tr>
        <w:tc>
          <w:tcPr>
            <w:tcW w:w="567" w:type="dxa"/>
            <w:tcBorders>
              <w:bottom w:val="nil"/>
              <w:right w:val="nil"/>
            </w:tcBorders>
          </w:tcPr>
          <w:p>
            <w:pPr>
              <w:pStyle w:val="Fichefinanciretextetable"/>
              <w:rPr>
                <w:noProof/>
              </w:rPr>
            </w:pPr>
            <w:r>
              <w:rPr>
                <w:noProof/>
              </w:rPr>
              <w:t>5.0</w:t>
            </w:r>
          </w:p>
        </w:tc>
        <w:tc>
          <w:tcPr>
            <w:tcW w:w="3884" w:type="dxa"/>
            <w:tcBorders>
              <w:left w:val="nil"/>
            </w:tcBorders>
          </w:tcPr>
          <w:p>
            <w:pPr>
              <w:pStyle w:val="Fichefinanciretextetable"/>
              <w:rPr>
                <w:noProof/>
              </w:rPr>
            </w:pPr>
            <w:r>
              <w:rPr>
                <w:noProof/>
              </w:rPr>
              <w:t>РАЗХОДИ</w:t>
            </w:r>
          </w:p>
          <w:p>
            <w:pPr>
              <w:pStyle w:val="Fichefinanciretextetable"/>
              <w:rPr>
                <w:noProof/>
              </w:rPr>
            </w:pPr>
            <w:r>
              <w:rPr>
                <w:noProof/>
              </w:rPr>
              <w:t>-</w:t>
            </w:r>
            <w:r>
              <w:rPr>
                <w:noProof/>
              </w:rPr>
              <w:tab/>
              <w:t>ЗА СМЕТКА НА БЮДЖЕТА НА ЕС</w:t>
            </w:r>
            <w:r>
              <w:rPr>
                <w:noProof/>
              </w:rPr>
              <w:br/>
              <w:t>(ВЪЗСТАНОВЯВАНИЯ/ИНТЕРВЕНЦИИ)</w:t>
            </w:r>
          </w:p>
          <w:p>
            <w:pPr>
              <w:pStyle w:val="Fichefinanciretextetable"/>
              <w:rPr>
                <w:noProof/>
              </w:rPr>
            </w:pPr>
            <w:r>
              <w:rPr>
                <w:noProof/>
              </w:rPr>
              <w:t>-</w:t>
            </w:r>
            <w:r>
              <w:rPr>
                <w:noProof/>
              </w:rPr>
              <w:tab/>
              <w:t>НА НАЦИОНАЛНИТЕ ОРГАНИ</w:t>
            </w:r>
          </w:p>
          <w:p>
            <w:pPr>
              <w:pStyle w:val="Fichefinanciretextetable"/>
              <w:rPr>
                <w:noProof/>
              </w:rPr>
            </w:pPr>
            <w:r>
              <w:rPr>
                <w:noProof/>
              </w:rPr>
              <w:t>-</w:t>
            </w:r>
            <w:r>
              <w:rPr>
                <w:noProof/>
              </w:rPr>
              <w:tab/>
              <w:t>ДРУГИ</w:t>
            </w:r>
          </w:p>
        </w:tc>
        <w:tc>
          <w:tcPr>
            <w:tcW w:w="1417" w:type="dxa"/>
          </w:tcPr>
          <w:p>
            <w:pPr>
              <w:pStyle w:val="Fichefinanciretextetable"/>
              <w:jc w:val="center"/>
              <w:rPr>
                <w:noProof/>
              </w:rPr>
            </w:pPr>
          </w:p>
          <w:p>
            <w:pPr>
              <w:pStyle w:val="Fichefinanciretextetable"/>
              <w:jc w:val="center"/>
              <w:rPr>
                <w:noProof/>
              </w:rPr>
            </w:pPr>
            <w:r>
              <w:rPr>
                <w:noProof/>
              </w:rPr>
              <w:t>102,2</w:t>
            </w:r>
          </w:p>
        </w:tc>
        <w:tc>
          <w:tcPr>
            <w:tcW w:w="1559" w:type="dxa"/>
            <w:gridSpan w:val="2"/>
          </w:tcPr>
          <w:p>
            <w:pPr>
              <w:pStyle w:val="Fichefinanciretextetable"/>
              <w:jc w:val="center"/>
              <w:rPr>
                <w:noProof/>
              </w:rPr>
            </w:pPr>
          </w:p>
          <w:p>
            <w:pPr>
              <w:pStyle w:val="Fichefinanciretextetable"/>
              <w:jc w:val="center"/>
              <w:rPr>
                <w:noProof/>
              </w:rPr>
            </w:pPr>
            <w:r>
              <w:rPr>
                <w:noProof/>
              </w:rPr>
              <w:t>102,2</w:t>
            </w:r>
          </w:p>
        </w:tc>
        <w:tc>
          <w:tcPr>
            <w:tcW w:w="1701" w:type="dxa"/>
            <w:gridSpan w:val="2"/>
          </w:tcPr>
          <w:p>
            <w:pPr>
              <w:pStyle w:val="Fichefinanciretextetable"/>
              <w:jc w:val="center"/>
              <w:rPr>
                <w:noProof/>
              </w:rPr>
            </w:pPr>
          </w:p>
          <w:p>
            <w:pPr>
              <w:pStyle w:val="Fichefinanciretextetable"/>
              <w:jc w:val="center"/>
              <w:rPr>
                <w:noProof/>
              </w:rPr>
            </w:pPr>
            <w:r>
              <w:rPr>
                <w:noProof/>
              </w:rPr>
              <w:t>не се прилага</w:t>
            </w:r>
          </w:p>
        </w:tc>
      </w:tr>
      <w:tr>
        <w:tc>
          <w:tcPr>
            <w:tcW w:w="567" w:type="dxa"/>
            <w:tcBorders>
              <w:right w:val="nil"/>
            </w:tcBorders>
          </w:tcPr>
          <w:p>
            <w:pPr>
              <w:pStyle w:val="Fichefinanciretextetable"/>
              <w:rPr>
                <w:noProof/>
              </w:rPr>
            </w:pPr>
            <w:r>
              <w:rPr>
                <w:noProof/>
              </w:rPr>
              <w:t>5.1</w:t>
            </w:r>
          </w:p>
        </w:tc>
        <w:tc>
          <w:tcPr>
            <w:tcW w:w="3884" w:type="dxa"/>
            <w:tcBorders>
              <w:left w:val="nil"/>
            </w:tcBorders>
          </w:tcPr>
          <w:p>
            <w:pPr>
              <w:pStyle w:val="Fichefinanciretextetable"/>
              <w:rPr>
                <w:noProof/>
              </w:rPr>
            </w:pPr>
            <w:r>
              <w:rPr>
                <w:noProof/>
              </w:rPr>
              <w:t>ПРИХОДИ</w:t>
            </w:r>
          </w:p>
          <w:p>
            <w:pPr>
              <w:pStyle w:val="Fichefinanciretextetable"/>
              <w:rPr>
                <w:noProof/>
              </w:rPr>
            </w:pPr>
            <w:r>
              <w:rPr>
                <w:noProof/>
              </w:rPr>
              <w:t>-</w:t>
            </w:r>
            <w:r>
              <w:rPr>
                <w:noProof/>
              </w:rPr>
              <w:tab/>
              <w:t xml:space="preserve">СОБСТВЕНИ РЕСУРСИ НА ЕС </w:t>
            </w:r>
            <w:r>
              <w:rPr>
                <w:noProof/>
              </w:rPr>
              <w:br/>
              <w:t>(НАЛОЗИ/МИТА) — Вж. забележките</w:t>
            </w:r>
          </w:p>
          <w:p>
            <w:pPr>
              <w:pStyle w:val="Fichefinanciretextetable"/>
              <w:rPr>
                <w:noProof/>
              </w:rPr>
            </w:pPr>
            <w:r>
              <w:rPr>
                <w:noProof/>
              </w:rPr>
              <w:t>-</w:t>
            </w:r>
            <w:r>
              <w:rPr>
                <w:noProof/>
              </w:rPr>
              <w:tab/>
              <w:t>НАЦИОНАЛНИ</w:t>
            </w:r>
          </w:p>
        </w:tc>
        <w:tc>
          <w:tcPr>
            <w:tcW w:w="1417" w:type="dxa"/>
          </w:tcPr>
          <w:p>
            <w:pPr>
              <w:pStyle w:val="Fichefinanciretextetable"/>
              <w:jc w:val="center"/>
              <w:rPr>
                <w:noProof/>
              </w:rPr>
            </w:pPr>
          </w:p>
          <w:p>
            <w:pPr>
              <w:pStyle w:val="Fichefinanciretextetable"/>
              <w:jc w:val="center"/>
              <w:rPr>
                <w:noProof/>
              </w:rPr>
            </w:pPr>
            <w:r>
              <w:rPr>
                <w:noProof/>
              </w:rPr>
              <w:t>-93,1</w:t>
            </w:r>
          </w:p>
        </w:tc>
        <w:tc>
          <w:tcPr>
            <w:tcW w:w="1559" w:type="dxa"/>
            <w:gridSpan w:val="2"/>
          </w:tcPr>
          <w:p>
            <w:pPr>
              <w:pStyle w:val="Fichefinanciretextetable"/>
              <w:jc w:val="center"/>
              <w:rPr>
                <w:noProof/>
              </w:rPr>
            </w:pPr>
          </w:p>
          <w:p>
            <w:pPr>
              <w:pStyle w:val="Fichefinanciretextetable"/>
              <w:jc w:val="center"/>
              <w:rPr>
                <w:noProof/>
              </w:rPr>
            </w:pPr>
            <w:r>
              <w:rPr>
                <w:noProof/>
              </w:rPr>
              <w:t>-93,1</w:t>
            </w:r>
          </w:p>
        </w:tc>
        <w:tc>
          <w:tcPr>
            <w:tcW w:w="1701" w:type="dxa"/>
            <w:gridSpan w:val="2"/>
          </w:tcPr>
          <w:p>
            <w:pPr>
              <w:pStyle w:val="Fichefinanciretextetable"/>
              <w:jc w:val="center"/>
              <w:rPr>
                <w:noProof/>
              </w:rPr>
            </w:pPr>
          </w:p>
          <w:p>
            <w:pPr>
              <w:pStyle w:val="Fichefinanciretextetable"/>
              <w:jc w:val="center"/>
              <w:rPr>
                <w:noProof/>
              </w:rPr>
            </w:pPr>
            <w:r>
              <w:rPr>
                <w:noProof/>
              </w:rPr>
              <w:t>не се прилага</w:t>
            </w:r>
          </w:p>
        </w:tc>
      </w:tr>
      <w:tr>
        <w:tc>
          <w:tcPr>
            <w:tcW w:w="567" w:type="dxa"/>
            <w:tcBorders>
              <w:right w:val="nil"/>
            </w:tcBorders>
          </w:tcPr>
          <w:p>
            <w:pPr>
              <w:pStyle w:val="Fichefinanciretextetable"/>
              <w:rPr>
                <w:noProof/>
              </w:rPr>
            </w:pPr>
            <w:r>
              <w:rPr>
                <w:noProof/>
              </w:rPr>
              <w:t>5.2</w:t>
            </w:r>
          </w:p>
        </w:tc>
        <w:tc>
          <w:tcPr>
            <w:tcW w:w="8561" w:type="dxa"/>
            <w:gridSpan w:val="6"/>
            <w:tcBorders>
              <w:left w:val="nil"/>
            </w:tcBorders>
          </w:tcPr>
          <w:p>
            <w:pPr>
              <w:pStyle w:val="Fichefinanciretextetable"/>
              <w:spacing w:before="60" w:after="60"/>
              <w:rPr>
                <w:noProof/>
              </w:rPr>
            </w:pPr>
            <w:r>
              <w:rPr>
                <w:noProof/>
              </w:rPr>
              <w:t>МЕТОД НА ИЗЧИСЛЕНИЕ:</w:t>
            </w:r>
          </w:p>
          <w:p>
            <w:pPr>
              <w:pStyle w:val="Fichefinanciretextetable"/>
              <w:spacing w:before="60" w:after="60"/>
              <w:rPr>
                <w:noProof/>
              </w:rPr>
            </w:pPr>
            <w:r>
              <w:rPr>
                <w:noProof/>
              </w:rPr>
              <w:t>Вж. забележките</w:t>
            </w:r>
          </w:p>
        </w:tc>
      </w:tr>
      <w:tr>
        <w:tc>
          <w:tcPr>
            <w:tcW w:w="567" w:type="dxa"/>
            <w:tcBorders>
              <w:bottom w:val="nil"/>
              <w:right w:val="nil"/>
            </w:tcBorders>
          </w:tcPr>
          <w:p>
            <w:pPr>
              <w:pStyle w:val="Fichefinanciretextetable"/>
              <w:rPr>
                <w:noProof/>
              </w:rPr>
            </w:pPr>
            <w:r>
              <w:rPr>
                <w:noProof/>
              </w:rPr>
              <w:t>6.0</w:t>
            </w:r>
          </w:p>
        </w:tc>
        <w:tc>
          <w:tcPr>
            <w:tcW w:w="7427" w:type="dxa"/>
            <w:gridSpan w:val="5"/>
            <w:tcBorders>
              <w:left w:val="nil"/>
              <w:right w:val="nil"/>
            </w:tcBorders>
          </w:tcPr>
          <w:p>
            <w:pPr>
              <w:pStyle w:val="Fichefinanciretextetable"/>
              <w:spacing w:before="60" w:after="60"/>
              <w:rPr>
                <w:noProof/>
              </w:rPr>
            </w:pPr>
            <w:r>
              <w:rPr>
                <w:noProof/>
              </w:rPr>
              <w:t>МОЖЕ ЛИ ПРОЕКТЪТ ДА БЪДЕ ФИНАНСИРАН ОТ БЮДЖЕТНИ КРЕДИТИ, ВПИСАНИ В СЪОТВЕТНАТА ГЛАВА НА ТЕКУЩИЯ БЮДЖЕТ?</w:t>
            </w:r>
          </w:p>
        </w:tc>
        <w:tc>
          <w:tcPr>
            <w:tcW w:w="1134" w:type="dxa"/>
            <w:tcBorders>
              <w:left w:val="nil"/>
              <w:bottom w:val="nil"/>
            </w:tcBorders>
          </w:tcPr>
          <w:p>
            <w:pPr>
              <w:pStyle w:val="Fichefinanciretextetable"/>
              <w:jc w:val="center"/>
              <w:rPr>
                <w:noProof/>
              </w:rPr>
            </w:pPr>
            <w:r>
              <w:rPr>
                <w:noProof/>
              </w:rPr>
              <w:t>Не се прилага</w:t>
            </w:r>
          </w:p>
        </w:tc>
      </w:tr>
      <w:tr>
        <w:tc>
          <w:tcPr>
            <w:tcW w:w="567" w:type="dxa"/>
            <w:tcBorders>
              <w:bottom w:val="nil"/>
              <w:right w:val="nil"/>
            </w:tcBorders>
          </w:tcPr>
          <w:p>
            <w:pPr>
              <w:pStyle w:val="Fichefinanciretextetable"/>
              <w:rPr>
                <w:noProof/>
              </w:rPr>
            </w:pPr>
            <w:r>
              <w:rPr>
                <w:noProof/>
              </w:rPr>
              <w:t>6.1</w:t>
            </w:r>
          </w:p>
        </w:tc>
        <w:tc>
          <w:tcPr>
            <w:tcW w:w="7427" w:type="dxa"/>
            <w:gridSpan w:val="5"/>
            <w:tcBorders>
              <w:left w:val="nil"/>
              <w:right w:val="nil"/>
            </w:tcBorders>
          </w:tcPr>
          <w:p>
            <w:pPr>
              <w:pStyle w:val="Fichefinanciretextetable"/>
              <w:spacing w:before="60" w:after="60"/>
              <w:rPr>
                <w:noProof/>
              </w:rPr>
            </w:pPr>
            <w:r>
              <w:rPr>
                <w:noProof/>
              </w:rPr>
              <w:t>МОЖЕ ЛИ ПРОЕКТЪТ ДА БЪДЕ ФИНАНСИРАН ЧРЕЗ ПРЕХВЪРЛЯНЕ МЕЖДУ ГЛАВИ ОТ ТЕКУЩИЯ БЮДЖЕТ?</w:t>
            </w:r>
          </w:p>
        </w:tc>
        <w:tc>
          <w:tcPr>
            <w:tcW w:w="1134" w:type="dxa"/>
            <w:tcBorders>
              <w:left w:val="nil"/>
              <w:bottom w:val="nil"/>
            </w:tcBorders>
          </w:tcPr>
          <w:p>
            <w:pPr>
              <w:pStyle w:val="Fichefinanciretextetable"/>
              <w:jc w:val="center"/>
              <w:rPr>
                <w:noProof/>
              </w:rPr>
            </w:pPr>
            <w:r>
              <w:rPr>
                <w:noProof/>
              </w:rPr>
              <w:t xml:space="preserve">  </w:t>
            </w:r>
          </w:p>
          <w:p>
            <w:pPr>
              <w:pStyle w:val="Fichefinanciretextetable"/>
              <w:jc w:val="center"/>
              <w:rPr>
                <w:noProof/>
              </w:rPr>
            </w:pPr>
            <w:r>
              <w:rPr>
                <w:noProof/>
              </w:rPr>
              <w:t>Не</w:t>
            </w:r>
          </w:p>
        </w:tc>
      </w:tr>
      <w:tr>
        <w:tc>
          <w:tcPr>
            <w:tcW w:w="567" w:type="dxa"/>
            <w:tcBorders>
              <w:bottom w:val="nil"/>
              <w:right w:val="nil"/>
            </w:tcBorders>
          </w:tcPr>
          <w:p>
            <w:pPr>
              <w:pStyle w:val="Fichefinanciretextetable"/>
              <w:rPr>
                <w:noProof/>
              </w:rPr>
            </w:pPr>
            <w:r>
              <w:rPr>
                <w:noProof/>
              </w:rPr>
              <w:t>6.2</w:t>
            </w:r>
          </w:p>
        </w:tc>
        <w:tc>
          <w:tcPr>
            <w:tcW w:w="7427" w:type="dxa"/>
            <w:gridSpan w:val="5"/>
            <w:tcBorders>
              <w:left w:val="nil"/>
              <w:right w:val="nil"/>
            </w:tcBorders>
          </w:tcPr>
          <w:p>
            <w:pPr>
              <w:pStyle w:val="Fichefinanciretextetable"/>
              <w:spacing w:before="60" w:after="60"/>
              <w:rPr>
                <w:noProof/>
              </w:rPr>
            </w:pPr>
            <w:r>
              <w:rPr>
                <w:noProof/>
              </w:rPr>
              <w:t>ЩЕ БЪДЕ ЛИ НЕОБХОДИМ ДОПЪЛНИТЕЛЕН БЮДЖЕТ?</w:t>
            </w:r>
          </w:p>
        </w:tc>
        <w:tc>
          <w:tcPr>
            <w:tcW w:w="1134" w:type="dxa"/>
            <w:tcBorders>
              <w:left w:val="nil"/>
              <w:bottom w:val="nil"/>
            </w:tcBorders>
          </w:tcPr>
          <w:p>
            <w:pPr>
              <w:pStyle w:val="Fichefinanciretextetable"/>
              <w:jc w:val="center"/>
              <w:rPr>
                <w:noProof/>
              </w:rPr>
            </w:pPr>
            <w:r>
              <w:rPr>
                <w:noProof/>
              </w:rPr>
              <w:t>Не</w:t>
            </w:r>
          </w:p>
        </w:tc>
      </w:tr>
      <w:tr>
        <w:tc>
          <w:tcPr>
            <w:tcW w:w="567" w:type="dxa"/>
            <w:tcBorders>
              <w:right w:val="nil"/>
            </w:tcBorders>
          </w:tcPr>
          <w:p>
            <w:pPr>
              <w:pStyle w:val="Fichefinanciretextetable"/>
              <w:rPr>
                <w:noProof/>
              </w:rPr>
            </w:pPr>
            <w:r>
              <w:rPr>
                <w:noProof/>
              </w:rPr>
              <w:t>6.3</w:t>
            </w:r>
          </w:p>
        </w:tc>
        <w:tc>
          <w:tcPr>
            <w:tcW w:w="7427" w:type="dxa"/>
            <w:gridSpan w:val="5"/>
            <w:tcBorders>
              <w:left w:val="nil"/>
              <w:right w:val="nil"/>
            </w:tcBorders>
          </w:tcPr>
          <w:p>
            <w:pPr>
              <w:pStyle w:val="Fichefinanciretextetable"/>
              <w:spacing w:before="60" w:after="60"/>
              <w:rPr>
                <w:noProof/>
              </w:rPr>
            </w:pPr>
            <w:r>
              <w:rPr>
                <w:noProof/>
              </w:rPr>
              <w:t>ЩЕ БЪДЕ ЛИ НЕОБХОДИМО ВПИСВАНЕТО НА БЮДЖЕТНИ КРЕДИТИ В БЪДЕЩИ БЮДЖЕТИ?</w:t>
            </w:r>
          </w:p>
        </w:tc>
        <w:tc>
          <w:tcPr>
            <w:tcW w:w="1134" w:type="dxa"/>
            <w:tcBorders>
              <w:left w:val="nil"/>
            </w:tcBorders>
          </w:tcPr>
          <w:p>
            <w:pPr>
              <w:pStyle w:val="Fichefinanciretextetable"/>
              <w:jc w:val="center"/>
            </w:pPr>
            <w:r>
              <w:rPr>
                <w:noProof/>
              </w:rPr>
              <w:t>Вж. забележката</w:t>
            </w:r>
          </w:p>
        </w:tc>
      </w:tr>
      <w:tr>
        <w:tc>
          <w:tcPr>
            <w:tcW w:w="9128" w:type="dxa"/>
            <w:gridSpan w:val="7"/>
          </w:tcPr>
          <w:p>
            <w:pPr>
              <w:pStyle w:val="Fichefinanciretextetable"/>
              <w:rPr>
                <w:noProof/>
              </w:rPr>
            </w:pPr>
            <w:r>
              <w:rPr>
                <w:noProof/>
              </w:rPr>
              <w:t>ЗАБЕЛЕЖКИ:</w:t>
            </w:r>
          </w:p>
          <w:p>
            <w:pPr>
              <w:pStyle w:val="Fichefinanciretextetable"/>
              <w:rPr>
                <w:noProof/>
              </w:rPr>
            </w:pPr>
          </w:p>
          <w:p>
            <w:pPr>
              <w:rPr>
                <w:noProof/>
                <w:sz w:val="20"/>
              </w:rPr>
            </w:pPr>
            <w:r>
              <w:rPr>
                <w:noProof/>
                <w:sz w:val="20"/>
              </w:rPr>
              <w:t>На 9 февруари 2017 г. Съдът постанови решението си по дело C-585/15, Raffinerie Tirlemontoise SA/Белгия, с което обяви за невалидни Регламент (ЕО) № 2267/2000 на Комисията от 12 октомври 2000 г. за определяне на размера на налога върху производството и коефициента за изчисляване на допълнителния налог в сектора на захарта за пазарната 1999/2000 година и Регламент (ЕО) № 1993/2001 на Комисията от 11 октомври 2001 г. за определяне на размера на налога върху производството в сектора на захарта за пазарната 2000/2001 година.</w:t>
            </w:r>
          </w:p>
          <w:p>
            <w:pPr>
              <w:rPr>
                <w:noProof/>
                <w:sz w:val="20"/>
              </w:rPr>
            </w:pPr>
            <w:r>
              <w:rPr>
                <w:noProof/>
                <w:sz w:val="20"/>
              </w:rPr>
              <w:t xml:space="preserve">В това си решение Съдът следва съображенията, приложени в решението на Съда от 27 септември 2012 г. (решение по делото </w:t>
            </w:r>
            <w:r>
              <w:rPr>
                <w:i/>
                <w:noProof/>
                <w:sz w:val="20"/>
              </w:rPr>
              <w:t>Jülich II</w:t>
            </w:r>
            <w:r>
              <w:rPr>
                <w:noProof/>
                <w:sz w:val="20"/>
              </w:rPr>
              <w:t>)</w:t>
            </w:r>
            <w:r>
              <w:rPr>
                <w:rStyle w:val="FootnoteReference"/>
                <w:noProof/>
                <w:sz w:val="20"/>
              </w:rPr>
              <w:footnoteReference w:id="10"/>
            </w:r>
            <w:r>
              <w:rPr>
                <w:noProof/>
                <w:sz w:val="20"/>
              </w:rPr>
              <w:t xml:space="preserve">, в което е пояснен правилният метод, който е следвало да бъде използван за изчисляване на налозите върху захарта. Вследствие на това производителите имат право на възстановяване на сумите, които са заплатили в повече във връзка с невалидните налози върху производството през съответните пазарни години. Надвнесените налози са начислени към бюджета на Съюза след приспадане на разходите по събирането, които са начислени към националните бюджети в съответствие с член 2, параграф 3 от Решение на Съвета 2014/335 (ЕС, Евратом) относно системата на собствените ресурси на Европейския съюз. </w:t>
            </w:r>
          </w:p>
          <w:p>
            <w:pPr>
              <w:rPr>
                <w:noProof/>
                <w:sz w:val="20"/>
              </w:rPr>
            </w:pPr>
            <w:r>
              <w:rPr>
                <w:noProof/>
                <w:sz w:val="20"/>
              </w:rPr>
              <w:t xml:space="preserve">В правния акт за поправка се определя с обратно действие размерът на налога върху производството на захар за пазарните години 1999/2000 и 2000/2001, преизчислен въз основа на пояснения от Съда метод по делото </w:t>
            </w:r>
            <w:r>
              <w:rPr>
                <w:i/>
                <w:noProof/>
                <w:sz w:val="20"/>
              </w:rPr>
              <w:t>Jülich</w:t>
            </w:r>
            <w:r>
              <w:rPr>
                <w:noProof/>
                <w:sz w:val="20"/>
              </w:rPr>
              <w:t xml:space="preserve"> </w:t>
            </w:r>
            <w:r>
              <w:rPr>
                <w:i/>
                <w:noProof/>
                <w:sz w:val="20"/>
              </w:rPr>
              <w:t>II</w:t>
            </w:r>
            <w:r>
              <w:rPr>
                <w:noProof/>
                <w:sz w:val="20"/>
              </w:rPr>
              <w:t xml:space="preserve">. В резултат на решението и съгласно принципа на несправедливото обогатяване възстановяванията в полза на операторите на разликата между размера на стария и преизчисления налог трябва да включват и компенсаторни лихви въз основа на националните правила. </w:t>
            </w:r>
          </w:p>
          <w:p>
            <w:pPr>
              <w:rPr>
                <w:noProof/>
                <w:sz w:val="20"/>
              </w:rPr>
            </w:pPr>
            <w:r>
              <w:rPr>
                <w:noProof/>
                <w:sz w:val="20"/>
              </w:rPr>
              <w:t>Обща сума, която трябва да бъде възстановена на държавите членки:</w:t>
            </w:r>
          </w:p>
          <w:p>
            <w:pPr>
              <w:pStyle w:val="Fichefinanciretextetable"/>
              <w:jc w:val="both"/>
              <w:rPr>
                <w:b/>
                <w:noProof/>
              </w:rPr>
            </w:pPr>
            <w:r>
              <w:rPr>
                <w:b/>
                <w:noProof/>
              </w:rPr>
              <w:t>Собствени ресурси — основни</w:t>
            </w:r>
          </w:p>
          <w:p>
            <w:pPr>
              <w:pStyle w:val="Fichefinanciretextetable"/>
              <w:jc w:val="both"/>
              <w:rPr>
                <w:noProof/>
              </w:rPr>
            </w:pPr>
            <w:r>
              <w:rPr>
                <w:noProof/>
              </w:rPr>
              <w:t xml:space="preserve">66,9 млн. евро за пазарната 1999/2000 година и 49,4 млн. евро за пазарната 2000/2001 година; общо 116,3 млн. евро * 80% = </w:t>
            </w:r>
            <w:r>
              <w:rPr>
                <w:b/>
                <w:noProof/>
              </w:rPr>
              <w:t xml:space="preserve">93,1 млн. евро </w:t>
            </w:r>
            <w:r>
              <w:rPr>
                <w:noProof/>
              </w:rPr>
              <w:t>налози след приспадане на разходите по събирането.</w:t>
            </w:r>
          </w:p>
          <w:p>
            <w:pPr>
              <w:pStyle w:val="Fichefinanciretextetable"/>
              <w:jc w:val="both"/>
              <w:rPr>
                <w:noProof/>
              </w:rPr>
            </w:pPr>
          </w:p>
          <w:p>
            <w:pPr>
              <w:pStyle w:val="Fichefinanciretextetable"/>
              <w:jc w:val="both"/>
              <w:rPr>
                <w:b/>
                <w:noProof/>
              </w:rPr>
            </w:pPr>
            <w:r>
              <w:rPr>
                <w:b/>
                <w:noProof/>
              </w:rPr>
              <w:t>Компенсаторни лихви</w:t>
            </w:r>
          </w:p>
          <w:p>
            <w:pPr>
              <w:rPr>
                <w:noProof/>
              </w:rPr>
            </w:pPr>
            <w:r>
              <w:rPr>
                <w:noProof/>
                <w:sz w:val="20"/>
              </w:rPr>
              <w:t xml:space="preserve">Заявените компенсаторни лихви не са включени в сумата на собствените ресурси. Лихвените проценти ще бъдат определени от националното законодателство и следователно окончателната сума не може да бъде определена със сигурност към настоящия момент. Въз основа обаче на информацията за националните лихвени проценти от делото </w:t>
            </w:r>
            <w:r>
              <w:rPr>
                <w:i/>
                <w:noProof/>
                <w:sz w:val="20"/>
              </w:rPr>
              <w:t>Jülich</w:t>
            </w:r>
            <w:r>
              <w:rPr>
                <w:noProof/>
                <w:sz w:val="20"/>
              </w:rPr>
              <w:t xml:space="preserve"> и ако се приеме, че средните годишни разходи за лихви са 5 %, дължимата за 1999/2000 година главница ще се повиши с 90 % заради лихвите (18*5 %), а дължимата за 2000/2001 година главница ще се повиши с 85 % (17*5 %).</w:t>
            </w:r>
          </w:p>
          <w:p>
            <w:pPr>
              <w:pStyle w:val="Fichefinanciretextetable"/>
              <w:jc w:val="both"/>
              <w:rPr>
                <w:noProof/>
              </w:rPr>
            </w:pPr>
            <w:r>
              <w:rPr>
                <w:noProof/>
              </w:rPr>
              <w:t xml:space="preserve">Така прогнозните разходи за лихви възлизат на (66,9*90 %) + (49,4*85 %) = </w:t>
            </w:r>
            <w:r>
              <w:rPr>
                <w:b/>
                <w:noProof/>
              </w:rPr>
              <w:t>102,2 млн. евро.</w:t>
            </w:r>
          </w:p>
          <w:p>
            <w:pPr>
              <w:pStyle w:val="Fichefinanciretextetable"/>
              <w:jc w:val="both"/>
              <w:rPr>
                <w:noProof/>
              </w:rPr>
            </w:pPr>
          </w:p>
          <w:p>
            <w:pPr>
              <w:pStyle w:val="Fichefinanciretextetable"/>
              <w:jc w:val="both"/>
              <w:rPr>
                <w:noProof/>
              </w:rPr>
            </w:pPr>
            <w:r>
              <w:rPr>
                <w:noProof/>
              </w:rPr>
              <w:t>Сумата за компенсаторните лихви ще бъде изплатена по бюджетен ред 05 07 02 — Уреждане на спорове. Очаква се плащанията да се осъществят през бюджетната 2018 година.</w:t>
            </w:r>
          </w:p>
          <w:p>
            <w:pPr>
              <w:pStyle w:val="Fichefinanciretextetable"/>
              <w:ind w:left="720" w:hanging="720"/>
              <w:rPr>
                <w:noProof/>
              </w:rPr>
            </w:pPr>
          </w:p>
        </w:tc>
      </w:tr>
    </w:tbl>
    <w:p>
      <w:pPr>
        <w:rPr>
          <w:noProof/>
        </w:rPr>
      </w:pPr>
    </w:p>
    <w:sectPr>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noProof/>
        </w:rPr>
      </w:pPr>
      <w:r>
        <w:rPr>
          <w:rStyle w:val="FootnoteReference"/>
        </w:rPr>
        <w:footnoteRef/>
      </w:r>
      <w:r>
        <w:tab/>
        <w:t xml:space="preserve">Регламент (ЕО) № 2038/1999 на Съвета от 13 септември 1999 г. относно общата организация на пазарите в сектора на захарта (ОВ L 252, 25.9.1999 г., стр. 1). </w:t>
      </w:r>
    </w:p>
  </w:footnote>
  <w:footnote w:id="2">
    <w:p>
      <w:pPr>
        <w:pStyle w:val="FootnoteText"/>
        <w:rPr>
          <w:noProof/>
        </w:rPr>
      </w:pPr>
      <w:r>
        <w:rPr>
          <w:rStyle w:val="FootnoteReference"/>
        </w:rPr>
        <w:footnoteRef/>
      </w:r>
      <w:r>
        <w:tab/>
        <w:t>Регламент (ЕО) № 2267/2000 на Комисията от 12 октомври 2000 г. за определяне на размера на налога върху производството и коефициента за изчисляване на допълнителния налог в сектора на захарта за пазарната 1999/2000 година (ОВ L 259, 13.10.2000 г., стр. 29).</w:t>
      </w:r>
    </w:p>
  </w:footnote>
  <w:footnote w:id="3">
    <w:p>
      <w:pPr>
        <w:pStyle w:val="FootnoteText"/>
        <w:rPr>
          <w:noProof/>
        </w:rPr>
      </w:pPr>
      <w:r>
        <w:rPr>
          <w:rStyle w:val="FootnoteReference"/>
        </w:rPr>
        <w:footnoteRef/>
      </w:r>
      <w:r>
        <w:tab/>
        <w:t>Регламент (ЕО) № 1993/2001 на Комисията от 11 октомври 2001 г. за определяне на размера на налога върху производството в сектора на захарта за пазарната 2000/2001 година (ОВ L 271, 12.10.2001 г., стр. 15).</w:t>
      </w:r>
    </w:p>
  </w:footnote>
  <w:footnote w:id="4">
    <w:p>
      <w:pPr>
        <w:pStyle w:val="FootnoteText"/>
        <w:rPr>
          <w:noProof/>
        </w:rPr>
      </w:pPr>
      <w:r>
        <w:rPr>
          <w:rStyle w:val="FootnoteReference"/>
        </w:rPr>
        <w:footnoteRef/>
      </w:r>
      <w:r>
        <w:tab/>
        <w:t>Регламент (ЕО) № 1260/2001 на Съвета от 19 юни 2001 г. относно общата организация на пазарите в сектора на захарта (ОВ L 178, 30.6.2001 г., стр. 1).</w:t>
      </w:r>
    </w:p>
  </w:footnote>
  <w:footnote w:id="5">
    <w:p>
      <w:pPr>
        <w:pStyle w:val="FootnoteText"/>
        <w:rPr>
          <w:noProof/>
        </w:rPr>
      </w:pPr>
      <w:r>
        <w:rPr>
          <w:rStyle w:val="FootnoteReference"/>
        </w:rPr>
        <w:footnoteRef/>
      </w:r>
      <w:r>
        <w:tab/>
        <w:t>Регламент (ЕО) № 318/2006 на Съвета от 20 февруари 2006 г. относно общата организация на пазарите в сектора на захарта (ОВ L 58, 28.2.2006 г., стр. 1).</w:t>
      </w:r>
    </w:p>
  </w:footnote>
  <w:footnote w:id="6">
    <w:p>
      <w:pPr>
        <w:pStyle w:val="FootnoteText"/>
      </w:pPr>
      <w:r>
        <w:rPr>
          <w:rStyle w:val="FootnoteReference"/>
        </w:rPr>
        <w:footnoteRef/>
      </w:r>
      <w:r>
        <w:tab/>
        <w:t>Регламент (ЕО) № 1234/2007 на Съвета от 22 октомври 2007 г. за установяване на обща организация на селскостопанските пазари и относно специфични разпоредби за някои земеделски продукти (Общ регламент за ООП) (ОВ L 299, 16.11.2007 г., стр. 1).</w:t>
      </w:r>
    </w:p>
  </w:footnote>
  <w:footnote w:id="7">
    <w:p>
      <w:pPr>
        <w:pStyle w:val="FootnoteText"/>
        <w:rPr>
          <w:rFonts w:cs="EUAlbertina"/>
          <w:color w:val="000000"/>
        </w:rPr>
      </w:pPr>
      <w:r>
        <w:rPr>
          <w:rStyle w:val="FootnoteReference"/>
        </w:rPr>
        <w:footnoteRef/>
      </w:r>
      <w:r>
        <w:tab/>
      </w:r>
      <w:r>
        <w:rPr>
          <w:color w:val="000000"/>
        </w:rPr>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на Съвета (ОВ L 347, 20.12.2013 г., стр. 671).</w:t>
      </w:r>
    </w:p>
  </w:footnote>
  <w:footnote w:id="8">
    <w:p>
      <w:pPr>
        <w:pStyle w:val="FootnoteText"/>
      </w:pPr>
      <w:r>
        <w:rPr>
          <w:rStyle w:val="FootnoteReference"/>
        </w:rPr>
        <w:footnoteRef/>
      </w:r>
      <w:r>
        <w:tab/>
        <w:t xml:space="preserve">Дело C-585/15, Raffinerie Tirlemontoise, </w:t>
      </w:r>
      <w:r>
        <w:rPr>
          <w:color w:val="000000"/>
        </w:rPr>
        <w:t>ECLI:EU:C:2017:105</w:t>
      </w:r>
      <w:r>
        <w:rPr>
          <w:rStyle w:val="outputecli"/>
        </w:rPr>
        <w:t>.</w:t>
      </w:r>
    </w:p>
  </w:footnote>
  <w:footnote w:id="9">
    <w:p>
      <w:pPr>
        <w:pStyle w:val="FootnoteText"/>
      </w:pPr>
      <w:r>
        <w:rPr>
          <w:rStyle w:val="FootnoteReference"/>
        </w:rPr>
        <w:footnoteRef/>
      </w:r>
      <w:r>
        <w:tab/>
        <w:t>Регламент (ЕС, Евратом)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(ОВ L 168, 7.6.2014 г., стр. 39).</w:t>
      </w:r>
    </w:p>
  </w:footnote>
  <w:footnote w:id="10">
    <w:p>
      <w:pPr>
        <w:pStyle w:val="FootnoteText"/>
      </w:pPr>
      <w:r>
        <w:rPr>
          <w:rStyle w:val="FootnoteReference"/>
        </w:rPr>
        <w:footnoteRef/>
      </w:r>
      <w:r>
        <w:tab/>
        <w:t>Съединени дела C-113/10, C- 147/10 и C- 234/10, Zuckerfabrik Jülich и др., ECLI:EU:C:2012:591.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8856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1A4E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6BC4C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4324D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F06A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E019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365DD8"/>
    <w:lvl w:ilvl="0">
      <w:start w:val="1"/>
      <w:numFmt w:val="decimal"/>
      <w:pStyle w:val="ListNumber"/>
      <w:lvlText w:val="%1."/>
      <w:lvlJc w:val="left"/>
      <w:pPr>
        <w:tabs>
          <w:tab w:val="num" w:pos="360"/>
        </w:tabs>
        <w:ind w:left="360" w:hanging="360"/>
      </w:pPr>
    </w:lvl>
  </w:abstractNum>
  <w:abstractNum w:abstractNumId="7">
    <w:nsid w:val="FFFFFF89"/>
    <w:multiLevelType w:val="singleLevel"/>
    <w:tmpl w:val="7FCC22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4 09:41: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1F034A1E08D4A0C897201733BA4BBE4"/>
    <w:docVar w:name="LW_CROSSREFERENCE" w:val="{SWD(2017) 348 final}"/>
    <w:docVar w:name="LW_DocType" w:val="COM"/>
    <w:docVar w:name="LW_EMISSION" w:val="24.10.2017"/>
    <w:docVar w:name="LW_EMISSION_ISODATE" w:val="2017-10-24"/>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9"/>
    <w:docVar w:name="LW_REF.II.NEW.CP_YEAR" w:val="2017"/>
    <w:docVar w:name="LW_REF.INST.NEW" w:val="COM"/>
    <w:docVar w:name="LW_REF.INST.NEW_ADOPTED" w:val="final"/>
    <w:docVar w:name="LW_REF.INST.NEW_TEXT" w:val="(2017) 619"/>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8?\u1072?\u1079?\u1084?\u1077?\u1088?\u1072? \u1085?\u1072? \u1085?\u1072?\u1083?\u1086?\u1079?\u1080?\u1090?\u1077? \u1074?\u1098?\u1088?\u1093?\u1091? \u1087?\u1088?\u1086?\u1080?\u1079?\u1074?\u1086?\u1076?\u1089?\u1090?\u1074?\u1086?\u1090?\u1086? \u1080? \u1082?\u1086?\u1077?\u1092?\u1080?\u1094?\u1080?\u1077?\u1085?\u1090?\u1072? \u1085?\u1072? \u1076?\u1086?\u1087?\u1098?\u1083?\u1085?\u1080?\u1090?\u1077?\u1083?\u1085?\u1080?\u1103? \u1085?\u1072?\u1083?\u1086?\u1075? \u1074? \u1089?\u1077?\u1082?\u1090?\u1086?\u1088?\u1072? \u1085?\u1072? \u1079?\u1072?\u1093?\u1072?\u1088?\u1090?\u1072? \u1079?\u1072? \u1087?\u1072?\u1079?\u1072?\u1088?\u1085?\u1072?\u1090?\u1072? 1999/2000 \u1075?\u1086?\u1076?\u1080?\u1085?\u1072? \u1080? \u1079?\u1072? \u1086?\u1087?\u1088?\u1077?\u1076?\u1077?\u1083?\u1103?\u1085?\u1077? \u1085?\u1072? \u1088?\u1072?\u1079?\u1084?\u1077?\u1088?\u1072? \u1085?\u1072? \u1085?\u1072?\u1083?\u1086?\u1079?\u1080?\u1090?\u1077? \u1074?\u1098?\u1088?\u1093?\u1091? \u1087?\u1088?\u1086?\u1080?\u1079?\u1074?\u1086?\u1076?\u1089?\u1090?\u1074?\u1086?\u1090?\u1086? \u1074? \u1089?\u1077?\u1082?\u1090?\u1086?\u1088?\u1072? \u1085?\u1072? \u1079?\u1072?\u1093?\u1072?\u1088?\u1090?\u1072? \u1079?\u1072? \u1087?\u1072?\u1079?\u1072?\u1088?\u1085?\u1072?\u1090?\u1072? 2000/2001 \u1075?\u1086?\u1076?\u1080?\u1085?\u1072? "/>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96AE8-ACF3-4545-B626-B55A346D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3359</Words>
  <Characters>18714</Characters>
  <Application>Microsoft Office Word</Application>
  <DocSecurity>0</DocSecurity>
  <Lines>415</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2017-10-02T09:50:00Z</cp:lastPrinted>
  <dcterms:created xsi:type="dcterms:W3CDTF">2017-10-23T13:59:00Z</dcterms:created>
  <dcterms:modified xsi:type="dcterms:W3CDTF">2017-10-24T07:41:00Z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