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alt="06C67A944EEE47A5A7F7946BAB967B64" style="width:450.75pt;height:438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8793"/>
      </w:tblGrid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lastRenderedPageBreak/>
              <w:t>(1)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 Production levies in the sugar sector referred to in Article 1(1)</w:t>
            </w:r>
          </w:p>
          <w:tbl>
            <w:tblPr>
              <w:tblW w:w="3186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579"/>
              <w:gridCol w:w="1507"/>
              <w:gridCol w:w="1507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  <w:t>1999/2000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  <w:t>2000/2001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"/>
                    <w:gridCol w:w="1954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  <w:t>EUR per tonne of white sugar as the basic production levy on A sugar and B sugar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12,638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12,638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1940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  <w:t>EUR per tonne of white sugar as the B levy on B sugar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236,963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111,114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"/>
                    <w:gridCol w:w="1967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  <w:t>EUR per tonne of dry matter as the basic production levy on A isoglucose and B isoglucose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5,330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5,330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9"/>
                    <w:gridCol w:w="1940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  <w:t>EUR per tonne of dry matter as the B levy on B isoglucose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99,425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46,636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2"/>
                    <w:gridCol w:w="1967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  <w:t>EUR per tonne of dry matter equivalent sugar/isoglucose as the basic production levy on A inulin syrup and B inulin syrup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12,638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12,638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"/>
                    <w:gridCol w:w="1994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before="60" w:after="60"/>
                          <w:ind w:right="195"/>
                          <w:jc w:val="center"/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noProof/>
                            <w:color w:val="000000"/>
                            <w:lang w:eastAsia="en-GB"/>
                          </w:rPr>
                          <w:t>(f)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>
                        <w:pPr>
                          <w:spacing w:after="0"/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00"/>
                            <w:szCs w:val="24"/>
                            <w:lang w:eastAsia="en-GB"/>
                          </w:rPr>
                          <w:t>EUR per tonne of dry matter equivalent sugar/isoglucose as the B levy on B inulin syrup</w:t>
                        </w:r>
                      </w:p>
                    </w:tc>
                  </w:tr>
                </w:tbl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236,963</w:t>
                  </w:r>
                </w:p>
              </w:tc>
              <w:tc>
                <w:tcPr>
                  <w:tcW w:w="13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111,114</w:t>
                  </w:r>
                </w:p>
              </w:tc>
            </w:tr>
          </w:tbl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(2) 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 Coefficients required for calculating the additional levy referred to in Article 1(2) for 1999/2000 marketing year: 0,10034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(3)</w:t>
            </w:r>
          </w:p>
        </w:tc>
        <w:tc>
          <w:tcPr>
            <w:tcW w:w="0" w:type="auto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 Amount that the sugar producers have to pay to beet growers in respect of the difference 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lastRenderedPageBreak/>
              <w:t>between the maximum amount of the B levy and the amount of the levy actually charged, referred to in Article 1(3)</w:t>
            </w:r>
          </w:p>
          <w:tbl>
            <w:tblPr>
              <w:tblW w:w="3262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8"/>
              <w:gridCol w:w="2138"/>
            </w:tblGrid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after="0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  <w:t>2000/2001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center"/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00"/>
                      <w:lang w:eastAsia="en-GB"/>
                    </w:rPr>
                    <w:t>Price for B beet</w:t>
                  </w:r>
                  <w:hyperlink r:id="rId15" w:anchor="ntr1-L_2013343EN.01000601-E0001" w:history="1">
                    <w:r>
                      <w:rPr>
                        <w:rFonts w:eastAsia="Times New Roman"/>
                        <w:b/>
                        <w:bCs/>
                        <w:noProof/>
                        <w:color w:val="000000" w:themeColor="text1"/>
                        <w:lang w:eastAsia="en-GB"/>
                      </w:rPr>
                      <w:t> (</w:t>
                    </w:r>
                    <w:r>
                      <w:rPr>
                        <w:rFonts w:eastAsia="Times New Roman"/>
                        <w:b/>
                        <w:bCs/>
                        <w:noProof/>
                        <w:color w:val="000000" w:themeColor="text1"/>
                        <w:sz w:val="15"/>
                        <w:szCs w:val="15"/>
                        <w:vertAlign w:val="superscript"/>
                        <w:lang w:eastAsia="en-GB"/>
                      </w:rPr>
                      <w:t>1</w:t>
                    </w:r>
                    <w:r>
                      <w:rPr>
                        <w:rFonts w:eastAsia="Times New Roman"/>
                        <w:b/>
                        <w:bCs/>
                        <w:noProof/>
                        <w:color w:val="000000" w:themeColor="text1"/>
                        <w:lang w:eastAsia="en-GB"/>
                      </w:rPr>
                      <w:t>)</w:t>
                    </w:r>
                  </w:hyperlink>
                  <w:r>
                    <w:rPr>
                      <w:rFonts w:eastAsia="Times New Roman"/>
                      <w:b/>
                      <w:bCs/>
                      <w:noProof/>
                      <w:color w:val="000000" w:themeColor="text1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>
                  <w:pPr>
                    <w:spacing w:before="60" w:after="60"/>
                    <w:ind w:right="195"/>
                    <w:jc w:val="right"/>
                    <w:rPr>
                      <w:rFonts w:eastAsia="Times New Roman"/>
                      <w:noProof/>
                      <w:color w:val="000000"/>
                      <w:szCs w:val="24"/>
                      <w:lang w:eastAsia="en-GB"/>
                    </w:rPr>
                  </w:pPr>
                  <w:r>
                    <w:rPr>
                      <w:rFonts w:eastAsia="Times New Roman"/>
                      <w:noProof/>
                      <w:color w:val="000000"/>
                      <w:lang w:eastAsia="en-GB"/>
                    </w:rPr>
                    <w:t>9,816</w:t>
                  </w:r>
                </w:p>
              </w:tc>
            </w:tr>
          </w:tbl>
          <w:p>
            <w:pPr>
              <w:spacing w:after="0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</w:p>
        </w:tc>
      </w:tr>
    </w:tbl>
    <w:p>
      <w:pPr>
        <w:spacing w:before="240" w:after="60"/>
        <w:rPr>
          <w:rFonts w:eastAsia="Times New Roman"/>
          <w:noProof/>
          <w:color w:val="000000"/>
          <w:szCs w:val="24"/>
          <w:lang w:eastAsia="en-GB"/>
        </w:rPr>
      </w:pPr>
      <w:r>
        <w:rPr>
          <w:rFonts w:eastAsia="Times New Roman"/>
          <w:noProof/>
          <w:color w:val="000000"/>
          <w:szCs w:val="24"/>
          <w:lang w:eastAsia="en-GB"/>
        </w:rPr>
        <w:lastRenderedPageBreak/>
        <w:pict>
          <v:rect id="_x0000_i1026" style="width:90.25pt;height:.75pt" o:hrpct="200" o:hrstd="t" o:hrnoshade="t" o:hr="t" fillcolor="black" stroked="f"/>
        </w:pict>
      </w:r>
    </w:p>
    <w:p>
      <w:pPr>
        <w:spacing w:before="60" w:after="60"/>
        <w:rPr>
          <w:rFonts w:eastAsia="Times New Roman"/>
          <w:noProof/>
          <w:color w:val="000000"/>
          <w:sz w:val="19"/>
          <w:szCs w:val="19"/>
          <w:lang w:eastAsia="en-GB"/>
        </w:rPr>
      </w:pPr>
      <w:hyperlink r:id="rId16" w:anchor="ntc1-L_2013343EN.01000601-E0001" w:history="1">
        <w:r>
          <w:rPr>
            <w:rFonts w:eastAsia="Times New Roman"/>
            <w:noProof/>
            <w:color w:val="000000" w:themeColor="text1"/>
            <w:sz w:val="19"/>
            <w:szCs w:val="19"/>
            <w:lang w:eastAsia="en-GB"/>
          </w:rPr>
          <w:t>(</w:t>
        </w:r>
        <w:r>
          <w:rPr>
            <w:rFonts w:eastAsia="Times New Roman"/>
            <w:noProof/>
            <w:color w:val="000000" w:themeColor="text1"/>
            <w:sz w:val="13"/>
            <w:szCs w:val="13"/>
            <w:vertAlign w:val="superscript"/>
            <w:lang w:eastAsia="en-GB"/>
          </w:rPr>
          <w:t>1</w:t>
        </w:r>
        <w:r>
          <w:rPr>
            <w:rFonts w:eastAsia="Times New Roman"/>
            <w:noProof/>
            <w:color w:val="000000" w:themeColor="text1"/>
            <w:sz w:val="19"/>
            <w:szCs w:val="19"/>
            <w:lang w:eastAsia="en-GB"/>
          </w:rPr>
          <w:t>)</w:t>
        </w:r>
      </w:hyperlink>
      <w:r>
        <w:rPr>
          <w:rFonts w:eastAsia="Times New Roman"/>
          <w:noProof/>
          <w:color w:val="000000" w:themeColor="text1"/>
          <w:sz w:val="19"/>
          <w:szCs w:val="19"/>
          <w:lang w:eastAsia="en-GB"/>
        </w:rPr>
        <w:t> </w:t>
      </w:r>
      <w:r>
        <w:rPr>
          <w:rFonts w:eastAsia="Times New Roman"/>
          <w:noProof/>
          <w:color w:val="000000"/>
          <w:sz w:val="19"/>
          <w:szCs w:val="19"/>
          <w:lang w:eastAsia="en-GB"/>
        </w:rPr>
        <w:t> Price in respect of the B levy per tonne of beet of the standard quality (EUR).</w:t>
      </w:r>
    </w:p>
    <w:sectPr>
      <w:footerReference w:type="default" r:id="rId17"/>
      <w:footerReference w:type="first" r:id="rId18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33B87B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E42EC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45E94E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D06B4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7457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AB8CD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058F9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1BE8F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10-23 16:56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6C67A944EEE47A5A7F7946BAB967B64"/>
    <w:docVar w:name="LW_CROSSREFERENCE" w:val="{SWD(2017) 348 final}"/>
    <w:docVar w:name="LW_DocType" w:val="ANNEX"/>
    <w:docVar w:name="LW_EMISSION" w:val="24.10.2017"/>
    <w:docVar w:name="LW_EMISSION_ISODATE" w:val="2017-10-24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fixing the production levies and the coefficient for calculating the additional levy in the sugar sector for the 1999/2000 marketing year and fixing the production levies in the sugar sector for the 2000/2001 marketing year"/>
    <w:docVar w:name="LW_PART_NBR" w:val="1"/>
    <w:docVar w:name="LW_PART_NBR_TOTAL" w:val="1"/>
    <w:docVar w:name="LW_REF.INST.NEW" w:val="COM"/>
    <w:docVar w:name="LW_REF.INST.NEW_ADOPTED" w:val="final"/>
    <w:docVar w:name="LW_REF.INST.NEW_TEXT" w:val="(2017) 619"/>
    <w:docVar w:name="LW_REF.INTERNE" w:val="&lt;UNUSED&gt;"/>
    <w:docVar w:name="LW_SUPERTITRE" w:val="&lt;UNUSED&gt;"/>
    <w:docVar w:name="LW_TITRE.OBJ.CP" w:val="&lt;UNUSED&gt;"/>
    <w:docVar w:name="LW_TYPE.DOC.CP" w:val="ANNEX"/>
    <w:docVar w:name="LW_TYPEACTEPRINCIPAL.CP" w:val="Proposal for a_x000b__x000b_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eur-lex.europa.eu/legal-content/EN/TXT/HTML/?uri=CELEX:32013R1360&amp;ri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EN/TXT/HTML/?uri=CELEX:32013R1360&amp;rid=1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265</Words>
  <Characters>1192</Characters>
  <Application>Microsoft Office Word</Application>
  <DocSecurity>0</DocSecurity>
  <Lines>108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DULIEU Kathia (ECFIN)</dc:creator>
  <cp:lastModifiedBy>DIGIT/A3</cp:lastModifiedBy>
  <cp:revision>8</cp:revision>
  <dcterms:created xsi:type="dcterms:W3CDTF">2017-10-02T10:30:00Z</dcterms:created>
  <dcterms:modified xsi:type="dcterms:W3CDTF">2017-10-23T14:56:00Z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