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722" w:rsidRDefault="009568DB" w:rsidP="009568DB">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9A5B696547F4068A9FC20EC46E9DD71" style="width:450.75pt;height:307.5pt">
            <v:imagedata r:id="rId7" o:title=""/>
          </v:shape>
        </w:pict>
      </w:r>
    </w:p>
    <w:bookmarkEnd w:id="0"/>
    <w:p w:rsidR="008D4722" w:rsidRDefault="008D4722">
      <w:pPr>
        <w:rPr>
          <w:noProof/>
        </w:rPr>
        <w:sectPr w:rsidR="008D4722" w:rsidSect="009568DB">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1"/>
          <w:cols w:space="720"/>
          <w:docGrid w:linePitch="360"/>
        </w:sectPr>
      </w:pPr>
    </w:p>
    <w:p w:rsidR="008D4722" w:rsidRDefault="009568DB">
      <w:pPr>
        <w:spacing w:after="0"/>
        <w:jc w:val="both"/>
        <w:rPr>
          <w:rFonts w:ascii="Times New Roman" w:hAnsi="Times New Roman" w:cs="Times New Roman"/>
          <w:noProof/>
          <w:sz w:val="24"/>
          <w:szCs w:val="24"/>
        </w:rPr>
      </w:pPr>
      <w:r>
        <w:rPr>
          <w:rFonts w:ascii="Times New Roman" w:hAnsi="Times New Roman"/>
          <w:noProof/>
          <w:sz w:val="24"/>
        </w:rPr>
        <w:lastRenderedPageBreak/>
        <w:t xml:space="preserve">Le présent rapport relatif à une mission de surveillance renforcée en Roumanie est transmis au </w:t>
      </w:r>
      <w:r>
        <w:rPr>
          <w:rFonts w:ascii="Times New Roman" w:hAnsi="Times New Roman"/>
          <w:noProof/>
          <w:sz w:val="24"/>
        </w:rPr>
        <w:t>Conseil, conformément à l’article -11, paragraphe 4, du règlement (CE) n° 1466/97</w:t>
      </w:r>
      <w:r>
        <w:rPr>
          <w:rFonts w:ascii="Times New Roman" w:hAnsi="Times New Roman"/>
          <w:noProof/>
          <w:sz w:val="24"/>
          <w:vertAlign w:val="superscript"/>
        </w:rPr>
        <w:footnoteReference w:id="1"/>
      </w:r>
      <w:r>
        <w:rPr>
          <w:rFonts w:ascii="Times New Roman" w:hAnsi="Times New Roman"/>
          <w:noProof/>
          <w:sz w:val="24"/>
        </w:rPr>
        <w:t>. Les résultats provisoires de cette mission ont été communiqués préalablement aux autorités roumaines pour observations, conformément à l'article -11, paragraphe 5, de ce mê</w:t>
      </w:r>
      <w:r>
        <w:rPr>
          <w:rFonts w:ascii="Times New Roman" w:hAnsi="Times New Roman"/>
          <w:noProof/>
          <w:sz w:val="24"/>
        </w:rPr>
        <w:t>me règlement.</w:t>
      </w:r>
    </w:p>
    <w:p w:rsidR="008D4722" w:rsidRDefault="008D4722">
      <w:pPr>
        <w:spacing w:after="120"/>
        <w:jc w:val="both"/>
        <w:rPr>
          <w:rFonts w:ascii="Times New Roman" w:hAnsi="Times New Roman" w:cs="Times New Roman"/>
          <w:noProof/>
          <w:sz w:val="24"/>
          <w:szCs w:val="24"/>
        </w:rPr>
      </w:pPr>
    </w:p>
    <w:p w:rsidR="008D4722" w:rsidRDefault="009568DB">
      <w:pPr>
        <w:spacing w:after="0" w:line="240" w:lineRule="auto"/>
        <w:jc w:val="center"/>
        <w:rPr>
          <w:rFonts w:ascii="Times New Roman" w:hAnsi="Times New Roman" w:cs="Times New Roman"/>
          <w:b/>
          <w:noProof/>
          <w:sz w:val="28"/>
          <w:szCs w:val="24"/>
        </w:rPr>
      </w:pPr>
      <w:r>
        <w:rPr>
          <w:rFonts w:ascii="Times New Roman" w:hAnsi="Times New Roman"/>
          <w:b/>
          <w:noProof/>
          <w:sz w:val="28"/>
        </w:rPr>
        <w:t>Roumanie – Procédure pour écart important</w:t>
      </w:r>
    </w:p>
    <w:p w:rsidR="008D4722" w:rsidRDefault="009568DB">
      <w:pPr>
        <w:spacing w:after="0" w:line="240" w:lineRule="auto"/>
        <w:jc w:val="center"/>
        <w:rPr>
          <w:rFonts w:ascii="Times New Roman" w:hAnsi="Times New Roman" w:cs="Times New Roman"/>
          <w:b/>
          <w:noProof/>
          <w:sz w:val="28"/>
          <w:szCs w:val="24"/>
        </w:rPr>
      </w:pPr>
      <w:r>
        <w:rPr>
          <w:rFonts w:ascii="Times New Roman" w:hAnsi="Times New Roman"/>
          <w:b/>
          <w:noProof/>
          <w:sz w:val="28"/>
        </w:rPr>
        <w:t>Mission de surveillance renforcée, 26-27 septembre 2017</w:t>
      </w:r>
    </w:p>
    <w:p w:rsidR="008D4722" w:rsidRDefault="009568DB">
      <w:pPr>
        <w:spacing w:before="120" w:after="0" w:line="240" w:lineRule="auto"/>
        <w:jc w:val="center"/>
        <w:rPr>
          <w:rFonts w:ascii="Times New Roman" w:hAnsi="Times New Roman" w:cs="Times New Roman"/>
          <w:b/>
          <w:noProof/>
          <w:sz w:val="28"/>
          <w:szCs w:val="24"/>
        </w:rPr>
      </w:pPr>
      <w:r>
        <w:rPr>
          <w:rFonts w:ascii="Times New Roman" w:hAnsi="Times New Roman"/>
          <w:b/>
          <w:noProof/>
          <w:sz w:val="28"/>
        </w:rPr>
        <w:t>Rapport</w:t>
      </w:r>
    </w:p>
    <w:p w:rsidR="008D4722" w:rsidRDefault="008D4722">
      <w:pPr>
        <w:spacing w:after="0"/>
        <w:jc w:val="both"/>
        <w:rPr>
          <w:rFonts w:ascii="Times New Roman" w:hAnsi="Times New Roman" w:cs="Times New Roman"/>
          <w:noProof/>
          <w:sz w:val="24"/>
          <w:szCs w:val="24"/>
        </w:rPr>
      </w:pPr>
    </w:p>
    <w:p w:rsidR="008D4722" w:rsidRDefault="009568DB">
      <w:pPr>
        <w:spacing w:before="240" w:after="120"/>
        <w:jc w:val="both"/>
        <w:rPr>
          <w:rFonts w:ascii="Times New Roman" w:hAnsi="Times New Roman" w:cs="Times New Roman"/>
          <w:b/>
          <w:noProof/>
          <w:sz w:val="24"/>
          <w:szCs w:val="24"/>
        </w:rPr>
      </w:pPr>
      <w:r>
        <w:rPr>
          <w:rFonts w:ascii="Times New Roman" w:hAnsi="Times New Roman"/>
          <w:b/>
          <w:noProof/>
          <w:sz w:val="24"/>
        </w:rPr>
        <w:t>1. Introduction</w:t>
      </w:r>
    </w:p>
    <w:p w:rsidR="008D4722" w:rsidRDefault="009568DB">
      <w:pPr>
        <w:spacing w:after="120"/>
        <w:jc w:val="both"/>
        <w:rPr>
          <w:rFonts w:ascii="Times New Roman" w:hAnsi="Times New Roman" w:cs="Times New Roman"/>
          <w:noProof/>
          <w:sz w:val="24"/>
          <w:szCs w:val="24"/>
        </w:rPr>
      </w:pPr>
      <w:r>
        <w:rPr>
          <w:rFonts w:ascii="Times New Roman" w:hAnsi="Times New Roman"/>
          <w:b/>
          <w:noProof/>
          <w:sz w:val="24"/>
        </w:rPr>
        <w:t xml:space="preserve">En raison de l’écart important observé en 2016 par rapport à son objectif budgétaire à moyen terme (OMT), la Roumanie </w:t>
      </w:r>
      <w:r>
        <w:rPr>
          <w:rFonts w:ascii="Times New Roman" w:hAnsi="Times New Roman"/>
          <w:b/>
          <w:noProof/>
          <w:sz w:val="24"/>
        </w:rPr>
        <w:t>fait l'objet d’une procédure pour écart important (PEI) depuis le printemps 2017.</w:t>
      </w:r>
      <w:r>
        <w:rPr>
          <w:rFonts w:ascii="Times New Roman" w:hAnsi="Times New Roman"/>
          <w:noProof/>
          <w:sz w:val="24"/>
        </w:rPr>
        <w:t xml:space="preserve"> Son déficit structurel, qui était inférieur à 1 % en 2015, a augmenté pour atteindre 2,5 % du PIB en 2016, en raison de réductions significatives de la fiscalité indirecte et</w:t>
      </w:r>
      <w:r>
        <w:rPr>
          <w:rFonts w:ascii="Times New Roman" w:hAnsi="Times New Roman"/>
          <w:noProof/>
          <w:sz w:val="24"/>
        </w:rPr>
        <w:t xml:space="preserve"> d’augmentations des salaires du secteur public. En conséquence, le 22 mai 2017, la Commission a adressé un avertissement à la Roumanie et proposé au Conseil d'engager une procédure pour écart important à l'égard de cet État membre. Dans sa recommandation </w:t>
      </w:r>
      <w:r>
        <w:rPr>
          <w:rFonts w:ascii="Times New Roman" w:hAnsi="Times New Roman"/>
          <w:noProof/>
          <w:sz w:val="24"/>
        </w:rPr>
        <w:t xml:space="preserve">PEI, approuvée le 16 juin 2017, le Conseil a invité la Roumanie à prendre les mesures nécessaires pour que le taux de croissance nominal des dépenses publiques primaires nettes n’excède pas 3,3 % en 2017. </w:t>
      </w:r>
      <w:r>
        <w:rPr>
          <w:rFonts w:ascii="Times New Roman" w:hAnsi="Times New Roman" w:cs="Times New Roman"/>
          <w:noProof/>
          <w:sz w:val="24"/>
          <w:szCs w:val="24"/>
        </w:rPr>
        <w:t>Cela correspond à un ajustement structurel annuel d</w:t>
      </w:r>
      <w:r>
        <w:rPr>
          <w:rFonts w:ascii="Times New Roman" w:hAnsi="Times New Roman" w:cs="Times New Roman"/>
          <w:noProof/>
          <w:sz w:val="24"/>
          <w:szCs w:val="24"/>
        </w:rPr>
        <w:t>e 0,5 % du PIB – l’effort minimum requis dans le cadre du volet préventif du pacte de stabilité et de croissance – et se traduit par la nécessité d'adopter des mesures correctives qui, par rapport au scénario de base figurant dans les prévisions économique</w:t>
      </w:r>
      <w:r>
        <w:rPr>
          <w:rFonts w:ascii="Times New Roman" w:hAnsi="Times New Roman" w:cs="Times New Roman"/>
          <w:noProof/>
          <w:sz w:val="24"/>
          <w:szCs w:val="24"/>
        </w:rPr>
        <w:t>s du printemps 2017 de la Commission, représentent 1,8 % du PIB. Comme elle y était invitée, la Roumanie a fait rapport au Conseil avant le 15 octobre 2017 sur les mesures prises pour donner suite à sa recommandation. La Commission évalue actuellement le c</w:t>
      </w:r>
      <w:r>
        <w:rPr>
          <w:rFonts w:ascii="Times New Roman" w:hAnsi="Times New Roman" w:cs="Times New Roman"/>
          <w:noProof/>
          <w:sz w:val="24"/>
          <w:szCs w:val="24"/>
        </w:rPr>
        <w:t xml:space="preserve">ontenu de ce rapport.  </w:t>
      </w:r>
    </w:p>
    <w:p w:rsidR="008D4722" w:rsidRDefault="009568DB">
      <w:pPr>
        <w:spacing w:after="120"/>
        <w:jc w:val="both"/>
        <w:rPr>
          <w:rFonts w:ascii="Times New Roman" w:hAnsi="Times New Roman" w:cs="Times New Roman"/>
          <w:noProof/>
          <w:sz w:val="24"/>
          <w:szCs w:val="24"/>
        </w:rPr>
      </w:pPr>
      <w:r>
        <w:rPr>
          <w:rFonts w:ascii="Times New Roman" w:hAnsi="Times New Roman"/>
          <w:b/>
          <w:noProof/>
          <w:sz w:val="24"/>
        </w:rPr>
        <w:t>La mission de surveillance renforcée de la Commission a eu lieu les 26 et 27 septembre 2017</w:t>
      </w:r>
      <w:r>
        <w:rPr>
          <w:rFonts w:ascii="Times New Roman" w:hAnsi="Times New Roman"/>
          <w:noProof/>
          <w:sz w:val="24"/>
        </w:rPr>
        <w:t>. Elle a été effectuée sur la base de l’article -11, paragraphe 2, du règlement (CE) n° 1466/97. Les membres de la mission se sont entretenus avec le ministre des finances Ionuţ Mişa, le gouverneur de la Banque nationale de Roumanie Mugur Isărescu, les mem</w:t>
      </w:r>
      <w:r>
        <w:rPr>
          <w:rFonts w:ascii="Times New Roman" w:hAnsi="Times New Roman"/>
          <w:noProof/>
          <w:sz w:val="24"/>
        </w:rPr>
        <w:t xml:space="preserve">bres du conseil budgétaire de la Roumanie et les membres des commissions budgétaires du parlement roumain. Leur objectif était de prendre connaissance dans le détail des mesures budgétaires envisagées par les autorités roumaines, d’accroître la visibilité </w:t>
      </w:r>
      <w:r>
        <w:rPr>
          <w:rFonts w:ascii="Times New Roman" w:hAnsi="Times New Roman"/>
          <w:noProof/>
          <w:sz w:val="24"/>
        </w:rPr>
        <w:t xml:space="preserve">des risques budgétaires et d’encourager le respect du pacte de stabilité et de croissance. Les évolutions budgétaires et l’exécution du budget en 2017 ont également été évaluées dans le cadre de la mission. </w:t>
      </w:r>
    </w:p>
    <w:p w:rsidR="009568DB" w:rsidRDefault="009568DB">
      <w:pPr>
        <w:rPr>
          <w:rFonts w:ascii="Times New Roman" w:hAnsi="Times New Roman"/>
          <w:b/>
          <w:noProof/>
          <w:sz w:val="24"/>
        </w:rPr>
      </w:pPr>
      <w:r>
        <w:rPr>
          <w:rFonts w:ascii="Times New Roman" w:hAnsi="Times New Roman"/>
          <w:b/>
          <w:noProof/>
          <w:sz w:val="24"/>
        </w:rPr>
        <w:br w:type="page"/>
      </w:r>
    </w:p>
    <w:p w:rsidR="008D4722" w:rsidRDefault="009568DB">
      <w:pPr>
        <w:spacing w:before="360" w:after="120"/>
        <w:jc w:val="both"/>
        <w:rPr>
          <w:rFonts w:ascii="Times New Roman" w:hAnsi="Times New Roman" w:cs="Times New Roman"/>
          <w:b/>
          <w:noProof/>
          <w:sz w:val="24"/>
          <w:szCs w:val="24"/>
        </w:rPr>
      </w:pPr>
      <w:bookmarkStart w:id="1" w:name="_GoBack"/>
      <w:bookmarkEnd w:id="1"/>
      <w:r>
        <w:rPr>
          <w:rFonts w:ascii="Times New Roman" w:hAnsi="Times New Roman"/>
          <w:b/>
          <w:noProof/>
          <w:sz w:val="24"/>
        </w:rPr>
        <w:t>2. Résultats de la mission</w:t>
      </w:r>
    </w:p>
    <w:p w:rsidR="008D4722" w:rsidRDefault="009568DB">
      <w:pPr>
        <w:spacing w:after="120"/>
        <w:jc w:val="both"/>
        <w:rPr>
          <w:rFonts w:ascii="Times New Roman" w:hAnsi="Times New Roman" w:cs="Times New Roman"/>
          <w:noProof/>
          <w:sz w:val="24"/>
          <w:szCs w:val="24"/>
        </w:rPr>
      </w:pPr>
      <w:r>
        <w:rPr>
          <w:rFonts w:ascii="Times New Roman" w:hAnsi="Times New Roman"/>
          <w:b/>
          <w:noProof/>
          <w:sz w:val="24"/>
        </w:rPr>
        <w:lastRenderedPageBreak/>
        <w:t>Il semble que les aut</w:t>
      </w:r>
      <w:r>
        <w:rPr>
          <w:rFonts w:ascii="Times New Roman" w:hAnsi="Times New Roman"/>
          <w:b/>
          <w:noProof/>
          <w:sz w:val="24"/>
        </w:rPr>
        <w:t>orités roumaines n’aient pas l’intention de donner suite à la recommandation PEI.</w:t>
      </w:r>
      <w:r>
        <w:rPr>
          <w:rFonts w:ascii="Times New Roman" w:hAnsi="Times New Roman"/>
          <w:noProof/>
          <w:sz w:val="24"/>
        </w:rPr>
        <w:t xml:space="preserve"> Le ministre des finances a confirmé que, pour 2017, l'objectif restait un déficit nominal de 3 % du PIB au maximum et qu’un ajustement structurel n’était pas une priorité. Da</w:t>
      </w:r>
      <w:r>
        <w:rPr>
          <w:rFonts w:ascii="Times New Roman" w:hAnsi="Times New Roman"/>
          <w:noProof/>
          <w:sz w:val="24"/>
        </w:rPr>
        <w:t>ns la correction budgétaire 2017, adoptée par le gouvernement à la mi-septembre 2017, l’objectif de déficit nominal a été maintenu à 2,96 % du PIB, malgré l'amélioration des projections macroéconomiques qui le sous-tendent. Cela laisse présumer une détério</w:t>
      </w:r>
      <w:r>
        <w:rPr>
          <w:rFonts w:ascii="Times New Roman" w:hAnsi="Times New Roman"/>
          <w:noProof/>
          <w:sz w:val="24"/>
        </w:rPr>
        <w:t xml:space="preserve">ration du déficit structurel sous-jacent par rapport au budget initial de 2017, qui prévoyait déjà une orientation budgétaire expansionniste. Le ministre des finances a fait valoir que la recommandation PEI arrivait tard dans l’année, ce qui ne laisse que </w:t>
      </w:r>
      <w:r>
        <w:rPr>
          <w:rFonts w:ascii="Times New Roman" w:hAnsi="Times New Roman"/>
          <w:noProof/>
          <w:sz w:val="24"/>
        </w:rPr>
        <w:t>peu de possibilités de mettre en œuvre l’ajustement structurel recommandé.</w:t>
      </w:r>
    </w:p>
    <w:p w:rsidR="008D4722" w:rsidRDefault="009568DB">
      <w:pPr>
        <w:spacing w:after="120"/>
        <w:jc w:val="both"/>
        <w:rPr>
          <w:rFonts w:ascii="Times New Roman" w:hAnsi="Times New Roman" w:cs="Times New Roman"/>
          <w:noProof/>
          <w:sz w:val="24"/>
          <w:szCs w:val="24"/>
        </w:rPr>
      </w:pPr>
      <w:r>
        <w:rPr>
          <w:rFonts w:ascii="Times New Roman" w:hAnsi="Times New Roman"/>
          <w:b/>
          <w:noProof/>
          <w:sz w:val="24"/>
        </w:rPr>
        <w:t xml:space="preserve">La correction budgétaire 2017 adoptée récemment soulève également des inquiétudes quant à la qualité des finances publiques. </w:t>
      </w:r>
      <w:r>
        <w:rPr>
          <w:rFonts w:ascii="Times New Roman" w:hAnsi="Times New Roman"/>
          <w:noProof/>
          <w:sz w:val="24"/>
        </w:rPr>
        <w:t>Les principaux éléments de la correction budgétaire sont</w:t>
      </w:r>
      <w:r>
        <w:rPr>
          <w:rFonts w:ascii="Times New Roman" w:hAnsi="Times New Roman"/>
          <w:noProof/>
          <w:sz w:val="24"/>
        </w:rPr>
        <w:t>: i) une révision à la hausse de la croissance du PIB de 5,2 % à 5,6 %, ii) la décision de maintenir l’objectif de déficit public (nominal) à 2,96 % du PIB, iii) une révision à la baisse des recettes fiscales (en raison d’une révision à la baisse de la TVA</w:t>
      </w:r>
      <w:r>
        <w:rPr>
          <w:rFonts w:ascii="Times New Roman" w:hAnsi="Times New Roman"/>
          <w:noProof/>
          <w:sz w:val="24"/>
        </w:rPr>
        <w:t xml:space="preserve"> et de l’impôt sur les sociétés), iv) une révision à la hausse des cotisations sociales et des recettes non fiscales (en l'occurrence, les dividendes des entreprises publiques,</w:t>
      </w:r>
      <w:r>
        <w:rPr>
          <w:noProof/>
        </w:rPr>
        <w:t xml:space="preserve"> </w:t>
      </w:r>
      <w:r>
        <w:rPr>
          <w:rFonts w:ascii="Times New Roman" w:hAnsi="Times New Roman" w:cs="Times New Roman"/>
          <w:noProof/>
          <w:sz w:val="24"/>
          <w:szCs w:val="24"/>
        </w:rPr>
        <w:t>dont la hausse est due en partie à une nouvelle demande de dividendes sur des b</w:t>
      </w:r>
      <w:r>
        <w:rPr>
          <w:rFonts w:ascii="Times New Roman" w:hAnsi="Times New Roman" w:cs="Times New Roman"/>
          <w:noProof/>
          <w:sz w:val="24"/>
          <w:szCs w:val="24"/>
        </w:rPr>
        <w:t xml:space="preserve">énéfices non distribués les années précédentes), v) sur le plan des dépenses, la réduction des dépenses en capital d’environ 25 % et vi) l'augmentation des salaires du secteur public ainsi que des prestations sociales. En ce qui concerne la composition du </w:t>
      </w:r>
      <w:r>
        <w:rPr>
          <w:rFonts w:ascii="Times New Roman" w:hAnsi="Times New Roman" w:cs="Times New Roman"/>
          <w:noProof/>
          <w:sz w:val="24"/>
          <w:szCs w:val="24"/>
        </w:rPr>
        <w:t>budget, la Roumanie a adopté des politiques qui favorisent la consommation sur le court terme (baisses d’impôts indirects, augmentations des salaires du secteur public) et qui sont difficilement réversibles, plutôt que des politiques visant à stimuler la c</w:t>
      </w:r>
      <w:r>
        <w:rPr>
          <w:rFonts w:ascii="Times New Roman" w:hAnsi="Times New Roman" w:cs="Times New Roman"/>
          <w:noProof/>
          <w:sz w:val="24"/>
          <w:szCs w:val="24"/>
        </w:rPr>
        <w:t>roissance économique à long terme, telles que des mesures qui permettraient d’améliorer l’absorption des fonds de l’UE ou la qualité de l’investissement public.</w:t>
      </w:r>
    </w:p>
    <w:p w:rsidR="008D4722" w:rsidRDefault="009568DB">
      <w:pPr>
        <w:spacing w:after="120"/>
        <w:jc w:val="both"/>
        <w:rPr>
          <w:rFonts w:ascii="Times New Roman" w:hAnsi="Times New Roman" w:cs="Times New Roman"/>
          <w:noProof/>
          <w:sz w:val="24"/>
          <w:szCs w:val="24"/>
        </w:rPr>
      </w:pPr>
      <w:r>
        <w:rPr>
          <w:rFonts w:ascii="Times New Roman" w:hAnsi="Times New Roman"/>
          <w:b/>
          <w:noProof/>
          <w:sz w:val="24"/>
        </w:rPr>
        <w:t xml:space="preserve">Les autorités ont l’intention de maintenir un déficit nominal de 3 % du PIB en 2018. </w:t>
      </w:r>
      <w:r>
        <w:rPr>
          <w:rFonts w:ascii="Times New Roman" w:hAnsi="Times New Roman"/>
          <w:noProof/>
          <w:sz w:val="24"/>
        </w:rPr>
        <w:t>Le ministr</w:t>
      </w:r>
      <w:r>
        <w:rPr>
          <w:rFonts w:ascii="Times New Roman" w:hAnsi="Times New Roman"/>
          <w:noProof/>
          <w:sz w:val="24"/>
        </w:rPr>
        <w:t>e des finances a annoncé deux objectifs pour cette année-là: un objectif principal consistant à maintenir un déficit nominal de 3 % du PIB et un objectif secondaire de réduction du déficit structurel de 0,5 %du PIB. Les membres de la mission ont observé qu</w:t>
      </w:r>
      <w:r>
        <w:rPr>
          <w:rFonts w:ascii="Times New Roman" w:hAnsi="Times New Roman"/>
          <w:noProof/>
          <w:sz w:val="24"/>
        </w:rPr>
        <w:t>e, compte tenu de l’écart de production positif et croissant, le maintien du déficit nominal à 3 % du PIB en 2018 signifierait une détérioration de la position budgétaire structurelle.</w:t>
      </w:r>
    </w:p>
    <w:p w:rsidR="008D4722" w:rsidRDefault="009568DB">
      <w:pPr>
        <w:spacing w:after="120"/>
        <w:jc w:val="both"/>
        <w:rPr>
          <w:rFonts w:ascii="Times New Roman" w:hAnsi="Times New Roman" w:cs="Times New Roman"/>
          <w:noProof/>
          <w:sz w:val="24"/>
          <w:szCs w:val="24"/>
          <w:highlight w:val="yellow"/>
        </w:rPr>
      </w:pPr>
      <w:r>
        <w:rPr>
          <w:rFonts w:ascii="Times New Roman" w:hAnsi="Times New Roman"/>
          <w:b/>
          <w:noProof/>
          <w:sz w:val="24"/>
        </w:rPr>
        <w:t>Selon les projections de la Commission, et le scénario habituel de poli</w:t>
      </w:r>
      <w:r>
        <w:rPr>
          <w:rFonts w:ascii="Times New Roman" w:hAnsi="Times New Roman"/>
          <w:b/>
          <w:noProof/>
          <w:sz w:val="24"/>
        </w:rPr>
        <w:t xml:space="preserve">tiques inchangées, le déficit nominal devrait augmenter en 2018 et dépasser largement les 3 % du PIB, sous l’effet de nouvelles augmentations significatives des salaires du secteur public. </w:t>
      </w:r>
      <w:r>
        <w:rPr>
          <w:rFonts w:ascii="Times New Roman" w:hAnsi="Times New Roman"/>
          <w:noProof/>
          <w:sz w:val="24"/>
        </w:rPr>
        <w:t>En juin 2017, le parlement roumain a approuvé la loi unifiée sur le</w:t>
      </w:r>
      <w:r>
        <w:rPr>
          <w:rFonts w:ascii="Times New Roman" w:hAnsi="Times New Roman"/>
          <w:noProof/>
          <w:sz w:val="24"/>
        </w:rPr>
        <w:t xml:space="preserve">s salaires. Cette loi vise à harmoniser les grilles de salaires du secteur public, qui sont actuellement fragmentées, et fixe le salaire pour chaque poste de la fonction publique. Elle définit la voie à suivre pour atteindre cet objectif et prévoit que le </w:t>
      </w:r>
      <w:r>
        <w:rPr>
          <w:rFonts w:ascii="Times New Roman" w:hAnsi="Times New Roman"/>
          <w:noProof/>
          <w:sz w:val="24"/>
        </w:rPr>
        <w:t>nouveau système de rémunération sera pleinement mis en œuvre en 2022. Tous les fonctionnaires nationaux verront leur salaire augmenter de 25 % en janvier 2018 et bénéficieront d’augmentations annuelles représentant 25 % de la différence entre le salaire de</w:t>
      </w:r>
      <w:r>
        <w:rPr>
          <w:rFonts w:ascii="Times New Roman" w:hAnsi="Times New Roman"/>
          <w:noProof/>
          <w:sz w:val="24"/>
        </w:rPr>
        <w:t xml:space="preserve"> janvier 2018 et l’objectif salarial de 2022. Les secteurs de la santé et de l’éducation bénéficieront de hausses supplémentaires en 2018, en plus de l’augmentation générale de 25 % de janvier 2018. En conséquence, sur la base du scénario de politiques </w:t>
      </w:r>
      <w:r>
        <w:rPr>
          <w:rFonts w:ascii="Times New Roman" w:hAnsi="Times New Roman"/>
          <w:noProof/>
          <w:sz w:val="24"/>
        </w:rPr>
        <w:lastRenderedPageBreak/>
        <w:t>inc</w:t>
      </w:r>
      <w:r>
        <w:rPr>
          <w:rFonts w:ascii="Times New Roman" w:hAnsi="Times New Roman"/>
          <w:noProof/>
          <w:sz w:val="24"/>
        </w:rPr>
        <w:t xml:space="preserve">hangées, le déficit nominal devrait augmenter pour s'établir bien au-dessus de 3 % du PIB, et peut-être même dépasser légèrement 4 % du PIB (les prévisions d’automne fourniront une estimation plus précise). Si elles veulent pouvoir atteindre les objectifs </w:t>
      </w:r>
      <w:r>
        <w:rPr>
          <w:rFonts w:ascii="Times New Roman" w:hAnsi="Times New Roman"/>
          <w:noProof/>
          <w:sz w:val="24"/>
        </w:rPr>
        <w:t>annoncés pour 2018, et a fortiori respecter les dispositions du volet préventif du pacte de stabilité et de croissance, les autorités devront donc prendre des mesures supplémentaires.</w:t>
      </w:r>
    </w:p>
    <w:p w:rsidR="008D4722" w:rsidRDefault="009568DB">
      <w:pPr>
        <w:spacing w:after="120"/>
        <w:jc w:val="both"/>
        <w:rPr>
          <w:rFonts w:ascii="Times New Roman" w:hAnsi="Times New Roman" w:cs="Times New Roman"/>
          <w:noProof/>
          <w:sz w:val="24"/>
          <w:szCs w:val="24"/>
        </w:rPr>
      </w:pPr>
      <w:r>
        <w:rPr>
          <w:rFonts w:ascii="Times New Roman" w:hAnsi="Times New Roman"/>
          <w:b/>
          <w:noProof/>
          <w:sz w:val="24"/>
        </w:rPr>
        <w:t>Les autorités prévoient de transférer les cotisations sociales entièreme</w:t>
      </w:r>
      <w:r>
        <w:rPr>
          <w:rFonts w:ascii="Times New Roman" w:hAnsi="Times New Roman"/>
          <w:b/>
          <w:noProof/>
          <w:sz w:val="24"/>
        </w:rPr>
        <w:t>nt vers les salariés afin d’atténuer l'incidence budgétaire de la loi unifiée sur les salaires.</w:t>
      </w:r>
      <w:r>
        <w:rPr>
          <w:rFonts w:ascii="Times New Roman" w:hAnsi="Times New Roman"/>
          <w:noProof/>
          <w:sz w:val="24"/>
        </w:rPr>
        <w:t xml:space="preserve"> Leur intention est de relever le taux des cotisations sociales payées par les salariés sur leur rémunération brute. Le gouvernement prévoit d’assortir ce transf</w:t>
      </w:r>
      <w:r>
        <w:rPr>
          <w:rFonts w:ascii="Times New Roman" w:hAnsi="Times New Roman"/>
          <w:noProof/>
          <w:sz w:val="24"/>
        </w:rPr>
        <w:t>ert d’une réduction à 36 % du taux global des cotisations sociales (les taux actuels étant de 22,75 % pour les employeurs et de 16,5 % pour les salariés) et de réduire le taux de l’impôt sur le revenu de 16 % à 12 % ou 10 %. Par ailleurs, le gouvernement c</w:t>
      </w:r>
      <w:r>
        <w:rPr>
          <w:rFonts w:ascii="Times New Roman" w:hAnsi="Times New Roman"/>
          <w:noProof/>
          <w:sz w:val="24"/>
        </w:rPr>
        <w:t>herche une solution juridique qui permette aux employeurs du secteur privé d’augmenter les salaires bruts de leurs salariés de façon que leurs salaires nets ne souffrent pas du transfert des cotisations sociales.</w:t>
      </w:r>
    </w:p>
    <w:p w:rsidR="008D4722" w:rsidRDefault="009568DB">
      <w:pPr>
        <w:spacing w:after="120"/>
        <w:jc w:val="both"/>
        <w:rPr>
          <w:rFonts w:ascii="Times New Roman" w:hAnsi="Times New Roman" w:cs="Times New Roman"/>
          <w:noProof/>
          <w:sz w:val="24"/>
          <w:szCs w:val="24"/>
        </w:rPr>
      </w:pPr>
      <w:r>
        <w:rPr>
          <w:rFonts w:ascii="Times New Roman" w:hAnsi="Times New Roman"/>
          <w:b/>
          <w:noProof/>
          <w:sz w:val="24"/>
        </w:rPr>
        <w:t>Le gouvernement envisage aussi de revenir s</w:t>
      </w:r>
      <w:r>
        <w:rPr>
          <w:rFonts w:ascii="Times New Roman" w:hAnsi="Times New Roman"/>
          <w:b/>
          <w:noProof/>
          <w:sz w:val="24"/>
        </w:rPr>
        <w:t>ur la réforme des retraites de 2008, qui a mis en place le deuxième pilier du système de retraites.</w:t>
      </w:r>
      <w:r>
        <w:rPr>
          <w:rFonts w:ascii="Times New Roman" w:hAnsi="Times New Roman"/>
          <w:noProof/>
          <w:sz w:val="24"/>
        </w:rPr>
        <w:t xml:space="preserve"> Les autorités envisagent une réduction des transferts des cotisations sociales vers le deuxième pilier des retraites, qui, en vertu des règles du système eu</w:t>
      </w:r>
      <w:r>
        <w:rPr>
          <w:rFonts w:ascii="Times New Roman" w:hAnsi="Times New Roman"/>
          <w:noProof/>
          <w:sz w:val="24"/>
        </w:rPr>
        <w:t>ropéen des comptes (SEC), est classé en dehors du secteur des administrations publiques. Ces transferts s’élèvent à environ 0,8 % du PIB par an. Une telle mesure permettrait de réduire le déficit budgétaire sur le court terme. Toutefois, ce gain budgétaire</w:t>
      </w:r>
      <w:r>
        <w:rPr>
          <w:rFonts w:ascii="Times New Roman" w:hAnsi="Times New Roman"/>
          <w:noProof/>
          <w:sz w:val="24"/>
        </w:rPr>
        <w:t xml:space="preserve"> s’estomperait sur le long terme car la réaffectation des cotisations sociales du deuxième pilier s’accompagnerait de l’obligation de verser des pensions de retraite dans le futur. En outre, ce revirement pourrait avoir des conséquences négatives pour la v</w:t>
      </w:r>
      <w:r>
        <w:rPr>
          <w:rFonts w:ascii="Times New Roman" w:hAnsi="Times New Roman"/>
          <w:noProof/>
          <w:sz w:val="24"/>
        </w:rPr>
        <w:t>iabilité du système de retraites, ainsi que pour le développement des marchés de capitaux. Les membres de la mission ont mis en garde contre une adoption hâtive de ces modifications profondes du système de retraites, qui ont été décidées sans véritable ana</w:t>
      </w:r>
      <w:r>
        <w:rPr>
          <w:rFonts w:ascii="Times New Roman" w:hAnsi="Times New Roman"/>
          <w:noProof/>
          <w:sz w:val="24"/>
        </w:rPr>
        <w:t>lyse et sont motivées uniquement par une réduction à court terme du déficit. La nationalisation des actifs accumulés dans le cadre du deuxième pilier, qui, en vertu des règles du SEC, n’aurait pas d’incidence sur le déficit public, ne semble pas être envis</w:t>
      </w:r>
      <w:r>
        <w:rPr>
          <w:rFonts w:ascii="Times New Roman" w:hAnsi="Times New Roman"/>
          <w:noProof/>
          <w:sz w:val="24"/>
        </w:rPr>
        <w:t>agée à ce stade.</w:t>
      </w:r>
    </w:p>
    <w:p w:rsidR="008D4722" w:rsidRDefault="009568DB">
      <w:pPr>
        <w:spacing w:after="120"/>
        <w:jc w:val="both"/>
        <w:rPr>
          <w:rFonts w:ascii="Times New Roman" w:hAnsi="Times New Roman" w:cs="Times New Roman"/>
          <w:noProof/>
          <w:sz w:val="24"/>
          <w:szCs w:val="24"/>
        </w:rPr>
      </w:pPr>
      <w:r>
        <w:rPr>
          <w:rFonts w:ascii="Times New Roman" w:hAnsi="Times New Roman"/>
          <w:b/>
          <w:noProof/>
          <w:sz w:val="24"/>
        </w:rPr>
        <w:t xml:space="preserve">La mission a également examiné le mécanisme de paiement scindé de la TVA adopté récemment. </w:t>
      </w:r>
      <w:r>
        <w:rPr>
          <w:rFonts w:ascii="Times New Roman" w:hAnsi="Times New Roman"/>
          <w:noProof/>
          <w:sz w:val="24"/>
        </w:rPr>
        <w:t>À la fin du mois d’août 2017, le gouvernement a adopté une ordonnance d’urgence modifiant le code fiscal. L’ordonnance, qui vise à améliorer le resp</w:t>
      </w:r>
      <w:r>
        <w:rPr>
          <w:rFonts w:ascii="Times New Roman" w:hAnsi="Times New Roman"/>
          <w:noProof/>
          <w:sz w:val="24"/>
        </w:rPr>
        <w:t>ect des obligations fiscales, impose à tous les assujettis à la TVA de tenir une comptabilité distincte aux fins de la TVA à partir de janvier 2018. Les membres de la mission ont souligné que l’adoption de ce mécanisme obligatoire pourrait nécessiter une d</w:t>
      </w:r>
      <w:r>
        <w:rPr>
          <w:rFonts w:ascii="Times New Roman" w:hAnsi="Times New Roman"/>
          <w:noProof/>
          <w:sz w:val="24"/>
        </w:rPr>
        <w:t>érogation préalable à la directive TVA</w:t>
      </w:r>
      <w:r>
        <w:rPr>
          <w:rStyle w:val="FootnoteReference"/>
          <w:rFonts w:ascii="Times New Roman" w:hAnsi="Times New Roman"/>
          <w:noProof/>
          <w:sz w:val="24"/>
        </w:rPr>
        <w:footnoteReference w:id="2"/>
      </w:r>
      <w:r>
        <w:rPr>
          <w:rFonts w:ascii="Times New Roman" w:hAnsi="Times New Roman"/>
          <w:noProof/>
          <w:sz w:val="24"/>
        </w:rPr>
        <w:t xml:space="preserve">. Le ministère des finances a contesté la nécessité d’une dérogation et a soutenu que la Commission ne disposait pas d’informations exactes sur cette mesure. </w:t>
      </w:r>
    </w:p>
    <w:p w:rsidR="008D4722" w:rsidRDefault="009568DB">
      <w:pPr>
        <w:spacing w:after="120"/>
        <w:jc w:val="both"/>
        <w:rPr>
          <w:rFonts w:ascii="Times New Roman" w:hAnsi="Times New Roman" w:cs="Times New Roman"/>
          <w:noProof/>
          <w:sz w:val="24"/>
          <w:szCs w:val="24"/>
        </w:rPr>
      </w:pPr>
      <w:r>
        <w:rPr>
          <w:rFonts w:ascii="Times New Roman" w:hAnsi="Times New Roman"/>
          <w:b/>
          <w:noProof/>
          <w:sz w:val="24"/>
        </w:rPr>
        <w:t>La Banque nationale de Roumanie a confirmé la politique bu</w:t>
      </w:r>
      <w:r>
        <w:rPr>
          <w:rFonts w:ascii="Times New Roman" w:hAnsi="Times New Roman"/>
          <w:b/>
          <w:noProof/>
          <w:sz w:val="24"/>
        </w:rPr>
        <w:t xml:space="preserve">dgétaire procyclique, ce qui renforce les préoccupations exprimées par la Commission concernant l’actuel dosage macroéconomique. </w:t>
      </w:r>
      <w:r>
        <w:rPr>
          <w:rFonts w:ascii="Times New Roman" w:hAnsi="Times New Roman"/>
          <w:noProof/>
          <w:sz w:val="24"/>
        </w:rPr>
        <w:t>La Roumanie connaît une importante reprise économique. Le moment est donc opportun pour reconstituer les réserves budgétaires a</w:t>
      </w:r>
      <w:r>
        <w:rPr>
          <w:rFonts w:ascii="Times New Roman" w:hAnsi="Times New Roman"/>
          <w:noProof/>
          <w:sz w:val="24"/>
        </w:rPr>
        <w:t xml:space="preserve">fin de pouvoir faire face à une récession. Toutefois, la position budgétaire de la Roumanie est fortement expansionniste. De ce point de vue, la politique budgétaire du pays semble peu prudente et conditionne fortement la politique monétaire. </w:t>
      </w:r>
    </w:p>
    <w:p w:rsidR="008D4722" w:rsidRDefault="009568DB">
      <w:pPr>
        <w:spacing w:after="120"/>
        <w:jc w:val="both"/>
        <w:rPr>
          <w:rFonts w:ascii="Times New Roman" w:hAnsi="Times New Roman" w:cs="Times New Roman"/>
          <w:noProof/>
          <w:sz w:val="24"/>
          <w:szCs w:val="24"/>
        </w:rPr>
      </w:pPr>
      <w:r>
        <w:rPr>
          <w:rFonts w:ascii="Times New Roman" w:hAnsi="Times New Roman"/>
          <w:b/>
          <w:noProof/>
          <w:sz w:val="24"/>
        </w:rPr>
        <w:t xml:space="preserve">Les membres </w:t>
      </w:r>
      <w:r>
        <w:rPr>
          <w:rFonts w:ascii="Times New Roman" w:hAnsi="Times New Roman"/>
          <w:b/>
          <w:noProof/>
          <w:sz w:val="24"/>
        </w:rPr>
        <w:t xml:space="preserve">de la mission ont procédé à un échange de vues avec des membres des commissions du budget et de la politique budgétaire du parlement roumain. </w:t>
      </w:r>
      <w:r>
        <w:rPr>
          <w:rFonts w:ascii="Times New Roman" w:hAnsi="Times New Roman"/>
          <w:noProof/>
          <w:sz w:val="24"/>
        </w:rPr>
        <w:t>Les membres de la coalition au pouvoir et de l’opposition ont exprimé leurs préoccupations communes sur la composi</w:t>
      </w:r>
      <w:r>
        <w:rPr>
          <w:rFonts w:ascii="Times New Roman" w:hAnsi="Times New Roman"/>
          <w:noProof/>
          <w:sz w:val="24"/>
        </w:rPr>
        <w:t>tion du budget, notamment en ce qui concerne les réductions de l’investissement public et leur impact sur la croissance à long terme. Le président des commissions conjointes semble considérer qu’il est nécessaire de réorienter la politique budgétaire et d’</w:t>
      </w:r>
      <w:r>
        <w:rPr>
          <w:rFonts w:ascii="Times New Roman" w:hAnsi="Times New Roman"/>
          <w:noProof/>
          <w:sz w:val="24"/>
        </w:rPr>
        <w:t>entamer un ajustement structurel en 2018.</w:t>
      </w:r>
    </w:p>
    <w:p w:rsidR="008D4722" w:rsidRDefault="009568DB">
      <w:pPr>
        <w:rPr>
          <w:rFonts w:ascii="Times New Roman" w:hAnsi="Times New Roman"/>
          <w:noProof/>
          <w:sz w:val="24"/>
        </w:rPr>
      </w:pPr>
      <w:r>
        <w:rPr>
          <w:rFonts w:ascii="Times New Roman" w:hAnsi="Times New Roman"/>
          <w:b/>
          <w:noProof/>
          <w:sz w:val="24"/>
        </w:rPr>
        <w:t xml:space="preserve">Le conseil budgétaire partage les préoccupations de la Commission en ce qui concerne les perspectives budgétaires. </w:t>
      </w:r>
      <w:r>
        <w:rPr>
          <w:rFonts w:ascii="Times New Roman" w:hAnsi="Times New Roman"/>
          <w:noProof/>
          <w:sz w:val="24"/>
        </w:rPr>
        <w:t>Selon lui, le déficit structurel connaîtra une forte dégradation en 2018 et le déficit nominal dépa</w:t>
      </w:r>
      <w:r>
        <w:rPr>
          <w:rFonts w:ascii="Times New Roman" w:hAnsi="Times New Roman"/>
          <w:noProof/>
          <w:sz w:val="24"/>
        </w:rPr>
        <w:t>ssera le seuil de 3 % du PIB en l’absence de mesures fiscales compensatoires.</w:t>
      </w:r>
    </w:p>
    <w:p w:rsidR="008D4722" w:rsidRDefault="009568DB">
      <w:pPr>
        <w:rPr>
          <w:noProof/>
        </w:rPr>
      </w:pPr>
      <w:r>
        <w:rPr>
          <w:noProof/>
        </w:rPr>
        <w:br w:type="page"/>
      </w:r>
    </w:p>
    <w:p w:rsidR="008D4722" w:rsidRDefault="008D4722">
      <w:pPr>
        <w:rPr>
          <w:noProof/>
        </w:rPr>
      </w:pPr>
    </w:p>
    <w:p w:rsidR="008D4722" w:rsidRDefault="009568DB">
      <w:pPr>
        <w:spacing w:after="0"/>
        <w:jc w:val="center"/>
        <w:rPr>
          <w:rFonts w:ascii="Times New Roman" w:hAnsi="Times New Roman" w:cs="Times New Roman"/>
          <w:b/>
          <w:noProof/>
          <w:sz w:val="24"/>
          <w:szCs w:val="24"/>
        </w:rPr>
      </w:pPr>
      <w:r>
        <w:rPr>
          <w:rFonts w:ascii="Times New Roman" w:hAnsi="Times New Roman"/>
          <w:b/>
          <w:noProof/>
          <w:sz w:val="24"/>
        </w:rPr>
        <w:t>ANNEXE STATISTIQUE</w:t>
      </w:r>
    </w:p>
    <w:p w:rsidR="008D4722" w:rsidRDefault="009568DB">
      <w:pPr>
        <w:jc w:val="center"/>
        <w:rPr>
          <w:noProof/>
        </w:rPr>
      </w:pPr>
      <w:r>
        <w:rPr>
          <w:rFonts w:ascii="Times New Roman" w:hAnsi="Times New Roman"/>
          <w:noProof/>
        </w:rPr>
        <w:t>(données prévisionnelles fondées sur les prévisions du printemps 2017 de la Commission)</w:t>
      </w:r>
      <w:r>
        <w:rPr>
          <w:rStyle w:val="FootnoteReference"/>
          <w:rFonts w:ascii="Times New Roman" w:hAnsi="Times New Roman"/>
          <w:noProof/>
          <w:sz w:val="24"/>
        </w:rPr>
        <w:footnoteReference w:id="3"/>
      </w:r>
    </w:p>
    <w:p w:rsidR="008D4722" w:rsidRDefault="008D4722">
      <w:pPr>
        <w:spacing w:after="120"/>
        <w:jc w:val="both"/>
        <w:rPr>
          <w:rFonts w:ascii="Times New Roman" w:hAnsi="Times New Roman" w:cs="Times New Roman"/>
          <w:b/>
          <w:noProof/>
          <w:sz w:val="24"/>
          <w:szCs w:val="24"/>
        </w:rPr>
      </w:pPr>
    </w:p>
    <w:p w:rsidR="008D4722" w:rsidRDefault="009568DB">
      <w:pPr>
        <w:spacing w:after="120"/>
        <w:jc w:val="both"/>
        <w:rPr>
          <w:rFonts w:ascii="Times New Roman" w:hAnsi="Times New Roman" w:cs="Times New Roman"/>
          <w:b/>
          <w:noProof/>
          <w:sz w:val="24"/>
          <w:szCs w:val="24"/>
        </w:rPr>
      </w:pPr>
      <w:r>
        <w:rPr>
          <w:rFonts w:ascii="Times New Roman" w:hAnsi="Times New Roman"/>
          <w:b/>
          <w:noProof/>
          <w:sz w:val="24"/>
        </w:rPr>
        <w:t>Tableau 1: Aperçu des principaux indicateurs économiques 2009-2018</w:t>
      </w:r>
    </w:p>
    <w:p w:rsidR="008D4722" w:rsidRDefault="009568DB">
      <w:pPr>
        <w:spacing w:after="120"/>
        <w:jc w:val="both"/>
        <w:rPr>
          <w:rFonts w:ascii="Times New Roman" w:hAnsi="Times New Roman" w:cs="Times New Roman"/>
          <w:noProof/>
          <w:sz w:val="24"/>
          <w:szCs w:val="24"/>
        </w:rPr>
      </w:pPr>
      <w:r>
        <w:rPr>
          <w:noProof/>
          <w:lang w:val="en-GB" w:eastAsia="en-GB" w:bidi="ar-SA"/>
        </w:rPr>
        <w:drawing>
          <wp:inline distT="0" distB="0" distL="0" distR="0" wp14:anchorId="301C4CD5" wp14:editId="48BC4498">
            <wp:extent cx="6543075" cy="46405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43075" cy="4640580"/>
                    </a:xfrm>
                    <a:prstGeom prst="rect">
                      <a:avLst/>
                    </a:prstGeom>
                    <a:noFill/>
                    <a:ln>
                      <a:noFill/>
                    </a:ln>
                  </pic:spPr>
                </pic:pic>
              </a:graphicData>
            </a:graphic>
          </wp:inline>
        </w:drawing>
      </w:r>
    </w:p>
    <w:p w:rsidR="008D4722" w:rsidRDefault="009568DB">
      <w:pPr>
        <w:rPr>
          <w:noProof/>
        </w:rPr>
      </w:pPr>
      <w:r>
        <w:rPr>
          <w:noProof/>
        </w:rPr>
        <w:br w:type="page"/>
      </w:r>
    </w:p>
    <w:p w:rsidR="008D4722" w:rsidRDefault="009568DB">
      <w:pPr>
        <w:spacing w:after="120"/>
        <w:jc w:val="both"/>
        <w:rPr>
          <w:rFonts w:ascii="Times New Roman" w:hAnsi="Times New Roman" w:cs="Times New Roman"/>
          <w:b/>
          <w:noProof/>
          <w:sz w:val="24"/>
          <w:szCs w:val="24"/>
        </w:rPr>
      </w:pPr>
      <w:r>
        <w:rPr>
          <w:rFonts w:ascii="Times New Roman" w:hAnsi="Times New Roman"/>
          <w:b/>
          <w:noProof/>
          <w:sz w:val="24"/>
        </w:rPr>
        <w:t>Tableau 2: Comptes des administrations publiques 2015-2018</w:t>
      </w:r>
    </w:p>
    <w:p w:rsidR="008D4722" w:rsidRDefault="009568DB">
      <w:pPr>
        <w:spacing w:after="120"/>
        <w:jc w:val="both"/>
        <w:rPr>
          <w:rFonts w:ascii="Times New Roman" w:hAnsi="Times New Roman" w:cs="Times New Roman"/>
          <w:noProof/>
          <w:sz w:val="24"/>
          <w:szCs w:val="24"/>
        </w:rPr>
      </w:pPr>
      <w:r>
        <w:rPr>
          <w:noProof/>
          <w:lang w:val="en-GB" w:eastAsia="en-GB" w:bidi="ar-SA"/>
        </w:rPr>
        <w:drawing>
          <wp:inline distT="0" distB="0" distL="0" distR="0" wp14:anchorId="79A0646A" wp14:editId="1939379D">
            <wp:extent cx="5760720" cy="4164161"/>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4164161"/>
                    </a:xfrm>
                    <a:prstGeom prst="rect">
                      <a:avLst/>
                    </a:prstGeom>
                    <a:noFill/>
                    <a:ln>
                      <a:noFill/>
                    </a:ln>
                  </pic:spPr>
                </pic:pic>
              </a:graphicData>
            </a:graphic>
          </wp:inline>
        </w:drawing>
      </w:r>
    </w:p>
    <w:p w:rsidR="008D4722" w:rsidRDefault="008D4722">
      <w:pPr>
        <w:rPr>
          <w:noProof/>
        </w:rPr>
      </w:pPr>
    </w:p>
    <w:p w:rsidR="008D4722" w:rsidRDefault="009568DB">
      <w:pPr>
        <w:spacing w:after="120"/>
        <w:jc w:val="both"/>
        <w:rPr>
          <w:rFonts w:ascii="Times New Roman" w:hAnsi="Times New Roman" w:cs="Times New Roman"/>
          <w:b/>
          <w:noProof/>
          <w:sz w:val="24"/>
          <w:szCs w:val="24"/>
        </w:rPr>
      </w:pPr>
      <w:r>
        <w:rPr>
          <w:rFonts w:ascii="Times New Roman" w:hAnsi="Times New Roman"/>
          <w:b/>
          <w:noProof/>
          <w:sz w:val="24"/>
        </w:rPr>
        <w:t>Tableau 3: Ajustement conjoncturel du solde des administrations publiques</w:t>
      </w:r>
    </w:p>
    <w:p w:rsidR="008D4722" w:rsidRDefault="009568DB">
      <w:pPr>
        <w:rPr>
          <w:noProof/>
        </w:rPr>
      </w:pPr>
      <w:r>
        <w:rPr>
          <w:noProof/>
          <w:lang w:val="en-GB" w:eastAsia="en-GB" w:bidi="ar-SA"/>
        </w:rPr>
        <w:drawing>
          <wp:inline distT="0" distB="0" distL="0" distR="0" wp14:anchorId="43173450" wp14:editId="6C3EB654">
            <wp:extent cx="5760720" cy="1540845"/>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1540845"/>
                    </a:xfrm>
                    <a:prstGeom prst="rect">
                      <a:avLst/>
                    </a:prstGeom>
                    <a:noFill/>
                    <a:ln>
                      <a:noFill/>
                    </a:ln>
                  </pic:spPr>
                </pic:pic>
              </a:graphicData>
            </a:graphic>
          </wp:inline>
        </w:drawing>
      </w:r>
    </w:p>
    <w:p w:rsidR="008D4722" w:rsidRDefault="008D4722">
      <w:pPr>
        <w:rPr>
          <w:noProof/>
        </w:rPr>
      </w:pPr>
    </w:p>
    <w:p w:rsidR="008D4722" w:rsidRDefault="008D4722">
      <w:pPr>
        <w:rPr>
          <w:noProof/>
        </w:rPr>
      </w:pPr>
    </w:p>
    <w:sectPr w:rsidR="008D4722">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722" w:rsidRDefault="009568DB">
      <w:pPr>
        <w:spacing w:after="0" w:line="240" w:lineRule="auto"/>
      </w:pPr>
      <w:r>
        <w:separator/>
      </w:r>
    </w:p>
  </w:endnote>
  <w:endnote w:type="continuationSeparator" w:id="0">
    <w:p w:rsidR="008D4722" w:rsidRDefault="00956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DB" w:rsidRPr="009568DB" w:rsidRDefault="009568DB" w:rsidP="009568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DB" w:rsidRPr="009568DB" w:rsidRDefault="009568DB" w:rsidP="009568DB">
    <w:pPr>
      <w:pStyle w:val="FooterCoverPage"/>
      <w:rPr>
        <w:rFonts w:ascii="Arial" w:hAnsi="Arial" w:cs="Arial"/>
        <w:b/>
        <w:sz w:val="48"/>
      </w:rPr>
    </w:pPr>
    <w:r w:rsidRPr="009568DB">
      <w:rPr>
        <w:rFonts w:ascii="Arial" w:hAnsi="Arial" w:cs="Arial"/>
        <w:b/>
        <w:sz w:val="48"/>
      </w:rPr>
      <w:t>FR</w:t>
    </w:r>
    <w:r w:rsidRPr="009568DB">
      <w:rPr>
        <w:rFonts w:ascii="Arial" w:hAnsi="Arial" w:cs="Arial"/>
        <w:b/>
        <w:sz w:val="48"/>
      </w:rPr>
      <w:tab/>
    </w:r>
    <w:r w:rsidRPr="009568DB">
      <w:rPr>
        <w:rFonts w:ascii="Arial" w:hAnsi="Arial" w:cs="Arial"/>
        <w:b/>
        <w:sz w:val="48"/>
      </w:rPr>
      <w:tab/>
    </w:r>
    <w:fldSimple w:instr=" DOCVARIABLE &quot;LW_Confidence&quot; \* MERGEFORMAT ">
      <w:r>
        <w:t xml:space="preserve"> </w:t>
      </w:r>
    </w:fldSimple>
    <w:r w:rsidRPr="009568DB">
      <w:tab/>
    </w:r>
    <w:r w:rsidRPr="009568DB">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DB" w:rsidRPr="009568DB" w:rsidRDefault="009568DB" w:rsidP="009568DB">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722" w:rsidRDefault="008D472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02851"/>
      <w:docPartObj>
        <w:docPartGallery w:val="Page Numbers (Bottom of Page)"/>
        <w:docPartUnique/>
      </w:docPartObj>
    </w:sdtPr>
    <w:sdtEndPr>
      <w:rPr>
        <w:noProof/>
      </w:rPr>
    </w:sdtEndPr>
    <w:sdtContent>
      <w:p w:rsidR="008D4722" w:rsidRDefault="009568DB">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8D4722" w:rsidRDefault="008D472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722" w:rsidRDefault="008D47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722" w:rsidRDefault="009568DB">
      <w:pPr>
        <w:spacing w:after="0" w:line="240" w:lineRule="auto"/>
      </w:pPr>
      <w:r>
        <w:separator/>
      </w:r>
    </w:p>
  </w:footnote>
  <w:footnote w:type="continuationSeparator" w:id="0">
    <w:p w:rsidR="008D4722" w:rsidRDefault="009568DB">
      <w:pPr>
        <w:spacing w:after="0" w:line="240" w:lineRule="auto"/>
      </w:pPr>
      <w:r>
        <w:continuationSeparator/>
      </w:r>
    </w:p>
  </w:footnote>
  <w:footnote w:id="1">
    <w:p w:rsidR="008D4722" w:rsidRDefault="009568DB">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(CE) n° 1466/97 du Conseil du 7 juillet 1997 relatif au renforcement de la surveillance des positions budgétaires ainsi que de la surveillance et de la coordination des politiques économiques, JO L 209 du 2.8.1997, p. 1.</w:t>
      </w:r>
    </w:p>
  </w:footnote>
  <w:footnote w:id="2">
    <w:p w:rsidR="008D4722" w:rsidRDefault="009568DB">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Directive 2006/112/CE </w:t>
      </w:r>
      <w:r>
        <w:rPr>
          <w:rFonts w:ascii="Times New Roman" w:hAnsi="Times New Roman"/>
        </w:rPr>
        <w:t>du Conseil du 28 novembre 2006 relative au système commun de taxe sur la valeur ajoutée, JO L 347 du 11.12.2006, p. 1.</w:t>
      </w:r>
    </w:p>
  </w:footnote>
  <w:footnote w:id="3">
    <w:p w:rsidR="008D4722" w:rsidRDefault="009568DB">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Les prévisions de la Commission seront mises à jour en novembre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DB" w:rsidRPr="009568DB" w:rsidRDefault="009568DB" w:rsidP="009568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DB" w:rsidRPr="009568DB" w:rsidRDefault="009568DB" w:rsidP="009568DB">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DB" w:rsidRPr="009568DB" w:rsidRDefault="009568DB" w:rsidP="009568DB">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722" w:rsidRDefault="008D472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722" w:rsidRDefault="008D472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722" w:rsidRDefault="008D47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39A5B696547F4068A9FC20EC46E9DD71"/>
    <w:docVar w:name="LW_CROSSREFERENCE" w:val="&lt;UNUSED&gt;"/>
    <w:docVar w:name="LW_DocType" w:val="NORMAL"/>
    <w:docVar w:name="LW_EMISSION" w:val="24.10.2017"/>
    <w:docVar w:name="LW_EMISSION_ISODATE" w:val="2017-10-24"/>
    <w:docVar w:name="LW_EMISSION_LOCATION" w:val="BRX"/>
    <w:docVar w:name="LW_EMISSION_PREFIX" w:val="Bruxelles, le "/>
    <w:docVar w:name="LW_EMISSION_SUFFIX" w:val=" "/>
    <w:docVar w:name="LW_ID_DOCTYPE_NONLW" w:val="CP-00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629"/>
    <w:docVar w:name="LW_REF.INTERNE" w:val="&lt;UNUSED&gt;"/>
    <w:docVar w:name="LW_SOUS.TITRE.OBJ.CP" w:val="&lt;UNUSED&gt;"/>
    <w:docVar w:name="LW_SUPERTITRE" w:val="&lt;UNUSED&gt;"/>
    <w:docVar w:name="LW_TITRE.OBJ.CP" w:val="Rapport de la Commission au Conseil relatif à la mission de surveillance renforcée en Roumanie, conformément à l\u8217?article11, paragraphe 2, du règlement (CE) n° 1466/97"/>
    <w:docVar w:name="LW_TYPE.DOC.CP" w:val="RAPPORT DE LA COMMISSION AU CONSEIL"/>
  </w:docVars>
  <w:rsids>
    <w:rsidRoot w:val="008D4722"/>
    <w:rsid w:val="008D4722"/>
    <w:rsid w:val="00956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FootnoteReference">
    <w:name w:val="footnote reference"/>
    <w:aliases w:val="Footnote symbol,Footnote reference number,Times 10 Point,Exposant 3 Point,EN Footnote Reference,note TESI,Footnote Reference_LVL6,Footnote Reference_LVL61,Footnote Reference_LVL62,Footnote Reference_LVL63,Footnote Reference_LVL64,E.."/>
    <w:link w:val="FootnotesymbolCarZchn"/>
    <w:uiPriority w:val="99"/>
    <w:unhideWhenUsed/>
    <w:qFormat/>
    <w:rPr>
      <w:vertAlign w:val="superscript"/>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ootnote Text Char1,Footnote Text Char2,f"/>
    <w:basedOn w:val="Normal"/>
    <w:link w:val="FootnoteTextChar"/>
    <w:unhideWhenUsed/>
    <w:qFormat/>
    <w:pPr>
      <w:spacing w:after="0" w:line="240" w:lineRule="auto"/>
    </w:pPr>
    <w:rPr>
      <w:rFonts w:eastAsiaTheme="minorEastAsia"/>
      <w:sz w:val="16"/>
      <w:szCs w:val="16"/>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
    <w:rPr>
      <w:rFonts w:eastAsiaTheme="minorEastAsia"/>
      <w:sz w:val="16"/>
      <w:szCs w:val="16"/>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FootnoteReference">
    <w:name w:val="footnote reference"/>
    <w:aliases w:val="Footnote symbol,Footnote reference number,Times 10 Point,Exposant 3 Point,EN Footnote Reference,note TESI,Footnote Reference_LVL6,Footnote Reference_LVL61,Footnote Reference_LVL62,Footnote Reference_LVL63,Footnote Reference_LVL64,E.."/>
    <w:link w:val="FootnotesymbolCarZchn"/>
    <w:uiPriority w:val="99"/>
    <w:unhideWhenUsed/>
    <w:qFormat/>
    <w:rPr>
      <w:vertAlign w:val="superscript"/>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ootnote Text Char1,Footnote Text Char2,f"/>
    <w:basedOn w:val="Normal"/>
    <w:link w:val="FootnoteTextChar"/>
    <w:unhideWhenUsed/>
    <w:qFormat/>
    <w:pPr>
      <w:spacing w:after="0" w:line="240" w:lineRule="auto"/>
    </w:pPr>
    <w:rPr>
      <w:rFonts w:eastAsiaTheme="minorEastAsia"/>
      <w:sz w:val="16"/>
      <w:szCs w:val="16"/>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
    <w:rPr>
      <w:rFonts w:eastAsiaTheme="minorEastAsia"/>
      <w:sz w:val="16"/>
      <w:szCs w:val="16"/>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eader" Target="header4.xml"/><Relationship Id="rId2" Type="http://schemas.microsoft.com/office/2007/relationships/stylesWithEffects" Target="stylesWithEffects.xml"/><Relationship Id="rId16" Type="http://schemas.openxmlformats.org/officeDocument/2006/relationships/image" Target="media/image4.emf"/><Relationship Id="rId20" Type="http://schemas.openxmlformats.org/officeDocument/2006/relationships/footer" Target="footer5.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1827</Words>
  <Characters>9797</Characters>
  <Application>Microsoft Office Word</Application>
  <DocSecurity>0</DocSecurity>
  <Lines>153</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18</cp:revision>
  <cp:lastPrinted>2017-10-18T13:47:00Z</cp:lastPrinted>
  <dcterms:created xsi:type="dcterms:W3CDTF">2017-10-18T13:32:00Z</dcterms:created>
  <dcterms:modified xsi:type="dcterms:W3CDTF">2017-10-25T05:54:00Z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