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526539F9506A42BCB135E2F217BBBCF6" style="width:451pt;height:334.85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rPr>
          <w:noProof/>
        </w:rPr>
      </w:pPr>
      <w:bookmarkStart w:id="1" w:name="_GoBack"/>
      <w:bookmarkEnd w:id="1"/>
      <w:r>
        <w:rPr>
          <w:noProof/>
        </w:rPr>
        <w:lastRenderedPageBreak/>
        <w:t>Като взе предвид:</w:t>
      </w:r>
    </w:p>
    <w:p>
      <w:pPr>
        <w:pStyle w:val="Tiret0"/>
        <w:tabs>
          <w:tab w:val="clear" w:pos="850"/>
          <w:tab w:val="num" w:pos="1004"/>
        </w:tabs>
        <w:rPr>
          <w:noProof/>
        </w:rPr>
      </w:pPr>
      <w:r>
        <w:rPr>
          <w:noProof/>
        </w:rPr>
        <w:t>Договора за функционирането на Европейския съюз, и по-специално член 314 от него, във връзка с Договора за създаване на Европейската общност за атомна енергия, и по-специално член 106а от него,</w:t>
      </w:r>
    </w:p>
    <w:p>
      <w:pPr>
        <w:pStyle w:val="Tiret0"/>
        <w:tabs>
          <w:tab w:val="clear" w:pos="850"/>
          <w:tab w:val="num" w:pos="927"/>
        </w:tabs>
        <w:rPr>
          <w:rFonts w:cs="Arial"/>
          <w:noProof/>
          <w:szCs w:val="18"/>
        </w:rPr>
      </w:pPr>
      <w:r>
        <w:rPr>
          <w:noProof/>
        </w:rPr>
        <w:t>Регламент (ЕС, Евратом) № 966/2012 на Европейския парламент и на Съвета от 25 октомври 2012 г. относно финансовите правила, приложими за общия бюджет на Съюза</w:t>
      </w:r>
      <w:r>
        <w:rPr>
          <w:rStyle w:val="FootnoteReference"/>
          <w:noProof/>
        </w:rPr>
        <w:footnoteReference w:id="2"/>
      </w:r>
      <w:r>
        <w:rPr>
          <w:noProof/>
        </w:rPr>
        <w:t>, и по-специално член 39 от него,</w:t>
      </w:r>
    </w:p>
    <w:p>
      <w:pPr>
        <w:pStyle w:val="Tiret0"/>
        <w:tabs>
          <w:tab w:val="clear" w:pos="850"/>
          <w:tab w:val="num" w:pos="927"/>
        </w:tabs>
        <w:rPr>
          <w:noProof/>
        </w:rPr>
      </w:pPr>
      <w:r>
        <w:rPr>
          <w:noProof/>
        </w:rPr>
        <w:t>проекта на общ бюджет на Европейския съюз за 2018 финансова година, приет от Комисията на 18 юли 2017 г.</w:t>
      </w:r>
      <w:r>
        <w:rPr>
          <w:rStyle w:val="FootnoteReference"/>
          <w:noProof/>
        </w:rPr>
        <w:footnoteReference w:id="3"/>
      </w:r>
      <w:r>
        <w:rPr>
          <w:noProof/>
        </w:rPr>
        <w:t>,</w:t>
      </w:r>
    </w:p>
    <w:p>
      <w:pPr>
        <w:spacing w:after="600"/>
        <w:jc w:val="both"/>
        <w:rPr>
          <w:noProof/>
        </w:rPr>
      </w:pPr>
      <w:r>
        <w:rPr>
          <w:noProof/>
        </w:rPr>
        <w:t>с настоящото Европейската комисия представя на Европейския парламент и на Съвета Писмо за внасяне на корекции № 1 в проекта на общ бюджет на Европейския съюз за 2018 финансова година поради причините, изложени в обяснителния меморандум.</w:t>
      </w:r>
    </w:p>
    <w:p>
      <w:pPr>
        <w:spacing w:after="240"/>
        <w:jc w:val="both"/>
        <w:rPr>
          <w:b/>
          <w:noProof/>
          <w:u w:val="single"/>
        </w:rPr>
      </w:pPr>
      <w:r>
        <w:rPr>
          <w:b/>
          <w:noProof/>
          <w:u w:val="single"/>
        </w:rPr>
        <w:t>ПРОМЕНИ В ПРИХОДНАТА И РАЗХОДНАТА ЧАСТ НА БЮДЖЕТА ПО РАЗДЕЛИ</w:t>
      </w:r>
    </w:p>
    <w:p>
      <w:pPr>
        <w:jc w:val="both"/>
        <w:rPr>
          <w:noProof/>
        </w:rPr>
      </w:pPr>
      <w:r>
        <w:rPr>
          <w:noProof/>
        </w:rPr>
        <w:t>Промените в приходната и разходната част на бюджета по раздели са достъпни в EUR-Lex (</w:t>
      </w:r>
      <w:hyperlink r:id="rId16">
        <w:r>
          <w:rPr>
            <w:rStyle w:val="Hyperlink"/>
            <w:noProof/>
            <w:color w:val="auto"/>
          </w:rPr>
          <w:t>http://eur-lex.europa.eu/budget/www/index-bg.htm</w:t>
        </w:r>
      </w:hyperlink>
      <w:r>
        <w:rPr>
          <w:noProof/>
        </w:rPr>
        <w:t>). За информация като бюджетно приложение се прилага версия на английски език на промените в тези части.</w:t>
      </w:r>
    </w:p>
    <w:p>
      <w:pPr>
        <w:rPr>
          <w:noProof/>
        </w:rPr>
        <w:sectPr>
          <w:headerReference w:type="even" r:id="rId17"/>
          <w:headerReference w:type="default" r:id="rId18"/>
          <w:footerReference w:type="even" r:id="rId19"/>
          <w:footerReference w:type="default" r:id="rId20"/>
          <w:headerReference w:type="first" r:id="rId21"/>
          <w:footerReference w:type="first" r:id="rId22"/>
          <w:pgSz w:w="11907" w:h="16839"/>
          <w:pgMar w:top="1418" w:right="1418" w:bottom="1418" w:left="1418" w:header="709" w:footer="709" w:gutter="0"/>
          <w:cols w:space="708"/>
          <w:docGrid w:linePitch="360"/>
        </w:sectPr>
      </w:pPr>
    </w:p>
    <w:p>
      <w:pPr>
        <w:pStyle w:val="TOCHeading"/>
        <w:rPr>
          <w:noProof/>
        </w:rPr>
      </w:pPr>
      <w:bookmarkStart w:id="2" w:name="_Toc294675429"/>
      <w:bookmarkStart w:id="3" w:name="_Toc272133653"/>
      <w:bookmarkStart w:id="4" w:name="_Toc294673202"/>
      <w:bookmarkStart w:id="5" w:name="_Toc318365572"/>
      <w:bookmarkStart w:id="6" w:name="_Toc361649893"/>
      <w:bookmarkStart w:id="7" w:name="_Toc387301589"/>
      <w:r>
        <w:rPr>
          <w:noProof/>
        </w:rPr>
        <w:t>СЪДЪРЖАНИЕ</w:t>
      </w:r>
    </w:p>
    <w:p>
      <w:pPr>
        <w:pStyle w:val="TOCHeading"/>
        <w:rPr>
          <w:noProof/>
        </w:rPr>
      </w:pPr>
    </w:p>
    <w:p>
      <w:pPr>
        <w:pStyle w:val="TOC1"/>
        <w:tabs>
          <w:tab w:val="left" w:pos="709"/>
          <w:tab w:val="right" w:leader="dot" w:pos="9061"/>
        </w:tabs>
        <w:rPr>
          <w:rFonts w:asciiTheme="minorHAnsi" w:eastAsiaTheme="minorEastAsia" w:hAnsiTheme="minorHAnsi" w:cstheme="minorBidi"/>
          <w:b w:val="0"/>
          <w:bCs w:val="0"/>
          <w:caps w:val="0"/>
          <w:noProof/>
          <w:sz w:val="22"/>
          <w:szCs w:val="22"/>
          <w:lang w:val="en-GB" w:eastAsia="en-GB" w:bidi="ar-SA"/>
        </w:rPr>
      </w:pPr>
      <w:r>
        <w:rPr>
          <w:noProof/>
        </w:rPr>
        <w:fldChar w:fldCharType="begin"/>
      </w:r>
      <w:r>
        <w:rPr>
          <w:noProof/>
        </w:rPr>
        <w:instrText xml:space="preserve"> TOC \o "1-3" \h \z \u </w:instrText>
      </w:r>
      <w:r>
        <w:rPr>
          <w:noProof/>
        </w:rPr>
        <w:fldChar w:fldCharType="separate"/>
      </w:r>
      <w:hyperlink w:anchor="_Toc496530511" w:history="1">
        <w:r>
          <w:rPr>
            <w:rStyle w:val="Hyperlink"/>
            <w:noProof/>
          </w:rPr>
          <w:t>1.</w:t>
        </w:r>
        <w:r>
          <w:rPr>
            <w:rFonts w:asciiTheme="minorHAnsi" w:eastAsiaTheme="minorEastAsia" w:hAnsiTheme="minorHAnsi" w:cstheme="minorBidi"/>
            <w:b w:val="0"/>
            <w:bCs w:val="0"/>
            <w:caps w:val="0"/>
            <w:noProof/>
            <w:sz w:val="22"/>
            <w:szCs w:val="22"/>
            <w:lang w:val="en-GB" w:eastAsia="en-GB" w:bidi="ar-SA"/>
          </w:rPr>
          <w:tab/>
        </w:r>
        <w:r>
          <w:rPr>
            <w:rStyle w:val="Hyperlink"/>
            <w:noProof/>
          </w:rPr>
          <w:t>Въведение</w:t>
        </w:r>
        <w:r>
          <w:rPr>
            <w:noProof/>
            <w:webHidden/>
          </w:rPr>
          <w:tab/>
        </w:r>
        <w:r>
          <w:rPr>
            <w:noProof/>
            <w:webHidden/>
          </w:rPr>
          <w:fldChar w:fldCharType="begin"/>
        </w:r>
        <w:r>
          <w:rPr>
            <w:noProof/>
            <w:webHidden/>
          </w:rPr>
          <w:instrText xml:space="preserve"> PAGEREF _Toc496530511 \h </w:instrText>
        </w:r>
        <w:r>
          <w:rPr>
            <w:noProof/>
            <w:webHidden/>
          </w:rPr>
        </w:r>
        <w:r>
          <w:rPr>
            <w:noProof/>
            <w:webHidden/>
          </w:rPr>
          <w:fldChar w:fldCharType="separate"/>
        </w:r>
        <w:r>
          <w:rPr>
            <w:noProof/>
            <w:webHidden/>
          </w:rPr>
          <w:t>4</w:t>
        </w:r>
        <w:r>
          <w:rPr>
            <w:noProof/>
            <w:webHidden/>
          </w:rPr>
          <w:fldChar w:fldCharType="end"/>
        </w:r>
      </w:hyperlink>
    </w:p>
    <w:p>
      <w:pPr>
        <w:pStyle w:val="TOC1"/>
        <w:tabs>
          <w:tab w:val="left" w:pos="709"/>
          <w:tab w:val="right" w:leader="dot" w:pos="9061"/>
        </w:tabs>
        <w:rPr>
          <w:rFonts w:asciiTheme="minorHAnsi" w:eastAsiaTheme="minorEastAsia" w:hAnsiTheme="minorHAnsi" w:cstheme="minorBidi"/>
          <w:b w:val="0"/>
          <w:bCs w:val="0"/>
          <w:caps w:val="0"/>
          <w:noProof/>
          <w:sz w:val="22"/>
          <w:szCs w:val="22"/>
          <w:lang w:val="en-GB" w:eastAsia="en-GB" w:bidi="ar-SA"/>
        </w:rPr>
      </w:pPr>
      <w:hyperlink w:anchor="_Toc496530512" w:history="1">
        <w:r>
          <w:rPr>
            <w:rStyle w:val="Hyperlink"/>
            <w:noProof/>
          </w:rPr>
          <w:t>2.</w:t>
        </w:r>
        <w:r>
          <w:rPr>
            <w:rFonts w:asciiTheme="minorHAnsi" w:eastAsiaTheme="minorEastAsia" w:hAnsiTheme="minorHAnsi" w:cstheme="minorBidi"/>
            <w:b w:val="0"/>
            <w:bCs w:val="0"/>
            <w:caps w:val="0"/>
            <w:noProof/>
            <w:sz w:val="22"/>
            <w:szCs w:val="22"/>
            <w:lang w:val="en-GB" w:eastAsia="en-GB" w:bidi="ar-SA"/>
          </w:rPr>
          <w:tab/>
        </w:r>
        <w:r>
          <w:rPr>
            <w:rStyle w:val="Hyperlink"/>
            <w:noProof/>
          </w:rPr>
          <w:t>Европейски фонд за гарантиране на земеделието (ЕФГЗ)</w:t>
        </w:r>
        <w:r>
          <w:rPr>
            <w:noProof/>
            <w:webHidden/>
          </w:rPr>
          <w:tab/>
        </w:r>
        <w:r>
          <w:rPr>
            <w:noProof/>
            <w:webHidden/>
          </w:rPr>
          <w:fldChar w:fldCharType="begin"/>
        </w:r>
        <w:r>
          <w:rPr>
            <w:noProof/>
            <w:webHidden/>
          </w:rPr>
          <w:instrText xml:space="preserve"> PAGEREF _Toc496530512 \h </w:instrText>
        </w:r>
        <w:r>
          <w:rPr>
            <w:noProof/>
            <w:webHidden/>
          </w:rPr>
        </w:r>
        <w:r>
          <w:rPr>
            <w:noProof/>
            <w:webHidden/>
          </w:rPr>
          <w:fldChar w:fldCharType="separate"/>
        </w:r>
        <w:r>
          <w:rPr>
            <w:noProof/>
            <w:webHidden/>
          </w:rPr>
          <w:t>4</w:t>
        </w:r>
        <w:r>
          <w:rPr>
            <w:noProof/>
            <w:webHidden/>
          </w:rPr>
          <w:fldChar w:fldCharType="end"/>
        </w:r>
      </w:hyperlink>
    </w:p>
    <w:p>
      <w:pPr>
        <w:pStyle w:val="TOC2"/>
        <w:rPr>
          <w:rFonts w:asciiTheme="minorHAnsi" w:eastAsiaTheme="minorEastAsia" w:hAnsiTheme="minorHAnsi" w:cstheme="minorBidi"/>
          <w:smallCaps w:val="0"/>
          <w:noProof/>
          <w:sz w:val="22"/>
          <w:szCs w:val="22"/>
          <w:lang w:val="en-GB" w:eastAsia="en-GB" w:bidi="ar-SA"/>
        </w:rPr>
      </w:pPr>
      <w:hyperlink w:anchor="_Toc496530513" w:history="1">
        <w:r>
          <w:rPr>
            <w:rStyle w:val="Hyperlink"/>
            <w:b/>
            <w:noProof/>
          </w:rPr>
          <w:t xml:space="preserve">2.1 </w:t>
        </w:r>
        <w:r>
          <w:rPr>
            <w:rFonts w:asciiTheme="minorHAnsi" w:eastAsiaTheme="minorEastAsia" w:hAnsiTheme="minorHAnsi" w:cstheme="minorBidi"/>
            <w:smallCaps w:val="0"/>
            <w:noProof/>
            <w:sz w:val="22"/>
            <w:szCs w:val="22"/>
            <w:lang w:val="en-GB" w:eastAsia="en-GB" w:bidi="ar-SA"/>
          </w:rPr>
          <w:tab/>
        </w:r>
        <w:r>
          <w:rPr>
            <w:rStyle w:val="Hyperlink"/>
            <w:b/>
            <w:noProof/>
          </w:rPr>
          <w:t>Преглед</w:t>
        </w:r>
        <w:r>
          <w:rPr>
            <w:noProof/>
            <w:webHidden/>
          </w:rPr>
          <w:tab/>
        </w:r>
        <w:r>
          <w:rPr>
            <w:noProof/>
            <w:webHidden/>
          </w:rPr>
          <w:fldChar w:fldCharType="begin"/>
        </w:r>
        <w:r>
          <w:rPr>
            <w:noProof/>
            <w:webHidden/>
          </w:rPr>
          <w:instrText xml:space="preserve"> PAGEREF _Toc496530513 \h </w:instrText>
        </w:r>
        <w:r>
          <w:rPr>
            <w:noProof/>
            <w:webHidden/>
          </w:rPr>
        </w:r>
        <w:r>
          <w:rPr>
            <w:noProof/>
            <w:webHidden/>
          </w:rPr>
          <w:fldChar w:fldCharType="separate"/>
        </w:r>
        <w:r>
          <w:rPr>
            <w:noProof/>
            <w:webHidden/>
          </w:rPr>
          <w:t>5</w:t>
        </w:r>
        <w:r>
          <w:rPr>
            <w:noProof/>
            <w:webHidden/>
          </w:rPr>
          <w:fldChar w:fldCharType="end"/>
        </w:r>
      </w:hyperlink>
    </w:p>
    <w:p>
      <w:pPr>
        <w:pStyle w:val="TOC2"/>
        <w:rPr>
          <w:rFonts w:asciiTheme="minorHAnsi" w:eastAsiaTheme="minorEastAsia" w:hAnsiTheme="minorHAnsi" w:cstheme="minorBidi"/>
          <w:smallCaps w:val="0"/>
          <w:noProof/>
          <w:sz w:val="22"/>
          <w:szCs w:val="22"/>
          <w:lang w:val="en-GB" w:eastAsia="en-GB" w:bidi="ar-SA"/>
        </w:rPr>
      </w:pPr>
      <w:hyperlink w:anchor="_Toc496530514" w:history="1">
        <w:r>
          <w:rPr>
            <w:rStyle w:val="Hyperlink"/>
            <w:b/>
            <w:noProof/>
          </w:rPr>
          <w:t xml:space="preserve">2.2 </w:t>
        </w:r>
        <w:r>
          <w:rPr>
            <w:rFonts w:asciiTheme="minorHAnsi" w:eastAsiaTheme="minorEastAsia" w:hAnsiTheme="minorHAnsi" w:cstheme="minorBidi"/>
            <w:smallCaps w:val="0"/>
            <w:noProof/>
            <w:sz w:val="22"/>
            <w:szCs w:val="22"/>
            <w:lang w:val="en-GB" w:eastAsia="en-GB" w:bidi="ar-SA"/>
          </w:rPr>
          <w:tab/>
        </w:r>
        <w:r>
          <w:rPr>
            <w:rStyle w:val="Hyperlink"/>
            <w:b/>
            <w:noProof/>
          </w:rPr>
          <w:t>Подробни бележки</w:t>
        </w:r>
        <w:r>
          <w:rPr>
            <w:noProof/>
            <w:webHidden/>
          </w:rPr>
          <w:tab/>
        </w:r>
        <w:r>
          <w:rPr>
            <w:noProof/>
            <w:webHidden/>
          </w:rPr>
          <w:fldChar w:fldCharType="begin"/>
        </w:r>
        <w:r>
          <w:rPr>
            <w:noProof/>
            <w:webHidden/>
          </w:rPr>
          <w:instrText xml:space="preserve"> PAGEREF _Toc496530514 \h </w:instrText>
        </w:r>
        <w:r>
          <w:rPr>
            <w:noProof/>
            <w:webHidden/>
          </w:rPr>
        </w:r>
        <w:r>
          <w:rPr>
            <w:noProof/>
            <w:webHidden/>
          </w:rPr>
          <w:fldChar w:fldCharType="separate"/>
        </w:r>
        <w:r>
          <w:rPr>
            <w:noProof/>
            <w:webHidden/>
          </w:rPr>
          <w:t>6</w:t>
        </w:r>
        <w:r>
          <w:rPr>
            <w:noProof/>
            <w:webHidden/>
          </w:rPr>
          <w:fldChar w:fldCharType="end"/>
        </w:r>
      </w:hyperlink>
    </w:p>
    <w:p>
      <w:pPr>
        <w:pStyle w:val="TOC2"/>
        <w:rPr>
          <w:rFonts w:asciiTheme="minorHAnsi" w:eastAsiaTheme="minorEastAsia" w:hAnsiTheme="minorHAnsi" w:cstheme="minorBidi"/>
          <w:smallCaps w:val="0"/>
          <w:noProof/>
          <w:sz w:val="22"/>
          <w:szCs w:val="22"/>
          <w:lang w:val="en-GB" w:eastAsia="en-GB" w:bidi="ar-SA"/>
        </w:rPr>
      </w:pPr>
      <w:hyperlink w:anchor="_Toc496530515" w:history="1">
        <w:r>
          <w:rPr>
            <w:rStyle w:val="Hyperlink"/>
            <w:b/>
            <w:noProof/>
          </w:rPr>
          <w:t xml:space="preserve">2.3 </w:t>
        </w:r>
        <w:r>
          <w:rPr>
            <w:rFonts w:asciiTheme="minorHAnsi" w:eastAsiaTheme="minorEastAsia" w:hAnsiTheme="minorHAnsi" w:cstheme="minorBidi"/>
            <w:smallCaps w:val="0"/>
            <w:noProof/>
            <w:sz w:val="22"/>
            <w:szCs w:val="22"/>
            <w:lang w:val="en-GB" w:eastAsia="en-GB" w:bidi="ar-SA"/>
          </w:rPr>
          <w:tab/>
        </w:r>
        <w:r>
          <w:rPr>
            <w:rStyle w:val="Hyperlink"/>
            <w:b/>
            <w:noProof/>
          </w:rPr>
          <w:t>Съчетано въздействие върху ПЧ за 2018 г.</w:t>
        </w:r>
        <w:r>
          <w:rPr>
            <w:noProof/>
            <w:webHidden/>
          </w:rPr>
          <w:tab/>
        </w:r>
        <w:r>
          <w:rPr>
            <w:noProof/>
            <w:webHidden/>
          </w:rPr>
          <w:fldChar w:fldCharType="begin"/>
        </w:r>
        <w:r>
          <w:rPr>
            <w:noProof/>
            <w:webHidden/>
          </w:rPr>
          <w:instrText xml:space="preserve"> PAGEREF _Toc496530515 \h </w:instrText>
        </w:r>
        <w:r>
          <w:rPr>
            <w:noProof/>
            <w:webHidden/>
          </w:rPr>
        </w:r>
        <w:r>
          <w:rPr>
            <w:noProof/>
            <w:webHidden/>
          </w:rPr>
          <w:fldChar w:fldCharType="separate"/>
        </w:r>
        <w:r>
          <w:rPr>
            <w:noProof/>
            <w:webHidden/>
          </w:rPr>
          <w:t>8</w:t>
        </w:r>
        <w:r>
          <w:rPr>
            <w:noProof/>
            <w:webHidden/>
          </w:rPr>
          <w:fldChar w:fldCharType="end"/>
        </w:r>
      </w:hyperlink>
    </w:p>
    <w:p>
      <w:pPr>
        <w:pStyle w:val="TOC1"/>
        <w:tabs>
          <w:tab w:val="left" w:pos="709"/>
          <w:tab w:val="right" w:leader="dot" w:pos="9061"/>
        </w:tabs>
        <w:rPr>
          <w:rFonts w:asciiTheme="minorHAnsi" w:eastAsiaTheme="minorEastAsia" w:hAnsiTheme="minorHAnsi" w:cstheme="minorBidi"/>
          <w:b w:val="0"/>
          <w:bCs w:val="0"/>
          <w:caps w:val="0"/>
          <w:noProof/>
          <w:sz w:val="22"/>
          <w:szCs w:val="22"/>
          <w:lang w:val="en-GB" w:eastAsia="en-GB" w:bidi="ar-SA"/>
        </w:rPr>
      </w:pPr>
      <w:hyperlink w:anchor="_Toc496530516" w:history="1">
        <w:r>
          <w:rPr>
            <w:rStyle w:val="Hyperlink"/>
            <w:noProof/>
          </w:rPr>
          <w:t>3.</w:t>
        </w:r>
        <w:r>
          <w:rPr>
            <w:rFonts w:asciiTheme="minorHAnsi" w:eastAsiaTheme="minorEastAsia" w:hAnsiTheme="minorHAnsi" w:cstheme="minorBidi"/>
            <w:b w:val="0"/>
            <w:bCs w:val="0"/>
            <w:caps w:val="0"/>
            <w:noProof/>
            <w:sz w:val="22"/>
            <w:szCs w:val="22"/>
            <w:lang w:val="en-GB" w:eastAsia="en-GB" w:bidi="ar-SA"/>
          </w:rPr>
          <w:tab/>
        </w:r>
        <w:r>
          <w:rPr>
            <w:rStyle w:val="Hyperlink"/>
            <w:noProof/>
          </w:rPr>
          <w:t>Фонд „Солидарност“ на Европейския съюз (ФСЕС)</w:t>
        </w:r>
        <w:r>
          <w:rPr>
            <w:noProof/>
            <w:webHidden/>
          </w:rPr>
          <w:tab/>
        </w:r>
        <w:r>
          <w:rPr>
            <w:noProof/>
            <w:webHidden/>
          </w:rPr>
          <w:fldChar w:fldCharType="begin"/>
        </w:r>
        <w:r>
          <w:rPr>
            <w:noProof/>
            <w:webHidden/>
          </w:rPr>
          <w:instrText xml:space="preserve"> PAGEREF _Toc496530516 \h </w:instrText>
        </w:r>
        <w:r>
          <w:rPr>
            <w:noProof/>
            <w:webHidden/>
          </w:rPr>
        </w:r>
        <w:r>
          <w:rPr>
            <w:noProof/>
            <w:webHidden/>
          </w:rPr>
          <w:fldChar w:fldCharType="separate"/>
        </w:r>
        <w:r>
          <w:rPr>
            <w:noProof/>
            <w:webHidden/>
          </w:rPr>
          <w:t>9</w:t>
        </w:r>
        <w:r>
          <w:rPr>
            <w:noProof/>
            <w:webHidden/>
          </w:rPr>
          <w:fldChar w:fldCharType="end"/>
        </w:r>
      </w:hyperlink>
    </w:p>
    <w:p>
      <w:pPr>
        <w:pStyle w:val="TOC1"/>
        <w:tabs>
          <w:tab w:val="left" w:pos="709"/>
          <w:tab w:val="right" w:leader="dot" w:pos="9061"/>
        </w:tabs>
        <w:rPr>
          <w:rFonts w:asciiTheme="minorHAnsi" w:eastAsiaTheme="minorEastAsia" w:hAnsiTheme="minorHAnsi" w:cstheme="minorBidi"/>
          <w:b w:val="0"/>
          <w:bCs w:val="0"/>
          <w:caps w:val="0"/>
          <w:noProof/>
          <w:sz w:val="22"/>
          <w:szCs w:val="22"/>
          <w:lang w:val="en-GB" w:eastAsia="en-GB" w:bidi="ar-SA"/>
        </w:rPr>
      </w:pPr>
      <w:hyperlink w:anchor="_Toc496530517" w:history="1">
        <w:r>
          <w:rPr>
            <w:rStyle w:val="Hyperlink"/>
            <w:noProof/>
          </w:rPr>
          <w:t>4.</w:t>
        </w:r>
        <w:r>
          <w:rPr>
            <w:rFonts w:asciiTheme="minorHAnsi" w:eastAsiaTheme="minorEastAsia" w:hAnsiTheme="minorHAnsi" w:cstheme="minorBidi"/>
            <w:b w:val="0"/>
            <w:bCs w:val="0"/>
            <w:caps w:val="0"/>
            <w:noProof/>
            <w:sz w:val="22"/>
            <w:szCs w:val="22"/>
            <w:lang w:val="en-GB" w:eastAsia="en-GB" w:bidi="ar-SA"/>
          </w:rPr>
          <w:tab/>
        </w:r>
        <w:r>
          <w:rPr>
            <w:rStyle w:val="Hyperlink"/>
            <w:noProof/>
          </w:rPr>
          <w:t>Агенции</w:t>
        </w:r>
        <w:r>
          <w:rPr>
            <w:noProof/>
            <w:webHidden/>
          </w:rPr>
          <w:tab/>
        </w:r>
        <w:r>
          <w:rPr>
            <w:noProof/>
            <w:webHidden/>
          </w:rPr>
          <w:fldChar w:fldCharType="begin"/>
        </w:r>
        <w:r>
          <w:rPr>
            <w:noProof/>
            <w:webHidden/>
          </w:rPr>
          <w:instrText xml:space="preserve"> PAGEREF _Toc496530517 \h </w:instrText>
        </w:r>
        <w:r>
          <w:rPr>
            <w:noProof/>
            <w:webHidden/>
          </w:rPr>
        </w:r>
        <w:r>
          <w:rPr>
            <w:noProof/>
            <w:webHidden/>
          </w:rPr>
          <w:fldChar w:fldCharType="separate"/>
        </w:r>
        <w:r>
          <w:rPr>
            <w:noProof/>
            <w:webHidden/>
          </w:rPr>
          <w:t>10</w:t>
        </w:r>
        <w:r>
          <w:rPr>
            <w:noProof/>
            <w:webHidden/>
          </w:rPr>
          <w:fldChar w:fldCharType="end"/>
        </w:r>
      </w:hyperlink>
    </w:p>
    <w:p>
      <w:pPr>
        <w:pStyle w:val="TOC2"/>
        <w:rPr>
          <w:rFonts w:asciiTheme="minorHAnsi" w:eastAsiaTheme="minorEastAsia" w:hAnsiTheme="minorHAnsi" w:cstheme="minorBidi"/>
          <w:smallCaps w:val="0"/>
          <w:noProof/>
          <w:sz w:val="22"/>
          <w:szCs w:val="22"/>
          <w:lang w:val="en-GB" w:eastAsia="en-GB" w:bidi="ar-SA"/>
        </w:rPr>
      </w:pPr>
      <w:hyperlink w:anchor="_Toc496530518" w:history="1">
        <w:r>
          <w:rPr>
            <w:rStyle w:val="Hyperlink"/>
            <w:b/>
            <w:noProof/>
          </w:rPr>
          <w:t xml:space="preserve">4.1 </w:t>
        </w:r>
        <w:r>
          <w:rPr>
            <w:rFonts w:asciiTheme="minorHAnsi" w:eastAsiaTheme="minorEastAsia" w:hAnsiTheme="minorHAnsi" w:cstheme="minorBidi"/>
            <w:smallCaps w:val="0"/>
            <w:noProof/>
            <w:sz w:val="22"/>
            <w:szCs w:val="22"/>
            <w:lang w:val="en-GB" w:eastAsia="en-GB" w:bidi="ar-SA"/>
          </w:rPr>
          <w:tab/>
        </w:r>
        <w:r>
          <w:rPr>
            <w:rStyle w:val="Hyperlink"/>
            <w:b/>
            <w:noProof/>
          </w:rPr>
          <w:t>Европейски орган за ценни книжа и пазари (ЕSMA)</w:t>
        </w:r>
        <w:r>
          <w:rPr>
            <w:noProof/>
            <w:webHidden/>
          </w:rPr>
          <w:tab/>
        </w:r>
        <w:r>
          <w:rPr>
            <w:noProof/>
            <w:webHidden/>
          </w:rPr>
          <w:fldChar w:fldCharType="begin"/>
        </w:r>
        <w:r>
          <w:rPr>
            <w:noProof/>
            <w:webHidden/>
          </w:rPr>
          <w:instrText xml:space="preserve"> PAGEREF _Toc496530518 \h </w:instrText>
        </w:r>
        <w:r>
          <w:rPr>
            <w:noProof/>
            <w:webHidden/>
          </w:rPr>
        </w:r>
        <w:r>
          <w:rPr>
            <w:noProof/>
            <w:webHidden/>
          </w:rPr>
          <w:fldChar w:fldCharType="separate"/>
        </w:r>
        <w:r>
          <w:rPr>
            <w:noProof/>
            <w:webHidden/>
          </w:rPr>
          <w:t>10</w:t>
        </w:r>
        <w:r>
          <w:rPr>
            <w:noProof/>
            <w:webHidden/>
          </w:rPr>
          <w:fldChar w:fldCharType="end"/>
        </w:r>
      </w:hyperlink>
    </w:p>
    <w:p>
      <w:pPr>
        <w:pStyle w:val="TOC2"/>
        <w:rPr>
          <w:rFonts w:asciiTheme="minorHAnsi" w:eastAsiaTheme="minorEastAsia" w:hAnsiTheme="minorHAnsi" w:cstheme="minorBidi"/>
          <w:smallCaps w:val="0"/>
          <w:noProof/>
          <w:sz w:val="22"/>
          <w:szCs w:val="22"/>
          <w:lang w:val="en-GB" w:eastAsia="en-GB" w:bidi="ar-SA"/>
        </w:rPr>
      </w:pPr>
      <w:hyperlink w:anchor="_Toc496530519" w:history="1">
        <w:r>
          <w:rPr>
            <w:rStyle w:val="Hyperlink"/>
            <w:b/>
            <w:noProof/>
          </w:rPr>
          <w:t>4.2</w:t>
        </w:r>
        <w:r>
          <w:rPr>
            <w:rFonts w:asciiTheme="minorHAnsi" w:eastAsiaTheme="minorEastAsia" w:hAnsiTheme="minorHAnsi" w:cstheme="minorBidi"/>
            <w:smallCaps w:val="0"/>
            <w:noProof/>
            <w:sz w:val="22"/>
            <w:szCs w:val="22"/>
            <w:lang w:val="en-GB" w:eastAsia="en-GB" w:bidi="ar-SA"/>
          </w:rPr>
          <w:tab/>
        </w:r>
        <w:r>
          <w:rPr>
            <w:rStyle w:val="Hyperlink"/>
            <w:b/>
            <w:noProof/>
          </w:rPr>
          <w:t>Европейска фондация за подобряване на условията на живот и труд (EUROFOUND)</w:t>
        </w:r>
        <w:r>
          <w:rPr>
            <w:noProof/>
            <w:webHidden/>
          </w:rPr>
          <w:tab/>
        </w:r>
        <w:r>
          <w:rPr>
            <w:noProof/>
            <w:webHidden/>
          </w:rPr>
          <w:fldChar w:fldCharType="begin"/>
        </w:r>
        <w:r>
          <w:rPr>
            <w:noProof/>
            <w:webHidden/>
          </w:rPr>
          <w:instrText xml:space="preserve"> PAGEREF _Toc496530519 \h </w:instrText>
        </w:r>
        <w:r>
          <w:rPr>
            <w:noProof/>
            <w:webHidden/>
          </w:rPr>
        </w:r>
        <w:r>
          <w:rPr>
            <w:noProof/>
            <w:webHidden/>
          </w:rPr>
          <w:fldChar w:fldCharType="separate"/>
        </w:r>
        <w:r>
          <w:rPr>
            <w:noProof/>
            <w:webHidden/>
          </w:rPr>
          <w:t>10</w:t>
        </w:r>
        <w:r>
          <w:rPr>
            <w:noProof/>
            <w:webHidden/>
          </w:rPr>
          <w:fldChar w:fldCharType="end"/>
        </w:r>
      </w:hyperlink>
    </w:p>
    <w:p>
      <w:pPr>
        <w:pStyle w:val="TOC2"/>
        <w:rPr>
          <w:rFonts w:asciiTheme="minorHAnsi" w:eastAsiaTheme="minorEastAsia" w:hAnsiTheme="minorHAnsi" w:cstheme="minorBidi"/>
          <w:smallCaps w:val="0"/>
          <w:noProof/>
          <w:sz w:val="22"/>
          <w:szCs w:val="22"/>
          <w:lang w:val="en-GB" w:eastAsia="en-GB" w:bidi="ar-SA"/>
        </w:rPr>
      </w:pPr>
      <w:hyperlink w:anchor="_Toc496530520" w:history="1">
        <w:r>
          <w:rPr>
            <w:rStyle w:val="Hyperlink"/>
            <w:b/>
            <w:noProof/>
          </w:rPr>
          <w:t xml:space="preserve">4.3 </w:t>
        </w:r>
        <w:r>
          <w:rPr>
            <w:rFonts w:asciiTheme="minorHAnsi" w:eastAsiaTheme="minorEastAsia" w:hAnsiTheme="minorHAnsi" w:cstheme="minorBidi"/>
            <w:smallCaps w:val="0"/>
            <w:noProof/>
            <w:sz w:val="22"/>
            <w:szCs w:val="22"/>
            <w:lang w:val="en-GB" w:eastAsia="en-GB" w:bidi="ar-SA"/>
          </w:rPr>
          <w:tab/>
        </w:r>
        <w:r>
          <w:rPr>
            <w:rStyle w:val="Hyperlink"/>
            <w:b/>
            <w:noProof/>
          </w:rPr>
          <w:t>Изпълнителна агенция за образование, аудиовизия и култура (EACEA)</w:t>
        </w:r>
        <w:r>
          <w:rPr>
            <w:noProof/>
            <w:webHidden/>
          </w:rPr>
          <w:tab/>
        </w:r>
        <w:r>
          <w:rPr>
            <w:noProof/>
            <w:webHidden/>
          </w:rPr>
          <w:fldChar w:fldCharType="begin"/>
        </w:r>
        <w:r>
          <w:rPr>
            <w:noProof/>
            <w:webHidden/>
          </w:rPr>
          <w:instrText xml:space="preserve"> PAGEREF _Toc496530520 \h </w:instrText>
        </w:r>
        <w:r>
          <w:rPr>
            <w:noProof/>
            <w:webHidden/>
          </w:rPr>
        </w:r>
        <w:r>
          <w:rPr>
            <w:noProof/>
            <w:webHidden/>
          </w:rPr>
          <w:fldChar w:fldCharType="separate"/>
        </w:r>
        <w:r>
          <w:rPr>
            <w:noProof/>
            <w:webHidden/>
          </w:rPr>
          <w:t>11</w:t>
        </w:r>
        <w:r>
          <w:rPr>
            <w:noProof/>
            <w:webHidden/>
          </w:rPr>
          <w:fldChar w:fldCharType="end"/>
        </w:r>
      </w:hyperlink>
    </w:p>
    <w:p>
      <w:pPr>
        <w:pStyle w:val="TOC1"/>
        <w:tabs>
          <w:tab w:val="left" w:pos="709"/>
          <w:tab w:val="right" w:leader="dot" w:pos="9061"/>
        </w:tabs>
        <w:rPr>
          <w:rFonts w:asciiTheme="minorHAnsi" w:eastAsiaTheme="minorEastAsia" w:hAnsiTheme="minorHAnsi" w:cstheme="minorBidi"/>
          <w:b w:val="0"/>
          <w:bCs w:val="0"/>
          <w:caps w:val="0"/>
          <w:noProof/>
          <w:sz w:val="22"/>
          <w:szCs w:val="22"/>
          <w:lang w:val="en-GB" w:eastAsia="en-GB" w:bidi="ar-SA"/>
        </w:rPr>
      </w:pPr>
      <w:hyperlink w:anchor="_Toc496530521" w:history="1">
        <w:r>
          <w:rPr>
            <w:rStyle w:val="Hyperlink"/>
            <w:noProof/>
          </w:rPr>
          <w:t>5.</w:t>
        </w:r>
        <w:r>
          <w:rPr>
            <w:rFonts w:asciiTheme="minorHAnsi" w:eastAsiaTheme="minorEastAsia" w:hAnsiTheme="minorHAnsi" w:cstheme="minorBidi"/>
            <w:b w:val="0"/>
            <w:bCs w:val="0"/>
            <w:caps w:val="0"/>
            <w:noProof/>
            <w:sz w:val="22"/>
            <w:szCs w:val="22"/>
            <w:lang w:val="en-GB" w:eastAsia="en-GB" w:bidi="ar-SA"/>
          </w:rPr>
          <w:tab/>
        </w:r>
        <w:r>
          <w:rPr>
            <w:rStyle w:val="Hyperlink"/>
            <w:noProof/>
          </w:rPr>
          <w:t>Администрация</w:t>
        </w:r>
        <w:r>
          <w:rPr>
            <w:noProof/>
            <w:webHidden/>
          </w:rPr>
          <w:tab/>
        </w:r>
        <w:r>
          <w:rPr>
            <w:noProof/>
            <w:webHidden/>
          </w:rPr>
          <w:fldChar w:fldCharType="begin"/>
        </w:r>
        <w:r>
          <w:rPr>
            <w:noProof/>
            <w:webHidden/>
          </w:rPr>
          <w:instrText xml:space="preserve"> PAGEREF _Toc496530521 \h </w:instrText>
        </w:r>
        <w:r>
          <w:rPr>
            <w:noProof/>
            <w:webHidden/>
          </w:rPr>
        </w:r>
        <w:r>
          <w:rPr>
            <w:noProof/>
            <w:webHidden/>
          </w:rPr>
          <w:fldChar w:fldCharType="separate"/>
        </w:r>
        <w:r>
          <w:rPr>
            <w:noProof/>
            <w:webHidden/>
          </w:rPr>
          <w:t>11</w:t>
        </w:r>
        <w:r>
          <w:rPr>
            <w:noProof/>
            <w:webHidden/>
          </w:rPr>
          <w:fldChar w:fldCharType="end"/>
        </w:r>
      </w:hyperlink>
    </w:p>
    <w:p>
      <w:pPr>
        <w:pStyle w:val="TOC2"/>
        <w:rPr>
          <w:rFonts w:asciiTheme="minorHAnsi" w:eastAsiaTheme="minorEastAsia" w:hAnsiTheme="minorHAnsi" w:cstheme="minorBidi"/>
          <w:smallCaps w:val="0"/>
          <w:noProof/>
          <w:sz w:val="22"/>
          <w:szCs w:val="22"/>
          <w:lang w:val="en-GB" w:eastAsia="en-GB" w:bidi="ar-SA"/>
        </w:rPr>
      </w:pPr>
      <w:hyperlink w:anchor="_Toc496530522" w:history="1">
        <w:r>
          <w:rPr>
            <w:rStyle w:val="Hyperlink"/>
            <w:noProof/>
          </w:rPr>
          <w:t xml:space="preserve">5.1 </w:t>
        </w:r>
        <w:r>
          <w:rPr>
            <w:rFonts w:asciiTheme="minorHAnsi" w:eastAsiaTheme="minorEastAsia" w:hAnsiTheme="minorHAnsi" w:cstheme="minorBidi"/>
            <w:smallCaps w:val="0"/>
            <w:noProof/>
            <w:sz w:val="22"/>
            <w:szCs w:val="22"/>
            <w:lang w:val="en-GB" w:eastAsia="en-GB" w:bidi="ar-SA"/>
          </w:rPr>
          <w:tab/>
        </w:r>
        <w:r>
          <w:rPr>
            <w:rStyle w:val="Hyperlink"/>
            <w:noProof/>
          </w:rPr>
          <w:t>Европейска служба за борба с измамите (OLAF)</w:t>
        </w:r>
        <w:r>
          <w:rPr>
            <w:noProof/>
            <w:webHidden/>
          </w:rPr>
          <w:tab/>
        </w:r>
        <w:r>
          <w:rPr>
            <w:noProof/>
            <w:webHidden/>
          </w:rPr>
          <w:fldChar w:fldCharType="begin"/>
        </w:r>
        <w:r>
          <w:rPr>
            <w:noProof/>
            <w:webHidden/>
          </w:rPr>
          <w:instrText xml:space="preserve"> PAGEREF _Toc496530522 \h </w:instrText>
        </w:r>
        <w:r>
          <w:rPr>
            <w:noProof/>
            <w:webHidden/>
          </w:rPr>
        </w:r>
        <w:r>
          <w:rPr>
            <w:noProof/>
            <w:webHidden/>
          </w:rPr>
          <w:fldChar w:fldCharType="separate"/>
        </w:r>
        <w:r>
          <w:rPr>
            <w:noProof/>
            <w:webHidden/>
          </w:rPr>
          <w:t>11</w:t>
        </w:r>
        <w:r>
          <w:rPr>
            <w:noProof/>
            <w:webHidden/>
          </w:rPr>
          <w:fldChar w:fldCharType="end"/>
        </w:r>
      </w:hyperlink>
    </w:p>
    <w:p>
      <w:pPr>
        <w:pStyle w:val="TOC2"/>
        <w:rPr>
          <w:rFonts w:asciiTheme="minorHAnsi" w:eastAsiaTheme="minorEastAsia" w:hAnsiTheme="minorHAnsi" w:cstheme="minorBidi"/>
          <w:smallCaps w:val="0"/>
          <w:noProof/>
          <w:sz w:val="22"/>
          <w:szCs w:val="22"/>
          <w:lang w:val="en-GB" w:eastAsia="en-GB" w:bidi="ar-SA"/>
        </w:rPr>
      </w:pPr>
      <w:hyperlink w:anchor="_Toc496530523" w:history="1">
        <w:r>
          <w:rPr>
            <w:rStyle w:val="Hyperlink"/>
            <w:noProof/>
          </w:rPr>
          <w:t xml:space="preserve">5.2 </w:t>
        </w:r>
        <w:r>
          <w:rPr>
            <w:rFonts w:asciiTheme="minorHAnsi" w:eastAsiaTheme="minorEastAsia" w:hAnsiTheme="minorHAnsi" w:cstheme="minorBidi"/>
            <w:smallCaps w:val="0"/>
            <w:noProof/>
            <w:sz w:val="22"/>
            <w:szCs w:val="22"/>
            <w:lang w:val="en-GB" w:eastAsia="en-GB" w:bidi="ar-SA"/>
          </w:rPr>
          <w:tab/>
        </w:r>
        <w:r>
          <w:rPr>
            <w:rStyle w:val="Hyperlink"/>
            <w:noProof/>
          </w:rPr>
          <w:t>Служба за публикации (OP)</w:t>
        </w:r>
        <w:r>
          <w:rPr>
            <w:noProof/>
            <w:webHidden/>
          </w:rPr>
          <w:tab/>
        </w:r>
        <w:r>
          <w:rPr>
            <w:noProof/>
            <w:webHidden/>
          </w:rPr>
          <w:fldChar w:fldCharType="begin"/>
        </w:r>
        <w:r>
          <w:rPr>
            <w:noProof/>
            <w:webHidden/>
          </w:rPr>
          <w:instrText xml:space="preserve"> PAGEREF _Toc496530523 \h </w:instrText>
        </w:r>
        <w:r>
          <w:rPr>
            <w:noProof/>
            <w:webHidden/>
          </w:rPr>
        </w:r>
        <w:r>
          <w:rPr>
            <w:noProof/>
            <w:webHidden/>
          </w:rPr>
          <w:fldChar w:fldCharType="separate"/>
        </w:r>
        <w:r>
          <w:rPr>
            <w:noProof/>
            <w:webHidden/>
          </w:rPr>
          <w:t>12</w:t>
        </w:r>
        <w:r>
          <w:rPr>
            <w:noProof/>
            <w:webHidden/>
          </w:rPr>
          <w:fldChar w:fldCharType="end"/>
        </w:r>
      </w:hyperlink>
    </w:p>
    <w:p>
      <w:pPr>
        <w:pStyle w:val="TOC2"/>
        <w:rPr>
          <w:rFonts w:asciiTheme="minorHAnsi" w:eastAsiaTheme="minorEastAsia" w:hAnsiTheme="minorHAnsi" w:cstheme="minorBidi"/>
          <w:smallCaps w:val="0"/>
          <w:noProof/>
          <w:sz w:val="22"/>
          <w:szCs w:val="22"/>
          <w:lang w:val="en-GB" w:eastAsia="en-GB" w:bidi="ar-SA"/>
        </w:rPr>
      </w:pPr>
      <w:hyperlink w:anchor="_Toc496530524" w:history="1">
        <w:r>
          <w:rPr>
            <w:rStyle w:val="Hyperlink"/>
            <w:noProof/>
          </w:rPr>
          <w:t>5.3</w:t>
        </w:r>
        <w:r>
          <w:rPr>
            <w:rFonts w:asciiTheme="minorHAnsi" w:eastAsiaTheme="minorEastAsia" w:hAnsiTheme="minorHAnsi" w:cstheme="minorBidi"/>
            <w:smallCaps w:val="0"/>
            <w:noProof/>
            <w:sz w:val="22"/>
            <w:szCs w:val="22"/>
            <w:lang w:val="en-GB" w:eastAsia="en-GB" w:bidi="ar-SA"/>
          </w:rPr>
          <w:tab/>
        </w:r>
        <w:r>
          <w:rPr>
            <w:rStyle w:val="Hyperlink"/>
            <w:noProof/>
          </w:rPr>
          <w:t>Европейска служба за външна дейност (ЕСВД)</w:t>
        </w:r>
        <w:r>
          <w:rPr>
            <w:noProof/>
            <w:webHidden/>
          </w:rPr>
          <w:tab/>
        </w:r>
        <w:r>
          <w:rPr>
            <w:noProof/>
            <w:webHidden/>
          </w:rPr>
          <w:fldChar w:fldCharType="begin"/>
        </w:r>
        <w:r>
          <w:rPr>
            <w:noProof/>
            <w:webHidden/>
          </w:rPr>
          <w:instrText xml:space="preserve"> PAGEREF _Toc496530524 \h </w:instrText>
        </w:r>
        <w:r>
          <w:rPr>
            <w:noProof/>
            <w:webHidden/>
          </w:rPr>
        </w:r>
        <w:r>
          <w:rPr>
            <w:noProof/>
            <w:webHidden/>
          </w:rPr>
          <w:fldChar w:fldCharType="separate"/>
        </w:r>
        <w:r>
          <w:rPr>
            <w:noProof/>
            <w:webHidden/>
          </w:rPr>
          <w:t>12</w:t>
        </w:r>
        <w:r>
          <w:rPr>
            <w:noProof/>
            <w:webHidden/>
          </w:rPr>
          <w:fldChar w:fldCharType="end"/>
        </w:r>
      </w:hyperlink>
    </w:p>
    <w:p>
      <w:pPr>
        <w:pStyle w:val="TOC3"/>
        <w:rPr>
          <w:rFonts w:asciiTheme="minorHAnsi" w:eastAsiaTheme="minorEastAsia" w:hAnsiTheme="minorHAnsi" w:cstheme="minorBidi"/>
          <w:i w:val="0"/>
          <w:iCs w:val="0"/>
          <w:noProof/>
          <w:sz w:val="22"/>
          <w:szCs w:val="22"/>
          <w:lang w:val="en-GB" w:eastAsia="en-GB" w:bidi="ar-SA"/>
        </w:rPr>
      </w:pPr>
      <w:hyperlink w:anchor="_Toc496530525" w:history="1">
        <w:r>
          <w:rPr>
            <w:rStyle w:val="Hyperlink"/>
            <w:noProof/>
          </w:rPr>
          <w:t xml:space="preserve">5.3.1 </w:t>
        </w:r>
        <w:r>
          <w:rPr>
            <w:rFonts w:asciiTheme="minorHAnsi" w:eastAsiaTheme="minorEastAsia" w:hAnsiTheme="minorHAnsi" w:cstheme="minorBidi"/>
            <w:i w:val="0"/>
            <w:iCs w:val="0"/>
            <w:noProof/>
            <w:sz w:val="22"/>
            <w:szCs w:val="22"/>
            <w:lang w:val="en-GB" w:eastAsia="en-GB" w:bidi="ar-SA"/>
          </w:rPr>
          <w:tab/>
        </w:r>
        <w:r>
          <w:rPr>
            <w:rStyle w:val="Hyperlink"/>
            <w:noProof/>
          </w:rPr>
          <w:t xml:space="preserve"> Бъдещ ангажимент на ЕС с Афганистан след края на мандата на СПЕС, изпълняващ двойна функция в Афганистан</w:t>
        </w:r>
        <w:r>
          <w:rPr>
            <w:noProof/>
            <w:webHidden/>
          </w:rPr>
          <w:tab/>
        </w:r>
        <w:r>
          <w:rPr>
            <w:noProof/>
            <w:webHidden/>
          </w:rPr>
          <w:fldChar w:fldCharType="begin"/>
        </w:r>
        <w:r>
          <w:rPr>
            <w:noProof/>
            <w:webHidden/>
          </w:rPr>
          <w:instrText xml:space="preserve"> PAGEREF _Toc496530525 \h </w:instrText>
        </w:r>
        <w:r>
          <w:rPr>
            <w:noProof/>
            <w:webHidden/>
          </w:rPr>
        </w:r>
        <w:r>
          <w:rPr>
            <w:noProof/>
            <w:webHidden/>
          </w:rPr>
          <w:fldChar w:fldCharType="separate"/>
        </w:r>
        <w:r>
          <w:rPr>
            <w:noProof/>
            <w:webHidden/>
          </w:rPr>
          <w:t>12</w:t>
        </w:r>
        <w:r>
          <w:rPr>
            <w:noProof/>
            <w:webHidden/>
          </w:rPr>
          <w:fldChar w:fldCharType="end"/>
        </w:r>
      </w:hyperlink>
    </w:p>
    <w:p>
      <w:pPr>
        <w:pStyle w:val="TOC3"/>
        <w:rPr>
          <w:rFonts w:asciiTheme="minorHAnsi" w:eastAsiaTheme="minorEastAsia" w:hAnsiTheme="minorHAnsi" w:cstheme="minorBidi"/>
          <w:i w:val="0"/>
          <w:iCs w:val="0"/>
          <w:noProof/>
          <w:sz w:val="22"/>
          <w:szCs w:val="22"/>
          <w:lang w:val="en-GB" w:eastAsia="en-GB" w:bidi="ar-SA"/>
        </w:rPr>
      </w:pPr>
      <w:hyperlink w:anchor="_Toc496530526" w:history="1">
        <w:r>
          <w:rPr>
            <w:rStyle w:val="Hyperlink"/>
            <w:noProof/>
          </w:rPr>
          <w:t>5.3.2</w:t>
        </w:r>
        <w:r>
          <w:rPr>
            <w:rFonts w:asciiTheme="minorHAnsi" w:eastAsiaTheme="minorEastAsia" w:hAnsiTheme="minorHAnsi" w:cstheme="minorBidi"/>
            <w:i w:val="0"/>
            <w:iCs w:val="0"/>
            <w:noProof/>
            <w:sz w:val="22"/>
            <w:szCs w:val="22"/>
            <w:lang w:val="en-GB" w:eastAsia="en-GB" w:bidi="ar-SA"/>
          </w:rPr>
          <w:tab/>
        </w:r>
        <w:r>
          <w:rPr>
            <w:rStyle w:val="Hyperlink"/>
            <w:noProof/>
          </w:rPr>
          <w:t xml:space="preserve"> Прехвърляне на определени задачи по мониторинг, насочване и консултации (МНК) от EULEX Косово към Службата на ЕС в Косово</w:t>
        </w:r>
        <w:r>
          <w:rPr>
            <w:noProof/>
            <w:webHidden/>
          </w:rPr>
          <w:tab/>
        </w:r>
        <w:r>
          <w:rPr>
            <w:noProof/>
            <w:webHidden/>
          </w:rPr>
          <w:fldChar w:fldCharType="begin"/>
        </w:r>
        <w:r>
          <w:rPr>
            <w:noProof/>
            <w:webHidden/>
          </w:rPr>
          <w:instrText xml:space="preserve"> PAGEREF _Toc496530526 \h </w:instrText>
        </w:r>
        <w:r>
          <w:rPr>
            <w:noProof/>
            <w:webHidden/>
          </w:rPr>
        </w:r>
        <w:r>
          <w:rPr>
            <w:noProof/>
            <w:webHidden/>
          </w:rPr>
          <w:fldChar w:fldCharType="separate"/>
        </w:r>
        <w:r>
          <w:rPr>
            <w:noProof/>
            <w:webHidden/>
          </w:rPr>
          <w:t>13</w:t>
        </w:r>
        <w:r>
          <w:rPr>
            <w:noProof/>
            <w:webHidden/>
          </w:rPr>
          <w:fldChar w:fldCharType="end"/>
        </w:r>
      </w:hyperlink>
    </w:p>
    <w:p>
      <w:pPr>
        <w:pStyle w:val="TOC3"/>
        <w:rPr>
          <w:rFonts w:asciiTheme="minorHAnsi" w:eastAsiaTheme="minorEastAsia" w:hAnsiTheme="minorHAnsi" w:cstheme="minorBidi"/>
          <w:i w:val="0"/>
          <w:iCs w:val="0"/>
          <w:noProof/>
          <w:sz w:val="22"/>
          <w:szCs w:val="22"/>
          <w:lang w:val="en-GB" w:eastAsia="en-GB" w:bidi="ar-SA"/>
        </w:rPr>
      </w:pPr>
      <w:hyperlink w:anchor="_Toc496530527" w:history="1">
        <w:r>
          <w:rPr>
            <w:rStyle w:val="Hyperlink"/>
            <w:noProof/>
          </w:rPr>
          <w:t>5.3.3</w:t>
        </w:r>
        <w:r>
          <w:rPr>
            <w:rFonts w:asciiTheme="minorHAnsi" w:eastAsiaTheme="minorEastAsia" w:hAnsiTheme="minorHAnsi" w:cstheme="minorBidi"/>
            <w:i w:val="0"/>
            <w:iCs w:val="0"/>
            <w:noProof/>
            <w:sz w:val="22"/>
            <w:szCs w:val="22"/>
            <w:lang w:val="en-GB" w:eastAsia="en-GB" w:bidi="ar-SA"/>
          </w:rPr>
          <w:tab/>
        </w:r>
        <w:r>
          <w:rPr>
            <w:rStyle w:val="Hyperlink"/>
            <w:noProof/>
          </w:rPr>
          <w:t xml:space="preserve"> Специален бюджетен ред за финансова подкрепа за Европейски училища</w:t>
        </w:r>
        <w:r>
          <w:rPr>
            <w:noProof/>
            <w:webHidden/>
          </w:rPr>
          <w:tab/>
        </w:r>
        <w:r>
          <w:rPr>
            <w:noProof/>
            <w:webHidden/>
          </w:rPr>
          <w:fldChar w:fldCharType="begin"/>
        </w:r>
        <w:r>
          <w:rPr>
            <w:noProof/>
            <w:webHidden/>
          </w:rPr>
          <w:instrText xml:space="preserve"> PAGEREF _Toc496530527 \h </w:instrText>
        </w:r>
        <w:r>
          <w:rPr>
            <w:noProof/>
            <w:webHidden/>
          </w:rPr>
        </w:r>
        <w:r>
          <w:rPr>
            <w:noProof/>
            <w:webHidden/>
          </w:rPr>
          <w:fldChar w:fldCharType="separate"/>
        </w:r>
        <w:r>
          <w:rPr>
            <w:noProof/>
            <w:webHidden/>
          </w:rPr>
          <w:t>14</w:t>
        </w:r>
        <w:r>
          <w:rPr>
            <w:noProof/>
            <w:webHidden/>
          </w:rPr>
          <w:fldChar w:fldCharType="end"/>
        </w:r>
      </w:hyperlink>
    </w:p>
    <w:p>
      <w:pPr>
        <w:pStyle w:val="TOC3"/>
        <w:rPr>
          <w:rFonts w:asciiTheme="minorHAnsi" w:eastAsiaTheme="minorEastAsia" w:hAnsiTheme="minorHAnsi" w:cstheme="minorBidi"/>
          <w:i w:val="0"/>
          <w:iCs w:val="0"/>
          <w:noProof/>
          <w:sz w:val="22"/>
          <w:szCs w:val="22"/>
          <w:lang w:val="en-GB" w:eastAsia="en-GB" w:bidi="ar-SA"/>
        </w:rPr>
      </w:pPr>
      <w:hyperlink w:anchor="_Toc496530528" w:history="1">
        <w:r>
          <w:rPr>
            <w:rStyle w:val="Hyperlink"/>
            <w:noProof/>
          </w:rPr>
          <w:t>5.3.4</w:t>
        </w:r>
        <w:r>
          <w:rPr>
            <w:rFonts w:asciiTheme="minorHAnsi" w:eastAsiaTheme="minorEastAsia" w:hAnsiTheme="minorHAnsi" w:cstheme="minorBidi"/>
            <w:i w:val="0"/>
            <w:iCs w:val="0"/>
            <w:noProof/>
            <w:sz w:val="22"/>
            <w:szCs w:val="22"/>
            <w:lang w:val="en-GB" w:eastAsia="en-GB" w:bidi="ar-SA"/>
          </w:rPr>
          <w:tab/>
        </w:r>
        <w:r>
          <w:rPr>
            <w:rStyle w:val="Hyperlink"/>
            <w:noProof/>
          </w:rPr>
          <w:t xml:space="preserve"> Съчетано въздействие върху ПБ за 2018 г.</w:t>
        </w:r>
        <w:r>
          <w:rPr>
            <w:noProof/>
            <w:webHidden/>
          </w:rPr>
          <w:tab/>
        </w:r>
        <w:r>
          <w:rPr>
            <w:noProof/>
            <w:webHidden/>
          </w:rPr>
          <w:fldChar w:fldCharType="begin"/>
        </w:r>
        <w:r>
          <w:rPr>
            <w:noProof/>
            <w:webHidden/>
          </w:rPr>
          <w:instrText xml:space="preserve"> PAGEREF _Toc496530528 \h </w:instrText>
        </w:r>
        <w:r>
          <w:rPr>
            <w:noProof/>
            <w:webHidden/>
          </w:rPr>
        </w:r>
        <w:r>
          <w:rPr>
            <w:noProof/>
            <w:webHidden/>
          </w:rPr>
          <w:fldChar w:fldCharType="separate"/>
        </w:r>
        <w:r>
          <w:rPr>
            <w:noProof/>
            <w:webHidden/>
          </w:rPr>
          <w:t>14</w:t>
        </w:r>
        <w:r>
          <w:rPr>
            <w:noProof/>
            <w:webHidden/>
          </w:rPr>
          <w:fldChar w:fldCharType="end"/>
        </w:r>
      </w:hyperlink>
    </w:p>
    <w:p>
      <w:pPr>
        <w:pStyle w:val="TOC1"/>
        <w:tabs>
          <w:tab w:val="left" w:pos="709"/>
          <w:tab w:val="right" w:leader="dot" w:pos="9061"/>
        </w:tabs>
        <w:rPr>
          <w:rFonts w:asciiTheme="minorHAnsi" w:eastAsiaTheme="minorEastAsia" w:hAnsiTheme="minorHAnsi" w:cstheme="minorBidi"/>
          <w:b w:val="0"/>
          <w:bCs w:val="0"/>
          <w:caps w:val="0"/>
          <w:noProof/>
          <w:sz w:val="22"/>
          <w:szCs w:val="22"/>
          <w:lang w:val="en-GB" w:eastAsia="en-GB" w:bidi="ar-SA"/>
        </w:rPr>
      </w:pPr>
      <w:hyperlink w:anchor="_Toc496530529" w:history="1">
        <w:r>
          <w:rPr>
            <w:rStyle w:val="Hyperlink"/>
            <w:noProof/>
          </w:rPr>
          <w:t>6.</w:t>
        </w:r>
        <w:r>
          <w:rPr>
            <w:rFonts w:asciiTheme="minorHAnsi" w:eastAsiaTheme="minorEastAsia" w:hAnsiTheme="minorHAnsi" w:cstheme="minorBidi"/>
            <w:b w:val="0"/>
            <w:bCs w:val="0"/>
            <w:caps w:val="0"/>
            <w:noProof/>
            <w:sz w:val="22"/>
            <w:szCs w:val="22"/>
            <w:lang w:val="en-GB" w:eastAsia="en-GB" w:bidi="ar-SA"/>
          </w:rPr>
          <w:tab/>
        </w:r>
        <w:r>
          <w:rPr>
            <w:rStyle w:val="Hyperlink"/>
            <w:noProof/>
          </w:rPr>
          <w:t>Обобщаваща таблица по функции от МФР</w:t>
        </w:r>
        <w:r>
          <w:rPr>
            <w:noProof/>
            <w:webHidden/>
          </w:rPr>
          <w:tab/>
        </w:r>
        <w:r>
          <w:rPr>
            <w:noProof/>
            <w:webHidden/>
          </w:rPr>
          <w:fldChar w:fldCharType="begin"/>
        </w:r>
        <w:r>
          <w:rPr>
            <w:noProof/>
            <w:webHidden/>
          </w:rPr>
          <w:instrText xml:space="preserve"> PAGEREF _Toc496530529 \h </w:instrText>
        </w:r>
        <w:r>
          <w:rPr>
            <w:noProof/>
            <w:webHidden/>
          </w:rPr>
        </w:r>
        <w:r>
          <w:rPr>
            <w:noProof/>
            <w:webHidden/>
          </w:rPr>
          <w:fldChar w:fldCharType="separate"/>
        </w:r>
        <w:r>
          <w:rPr>
            <w:noProof/>
            <w:webHidden/>
          </w:rPr>
          <w:t>15</w:t>
        </w:r>
        <w:r>
          <w:rPr>
            <w:noProof/>
            <w:webHidden/>
          </w:rPr>
          <w:fldChar w:fldCharType="end"/>
        </w:r>
      </w:hyperlink>
    </w:p>
    <w:p>
      <w:pPr>
        <w:rPr>
          <w:rFonts w:asciiTheme="minorHAnsi" w:eastAsiaTheme="minorEastAsia" w:hAnsiTheme="minorHAnsi" w:cstheme="minorBidi"/>
          <w:noProof/>
          <w:sz w:val="22"/>
          <w:szCs w:val="22"/>
        </w:rPr>
        <w:sectPr>
          <w:headerReference w:type="even" r:id="rId23"/>
          <w:headerReference w:type="default" r:id="rId24"/>
          <w:footerReference w:type="even" r:id="rId25"/>
          <w:footerReference w:type="default" r:id="rId26"/>
          <w:headerReference w:type="first" r:id="rId27"/>
          <w:footerReference w:type="first" r:id="rId28"/>
          <w:pgSz w:w="11907" w:h="16839"/>
          <w:pgMar w:top="826" w:right="1418" w:bottom="1418" w:left="1418" w:header="284" w:footer="709" w:gutter="0"/>
          <w:cols w:space="720"/>
        </w:sectPr>
      </w:pPr>
      <w:r>
        <w:rPr>
          <w:noProof/>
        </w:rPr>
        <w:fldChar w:fldCharType="end"/>
      </w:r>
    </w:p>
    <w:p>
      <w:pPr>
        <w:pStyle w:val="ManualHeading1"/>
        <w:spacing w:before="240"/>
        <w:ind w:left="0" w:firstLine="0"/>
        <w:rPr>
          <w:noProof/>
        </w:rPr>
      </w:pPr>
      <w:bookmarkStart w:id="8" w:name="_Toc462410042"/>
      <w:bookmarkStart w:id="9" w:name="_Toc495584125"/>
      <w:bookmarkStart w:id="10" w:name="_Toc496530511"/>
      <w:bookmarkStart w:id="11" w:name="_Toc385506031"/>
      <w:bookmarkStart w:id="12" w:name="_Toc430865946"/>
      <w:bookmarkStart w:id="13" w:name="_Toc430867524"/>
      <w:bookmarkStart w:id="14" w:name="_Toc463264162"/>
      <w:bookmarkStart w:id="15" w:name="_Toc351469332"/>
      <w:bookmarkStart w:id="16" w:name="_Toc361649879"/>
      <w:r>
        <w:rPr>
          <w:noProof/>
        </w:rPr>
        <w:t>1.</w:t>
      </w:r>
      <w:r>
        <w:rPr>
          <w:noProof/>
        </w:rPr>
        <w:tab/>
        <w:t>Въведение</w:t>
      </w:r>
      <w:bookmarkEnd w:id="8"/>
      <w:bookmarkEnd w:id="9"/>
      <w:bookmarkEnd w:id="10"/>
    </w:p>
    <w:bookmarkEnd w:id="2"/>
    <w:bookmarkEnd w:id="3"/>
    <w:bookmarkEnd w:id="4"/>
    <w:bookmarkEnd w:id="5"/>
    <w:bookmarkEnd w:id="6"/>
    <w:bookmarkEnd w:id="7"/>
    <w:bookmarkEnd w:id="11"/>
    <w:bookmarkEnd w:id="12"/>
    <w:bookmarkEnd w:id="13"/>
    <w:bookmarkEnd w:id="14"/>
    <w:bookmarkEnd w:id="15"/>
    <w:bookmarkEnd w:id="16"/>
    <w:p>
      <w:pPr>
        <w:spacing w:before="120" w:after="120"/>
        <w:jc w:val="both"/>
        <w:rPr>
          <w:noProof/>
          <w:szCs w:val="20"/>
        </w:rPr>
      </w:pPr>
      <w:r>
        <w:rPr>
          <w:noProof/>
        </w:rPr>
        <w:t>Настоящото Писмо за внасяне на корекции № 1 в проекта на общ бюджет на Европейския съюз за 2018 финансова година (ПВК № 1/2018) се отнася до следното:</w:t>
      </w:r>
    </w:p>
    <w:p>
      <w:pPr>
        <w:numPr>
          <w:ilvl w:val="0"/>
          <w:numId w:val="10"/>
        </w:numPr>
        <w:spacing w:before="120" w:after="120"/>
        <w:jc w:val="both"/>
        <w:rPr>
          <w:noProof/>
          <w:szCs w:val="20"/>
        </w:rPr>
      </w:pPr>
      <w:r>
        <w:rPr>
          <w:noProof/>
        </w:rPr>
        <w:t>Актуализирането на прогнозните нужди, целевите приходи и бюджетните кредити за селскостопански разходи. В допълнение към променящите се пазарни фактори ПВК № 1/2018 включва също така отражението на решенията в селскостопанския сектор след представянето на ПБ за 2018 г. през месец май 2017 г., както и други предложения, за които се очаква, че ще окажат значително влияние през бюджетната година. Като цяло въздействието върху Европейския фонд за гарантиране на земеделието (ЕФГЗ) е относително ограничено, като бюджетните кредити за поети задължения и бюджетните кредити за плащания намаляват с 53,9 млн. евро.</w:t>
      </w:r>
    </w:p>
    <w:p>
      <w:pPr>
        <w:numPr>
          <w:ilvl w:val="0"/>
          <w:numId w:val="10"/>
        </w:numPr>
        <w:spacing w:before="120" w:after="120"/>
        <w:jc w:val="both"/>
        <w:rPr>
          <w:noProof/>
        </w:rPr>
      </w:pPr>
      <w:r>
        <w:rPr>
          <w:noProof/>
        </w:rPr>
        <w:t>Намаляването на бюджетните кредити, включени в резерва за фонд „Солидарност“ на Европейския съюз (ФСЕС), с цел да се вземе предвид плащането, гласувано неотдавна от Европейския парламент и Съвета в решението относно мобилизирането на средства от ФСЕС за Италия във връзка с поредицата земетресения между август 2016 г. и януари 2017 г. в областите Абруцо, Лацио, Марке и Умбрия.</w:t>
      </w:r>
    </w:p>
    <w:p>
      <w:pPr>
        <w:numPr>
          <w:ilvl w:val="0"/>
          <w:numId w:val="10"/>
        </w:numPr>
        <w:spacing w:before="120" w:after="120"/>
        <w:jc w:val="both"/>
        <w:rPr>
          <w:noProof/>
        </w:rPr>
      </w:pPr>
      <w:r>
        <w:rPr>
          <w:noProof/>
        </w:rPr>
        <w:t xml:space="preserve">Актуализирането на равнищата на бюджетните кредити и щатните разписания на Европейския орган за ценни книжа и пазари (ЕSMA) след последното предложение, внесено от Комисията. </w:t>
      </w:r>
    </w:p>
    <w:p>
      <w:pPr>
        <w:numPr>
          <w:ilvl w:val="0"/>
          <w:numId w:val="10"/>
        </w:numPr>
        <w:spacing w:before="120" w:after="120"/>
        <w:jc w:val="both"/>
        <w:rPr>
          <w:noProof/>
          <w:szCs w:val="20"/>
        </w:rPr>
      </w:pPr>
      <w:r>
        <w:rPr>
          <w:noProof/>
        </w:rPr>
        <w:t>Коригирането на щатното разписание на Европейската фондация за подобряване на условията на живот и труд (EUROFOUND).</w:t>
      </w:r>
    </w:p>
    <w:p>
      <w:pPr>
        <w:numPr>
          <w:ilvl w:val="0"/>
          <w:numId w:val="10"/>
        </w:numPr>
        <w:spacing w:before="120" w:after="120"/>
        <w:jc w:val="both"/>
        <w:rPr>
          <w:noProof/>
          <w:szCs w:val="20"/>
        </w:rPr>
      </w:pPr>
      <w:r>
        <w:rPr>
          <w:noProof/>
        </w:rPr>
        <w:t>Създаването на бюджетната структура за оперативните разходи, които Изпълнителната агенция за образование, аудиовизия и култура (EACEA) ще извърши в хода на прилагането на предложения Европейски корпус за солидарност.</w:t>
      </w:r>
    </w:p>
    <w:p>
      <w:pPr>
        <w:numPr>
          <w:ilvl w:val="0"/>
          <w:numId w:val="10"/>
        </w:numPr>
        <w:spacing w:before="120" w:after="120"/>
        <w:jc w:val="both"/>
        <w:rPr>
          <w:noProof/>
          <w:szCs w:val="20"/>
        </w:rPr>
      </w:pPr>
      <w:r>
        <w:rPr>
          <w:noProof/>
        </w:rPr>
        <w:t>Коригирането на някои административни разходи.</w:t>
      </w:r>
    </w:p>
    <w:p>
      <w:pPr>
        <w:pStyle w:val="ManualHeading1"/>
        <w:spacing w:before="240"/>
        <w:ind w:left="0" w:firstLine="0"/>
        <w:rPr>
          <w:noProof/>
        </w:rPr>
      </w:pPr>
      <w:bookmarkStart w:id="17" w:name="_Toc463264163"/>
      <w:bookmarkStart w:id="18" w:name="_Toc495584126"/>
      <w:bookmarkStart w:id="19" w:name="_Toc496530512"/>
      <w:r>
        <w:rPr>
          <w:noProof/>
        </w:rPr>
        <w:t>2.</w:t>
      </w:r>
      <w:r>
        <w:rPr>
          <w:noProof/>
        </w:rPr>
        <w:tab/>
      </w:r>
      <w:bookmarkEnd w:id="17"/>
      <w:r>
        <w:rPr>
          <w:noProof/>
        </w:rPr>
        <w:t>Европейски фонд за гарантиране на земеделието (ЕФГЗ)</w:t>
      </w:r>
      <w:bookmarkEnd w:id="18"/>
      <w:bookmarkEnd w:id="19"/>
    </w:p>
    <w:p>
      <w:pPr>
        <w:autoSpaceDE w:val="0"/>
        <w:autoSpaceDN w:val="0"/>
        <w:adjustRightInd w:val="0"/>
        <w:spacing w:before="120" w:after="120"/>
        <w:jc w:val="both"/>
        <w:rPr>
          <w:noProof/>
          <w:highlight w:val="yellow"/>
        </w:rPr>
      </w:pPr>
      <w:bookmarkStart w:id="20" w:name="_Toc462933829"/>
      <w:bookmarkStart w:id="21" w:name="_Toc462935190"/>
      <w:bookmarkStart w:id="22" w:name="_Toc462935292"/>
      <w:bookmarkStart w:id="23" w:name="_Toc462935340"/>
      <w:bookmarkStart w:id="24" w:name="_Toc462935497"/>
      <w:bookmarkStart w:id="25" w:name="_Toc463004731"/>
      <w:bookmarkStart w:id="26" w:name="_Toc463264164"/>
      <w:bookmarkStart w:id="27" w:name="_Toc463376628"/>
      <w:bookmarkStart w:id="28" w:name="_Toc463438680"/>
      <w:bookmarkStart w:id="29" w:name="_Toc463438848"/>
      <w:bookmarkStart w:id="30" w:name="_Toc463462765"/>
      <w:bookmarkStart w:id="31" w:name="_Toc463974150"/>
      <w:bookmarkStart w:id="32" w:name="_Toc464028191"/>
      <w:bookmarkStart w:id="33" w:name="_Toc462933830"/>
      <w:bookmarkStart w:id="34" w:name="_Toc462935191"/>
      <w:bookmarkStart w:id="35" w:name="_Toc462935293"/>
      <w:bookmarkStart w:id="36" w:name="_Toc462935341"/>
      <w:bookmarkStart w:id="37" w:name="_Toc462935498"/>
      <w:bookmarkStart w:id="38" w:name="_Toc463004732"/>
      <w:bookmarkStart w:id="39" w:name="_Toc463264165"/>
      <w:bookmarkStart w:id="40" w:name="_Toc463376629"/>
      <w:bookmarkStart w:id="41" w:name="_Toc463438681"/>
      <w:bookmarkStart w:id="42" w:name="_Toc463438849"/>
      <w:bookmarkStart w:id="43" w:name="_Toc463462766"/>
      <w:bookmarkStart w:id="44" w:name="_Toc463974151"/>
      <w:bookmarkStart w:id="45" w:name="_Toc464028192"/>
      <w:bookmarkStart w:id="46" w:name="_Toc464028333"/>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Pr>
          <w:noProof/>
        </w:rPr>
        <w:t>Комисията предлага да бъдат актуализирани прогнозните разходи за селско стопанство с +53,9 млн. евро спрямо ПБ за 2018 г. В ПВК № 1/2018 се предлага размерът на бюджетните кредити за селскостопански разходи, финансирани по линия на Европейския фонд за гарантиране на земеделието (ЕФГЗ), да бъде определен на 43 464,4 млн. евро, което е под наличното нетно салдо за разходване по линия на ЕФГЗ за 2018 г. („нетния подтаван“) в размер на 44 162,4 млн. евро</w:t>
      </w:r>
      <w:r>
        <w:rPr>
          <w:noProof/>
          <w:vertAlign w:val="superscript"/>
        </w:rPr>
        <w:footnoteReference w:id="4"/>
      </w:r>
      <w:r>
        <w:rPr>
          <w:noProof/>
        </w:rPr>
        <w:t>. Въпреки нетното увеличение на нуждите на ЕФГЗ със 188,1 млн. евро, бюджетните кредити за ЕФГЗ може да бъдат намалени спрямо ПБ за 2018 г., тъй като това увеличение е повече от компенсирано от допълнителните целеви приходи, предназначени за ЕФГЗ (+242,0 млн. евро).</w:t>
      </w:r>
    </w:p>
    <w:p>
      <w:pPr>
        <w:spacing w:before="120" w:after="120"/>
        <w:jc w:val="both"/>
        <w:rPr>
          <w:noProof/>
        </w:rPr>
      </w:pPr>
      <w:bookmarkStart w:id="47" w:name="_Toc431134644"/>
      <w:r>
        <w:rPr>
          <w:noProof/>
        </w:rPr>
        <w:t>Поради това общият размер на бюджетните кредити за поети задължения, поискани за функция 2 в ПБ за 2018 г., включително с ПВК № 1/2018, се оценява на 59 499,6 млн. евро. Това оставя марж от 767,4 млн. евро бюджетни кредити за поети задължения под съответния таван от МФР. Бюджетните кредити за плащания за функция 2 възлизат на 56 305,9 евро след намаляването им със същата сума (-53,9 млн. евро) като бюджетните кредити за поети задължения спрямо ПБ за 2018 г.</w:t>
      </w:r>
    </w:p>
    <w:p>
      <w:pPr>
        <w:keepNext/>
        <w:tabs>
          <w:tab w:val="left" w:pos="850"/>
        </w:tabs>
        <w:spacing w:before="360" w:after="120"/>
        <w:ind w:left="357" w:hanging="357"/>
        <w:jc w:val="both"/>
        <w:outlineLvl w:val="1"/>
        <w:rPr>
          <w:rFonts w:eastAsia="Calibri"/>
          <w:b/>
          <w:noProof/>
        </w:rPr>
      </w:pPr>
      <w:bookmarkStart w:id="48" w:name="_Toc495584127"/>
      <w:bookmarkStart w:id="49" w:name="_Toc496530513"/>
      <w:bookmarkStart w:id="50" w:name="_Toc432063524"/>
      <w:bookmarkStart w:id="51" w:name="_Toc463264167"/>
      <w:r>
        <w:rPr>
          <w:b/>
          <w:noProof/>
        </w:rPr>
        <w:t xml:space="preserve">2.1 </w:t>
      </w:r>
      <w:r>
        <w:rPr>
          <w:noProof/>
        </w:rPr>
        <w:tab/>
      </w:r>
      <w:r>
        <w:rPr>
          <w:b/>
          <w:noProof/>
        </w:rPr>
        <w:t>Преглед</w:t>
      </w:r>
      <w:bookmarkEnd w:id="48"/>
      <w:bookmarkEnd w:id="49"/>
    </w:p>
    <w:bookmarkEnd w:id="47"/>
    <w:bookmarkEnd w:id="50"/>
    <w:bookmarkEnd w:id="51"/>
    <w:p>
      <w:pPr>
        <w:autoSpaceDE w:val="0"/>
        <w:autoSpaceDN w:val="0"/>
        <w:adjustRightInd w:val="0"/>
        <w:spacing w:before="120" w:after="120"/>
        <w:jc w:val="both"/>
        <w:rPr>
          <w:noProof/>
        </w:rPr>
      </w:pPr>
      <w:r>
        <w:rPr>
          <w:noProof/>
        </w:rPr>
        <w:t xml:space="preserve">С ПВК № 1/2018 се цели актуализиране на прогнозите за селскостопанските разходи въз основа на най-актуалните икономически данни и законодателна рамка. Към края на месец септември 2017 г. Комисията разполага с първите данни за нивото на производството за 2017 г. и за перспективите пред селскостопанските пазари, които са основата за актуализираните прогнози за бюджетните нужди за 2018 г. </w:t>
      </w:r>
    </w:p>
    <w:p>
      <w:pPr>
        <w:autoSpaceDE w:val="0"/>
        <w:autoSpaceDN w:val="0"/>
        <w:adjustRightInd w:val="0"/>
        <w:spacing w:before="120" w:after="120"/>
        <w:jc w:val="both"/>
        <w:rPr>
          <w:noProof/>
        </w:rPr>
      </w:pPr>
      <w:r>
        <w:rPr>
          <w:noProof/>
        </w:rPr>
        <w:t xml:space="preserve">Освен че се отчитат пазарните фактори, в настоящото ПВК № 1/2018 е включено също така отражението на законодателните решения в селскостопанския сектор, приети след изготвянето на ПБ за 2018 г. през месец май 2017 г., както и на някои законодателни решения, които са в процес на подготовка, но приемането им предстои скоро. </w:t>
      </w:r>
    </w:p>
    <w:p>
      <w:pPr>
        <w:autoSpaceDE w:val="0"/>
        <w:autoSpaceDN w:val="0"/>
        <w:adjustRightInd w:val="0"/>
        <w:spacing w:before="120" w:after="120"/>
        <w:jc w:val="both"/>
        <w:rPr>
          <w:noProof/>
        </w:rPr>
      </w:pPr>
      <w:r>
        <w:rPr>
          <w:noProof/>
        </w:rPr>
        <w:t xml:space="preserve">Като цяло </w:t>
      </w:r>
      <w:r>
        <w:rPr>
          <w:b/>
          <w:noProof/>
        </w:rPr>
        <w:t>нуждите за ЕФГЗ за 2018 г.</w:t>
      </w:r>
      <w:r>
        <w:rPr>
          <w:noProof/>
        </w:rPr>
        <w:t xml:space="preserve"> (след като бъдат взети предвид разпоредбите на ЕФГЗ по отношение на „финансовата дисциплина“)</w:t>
      </w:r>
      <w:r>
        <w:rPr>
          <w:b/>
          <w:noProof/>
        </w:rPr>
        <w:t xml:space="preserve"> </w:t>
      </w:r>
      <w:r>
        <w:rPr>
          <w:noProof/>
        </w:rPr>
        <w:t>понастоящем се определят на 44 710,4 млн. евро</w:t>
      </w:r>
      <w:r>
        <w:rPr>
          <w:noProof/>
          <w:vertAlign w:val="superscript"/>
        </w:rPr>
        <w:footnoteReference w:id="5"/>
      </w:r>
      <w:r>
        <w:rPr>
          <w:noProof/>
        </w:rPr>
        <w:t>, което представлява увеличение със 188,1 млн. евро спрямо ПБ за 2018 г. Това увеличение се дължи главно на допълнителните разходи за мерките за извънредно подпомагане в сектора на плодовете и зеленчуците и секторите на свинското месо и птичето месо, както и за плащанията на лихви, свързани с решение на Съда относно предишните налози върху производството в сектора на захарта. Освен това има някои малки промени в основните пазарни мерки и в разходите, свързани с решенията за счетоводно уравняване и решенията за уравняване по съответствие по глава 05 07 (</w:t>
      </w:r>
      <w:r>
        <w:rPr>
          <w:i/>
          <w:noProof/>
        </w:rPr>
        <w:t>Одит на разходите за земеделие, финансирани от Европейския фонд за гарантиране на земеделието (ЕФГЗ)</w:t>
      </w:r>
      <w:r>
        <w:rPr>
          <w:noProof/>
        </w:rPr>
        <w:t>), които също са включени в ПВК № 1/2018. Нуждите по глава 05 03 (</w:t>
      </w:r>
      <w:r>
        <w:rPr>
          <w:i/>
          <w:noProof/>
        </w:rPr>
        <w:t>Директни плащания, предназначени за подпомагане на доходите на земеделските стопанства и ограничаване на тяхната променливост, както и за изпълнение на целите, свързани с околната среда и климата</w:t>
      </w:r>
      <w:r>
        <w:rPr>
          <w:noProof/>
        </w:rPr>
        <w:t>) остават почти непроменени спрямо ПБ за 2018 г.</w:t>
      </w:r>
    </w:p>
    <w:p>
      <w:pPr>
        <w:spacing w:before="120" w:after="120"/>
        <w:jc w:val="both"/>
        <w:rPr>
          <w:noProof/>
        </w:rPr>
      </w:pPr>
      <w:r>
        <w:rPr>
          <w:noProof/>
        </w:rPr>
        <w:t xml:space="preserve">По отношение на </w:t>
      </w:r>
      <w:r>
        <w:rPr>
          <w:b/>
          <w:noProof/>
        </w:rPr>
        <w:t>целевите приходи</w:t>
      </w:r>
      <w:r>
        <w:rPr>
          <w:noProof/>
        </w:rPr>
        <w:t xml:space="preserve"> сумата, която се очаква да бъде налична през 2018 г., нараства от 1 004 млн. евро в ПБ за 2018 г. на 1 246 млн. евро (+242 млн. евро), с което напълно се компенсират допълнителните нужди. Актуализирането на прогнозите е свързано със суми, произтичащи от решения за уравняване на сметки (+104,9 млн. евро) и нередности (-13 млн. евро). Освен това ПВК № 1/2018 включва очаквано пренасяне на целеви приходи от 2017 г. към 2018 г. в размер на 400,1 млн. евро (очакван „излишък“ по ЕФГЗ)</w:t>
      </w:r>
      <w:r>
        <w:rPr>
          <w:noProof/>
          <w:vertAlign w:val="superscript"/>
        </w:rPr>
        <w:footnoteReference w:id="6"/>
      </w:r>
      <w:r>
        <w:rPr>
          <w:noProof/>
        </w:rPr>
        <w:t>, 250 млн. евро от които вече са включени в ПБ за 2018 г. Прогнозният излишък не включва неусвоените бюджетни кредити (450,5 млн. евро) за резерва за кризи в селскостопанския сектор за 2017 г., който няма да бъде използван. Въпросните неусвоени бюджетни кредити ще бъдат пренесени за възстановявания на средства на земеделски стопани, които са обект на механизма за финансова дисциплина през 2018 г.</w:t>
      </w:r>
    </w:p>
    <w:p>
      <w:pPr>
        <w:autoSpaceDE w:val="0"/>
        <w:autoSpaceDN w:val="0"/>
        <w:adjustRightInd w:val="0"/>
        <w:spacing w:before="120" w:after="120"/>
        <w:jc w:val="both"/>
        <w:rPr>
          <w:noProof/>
        </w:rPr>
      </w:pPr>
      <w:r>
        <w:rPr>
          <w:noProof/>
        </w:rPr>
        <w:t xml:space="preserve">В резултат на тези актуализации, за да бъдат покрити нуждите по ЕФГЗ за 2018 г., са необходими бюджетни кредити за поети задължения в размер на 43 464,4 млн. евро, в това число 459,5 млн. евро за </w:t>
      </w:r>
      <w:r>
        <w:rPr>
          <w:i/>
          <w:noProof/>
        </w:rPr>
        <w:t>резерва за кризи в селскостопанския сектор</w:t>
      </w:r>
      <w:r>
        <w:rPr>
          <w:noProof/>
        </w:rPr>
        <w:t>. Тази обща сума е под нетния подтаван за ЕФГЗ от 44 162,4 млн. евро. Това означава, че механизмът за финансова дисциплина ще се прилага само за да се установи резервът за кризи в селскостопанския сектор за бюджетната 2018 г.</w:t>
      </w:r>
      <w:r>
        <w:rPr>
          <w:noProof/>
          <w:vertAlign w:val="superscript"/>
        </w:rPr>
        <w:footnoteReference w:id="7"/>
      </w:r>
    </w:p>
    <w:p>
      <w:pPr>
        <w:keepNext/>
        <w:tabs>
          <w:tab w:val="left" w:pos="850"/>
        </w:tabs>
        <w:spacing w:before="360" w:after="120"/>
        <w:ind w:left="357" w:hanging="357"/>
        <w:jc w:val="both"/>
        <w:outlineLvl w:val="1"/>
        <w:rPr>
          <w:rFonts w:eastAsia="Calibri"/>
          <w:b/>
          <w:noProof/>
        </w:rPr>
      </w:pPr>
      <w:bookmarkStart w:id="52" w:name="_Toc495584128"/>
      <w:bookmarkStart w:id="53" w:name="_Toc496530514"/>
      <w:r>
        <w:rPr>
          <w:b/>
          <w:noProof/>
        </w:rPr>
        <w:t xml:space="preserve">2.2 </w:t>
      </w:r>
      <w:r>
        <w:rPr>
          <w:noProof/>
        </w:rPr>
        <w:tab/>
      </w:r>
      <w:r>
        <w:rPr>
          <w:b/>
          <w:noProof/>
        </w:rPr>
        <w:t>Подробни бележки</w:t>
      </w:r>
      <w:bookmarkEnd w:id="52"/>
      <w:bookmarkEnd w:id="53"/>
    </w:p>
    <w:p>
      <w:pPr>
        <w:keepNext/>
        <w:spacing w:before="120" w:after="120"/>
        <w:jc w:val="both"/>
        <w:rPr>
          <w:b/>
          <w:i/>
          <w:noProof/>
        </w:rPr>
      </w:pPr>
      <w:r>
        <w:rPr>
          <w:b/>
          <w:noProof/>
        </w:rPr>
        <w:t>05 02 </w:t>
      </w:r>
      <w:r>
        <w:rPr>
          <w:noProof/>
        </w:rPr>
        <w:sym w:font="Symbol" w:char="F0BE"/>
      </w:r>
      <w:r>
        <w:rPr>
          <w:b/>
          <w:noProof/>
        </w:rPr>
        <w:t> Повишаване на конкурентоспособността на селскостопанския сектор чрез интервенции на селскостопанските пазари (</w:t>
      </w:r>
      <w:r>
        <w:rPr>
          <w:b/>
          <w:i/>
          <w:noProof/>
        </w:rPr>
        <w:t>бюджетни кредити +81,8 млн. евро</w:t>
      </w:r>
      <w:r>
        <w:rPr>
          <w:b/>
          <w:noProof/>
        </w:rPr>
        <w:t>)</w:t>
      </w:r>
    </w:p>
    <w:tbl>
      <w:tblPr>
        <w:tblW w:w="9950" w:type="dxa"/>
        <w:tblLayout w:type="fixed"/>
        <w:tblCellMar>
          <w:left w:w="40" w:type="dxa"/>
          <w:right w:w="40" w:type="dxa"/>
        </w:tblCellMar>
        <w:tblLook w:val="0000" w:firstRow="0" w:lastRow="0" w:firstColumn="0" w:lastColumn="0" w:noHBand="0" w:noVBand="0"/>
      </w:tblPr>
      <w:tblGrid>
        <w:gridCol w:w="4009"/>
        <w:gridCol w:w="2092"/>
        <w:gridCol w:w="1725"/>
        <w:gridCol w:w="2124"/>
      </w:tblGrid>
      <w:tr>
        <w:trPr>
          <w:trHeight w:val="164"/>
          <w:tblHeader/>
        </w:trPr>
        <w:tc>
          <w:tcPr>
            <w:tcW w:w="9950" w:type="dxa"/>
            <w:gridSpan w:val="4"/>
            <w:tcBorders>
              <w:bottom w:val="single" w:sz="4" w:space="0" w:color="auto"/>
            </w:tcBorders>
            <w:shd w:val="clear" w:color="auto" w:fill="FFFFFF"/>
            <w:vAlign w:val="center"/>
          </w:tcPr>
          <w:p>
            <w:pPr>
              <w:keepNext/>
              <w:keepLines/>
              <w:jc w:val="right"/>
              <w:rPr>
                <w:noProof/>
                <w:sz w:val="16"/>
                <w:szCs w:val="16"/>
              </w:rPr>
            </w:pPr>
            <w:r>
              <w:rPr>
                <w:i/>
                <w:noProof/>
                <w:sz w:val="16"/>
              </w:rPr>
              <w:t>(в млн. евро, закръглени стойности по текущи цени)</w:t>
            </w:r>
          </w:p>
        </w:tc>
      </w:tr>
      <w:tr>
        <w:trPr>
          <w:trHeight w:val="164"/>
          <w:tblHeader/>
        </w:trPr>
        <w:tc>
          <w:tcPr>
            <w:tcW w:w="4009" w:type="dxa"/>
            <w:tcBorders>
              <w:top w:val="single" w:sz="4" w:space="0" w:color="auto"/>
              <w:left w:val="single" w:sz="4" w:space="0" w:color="auto"/>
              <w:right w:val="single" w:sz="4" w:space="0" w:color="auto"/>
            </w:tcBorders>
            <w:shd w:val="clear" w:color="auto" w:fill="E0E0E0"/>
            <w:vAlign w:val="center"/>
          </w:tcPr>
          <w:p>
            <w:pPr>
              <w:keepNext/>
              <w:keepLines/>
              <w:spacing w:before="30" w:after="30"/>
              <w:jc w:val="center"/>
              <w:rPr>
                <w:b/>
                <w:noProof/>
                <w:sz w:val="16"/>
                <w:szCs w:val="16"/>
              </w:rPr>
            </w:pPr>
            <w:r>
              <w:rPr>
                <w:b/>
                <w:noProof/>
                <w:sz w:val="16"/>
              </w:rPr>
              <w:t>Интервенции на селскостопанските пазари</w:t>
            </w:r>
          </w:p>
        </w:tc>
        <w:tc>
          <w:tcPr>
            <w:tcW w:w="2092" w:type="dxa"/>
            <w:tcBorders>
              <w:top w:val="single" w:sz="4" w:space="0" w:color="auto"/>
              <w:left w:val="single" w:sz="4" w:space="0" w:color="auto"/>
              <w:bottom w:val="single" w:sz="4" w:space="0" w:color="auto"/>
              <w:right w:val="single" w:sz="4" w:space="0" w:color="auto"/>
            </w:tcBorders>
            <w:shd w:val="clear" w:color="auto" w:fill="E0E0E0"/>
            <w:vAlign w:val="center"/>
          </w:tcPr>
          <w:p>
            <w:pPr>
              <w:keepNext/>
              <w:keepLines/>
              <w:spacing w:before="30" w:after="30"/>
              <w:jc w:val="center"/>
              <w:rPr>
                <w:b/>
                <w:noProof/>
                <w:sz w:val="16"/>
                <w:szCs w:val="16"/>
              </w:rPr>
            </w:pPr>
            <w:r>
              <w:rPr>
                <w:b/>
                <w:noProof/>
                <w:sz w:val="16"/>
              </w:rPr>
              <w:t>Проектобюджет за 2018 г.</w:t>
            </w:r>
          </w:p>
        </w:tc>
        <w:tc>
          <w:tcPr>
            <w:tcW w:w="1725" w:type="dxa"/>
            <w:tcBorders>
              <w:top w:val="single" w:sz="4" w:space="0" w:color="auto"/>
              <w:left w:val="nil"/>
              <w:bottom w:val="single" w:sz="4" w:space="0" w:color="auto"/>
              <w:right w:val="single" w:sz="4" w:space="0" w:color="auto"/>
            </w:tcBorders>
            <w:shd w:val="clear" w:color="auto" w:fill="E0E0E0"/>
            <w:vAlign w:val="center"/>
          </w:tcPr>
          <w:p>
            <w:pPr>
              <w:keepNext/>
              <w:keepLines/>
              <w:spacing w:before="30" w:after="30"/>
              <w:jc w:val="center"/>
              <w:rPr>
                <w:b/>
                <w:noProof/>
                <w:sz w:val="16"/>
                <w:szCs w:val="16"/>
              </w:rPr>
            </w:pPr>
            <w:r>
              <w:rPr>
                <w:b/>
                <w:noProof/>
                <w:sz w:val="16"/>
              </w:rPr>
              <w:t>Писмо за внасяне на корекции</w:t>
            </w:r>
            <w:r>
              <w:rPr>
                <w:b/>
                <w:noProof/>
                <w:sz w:val="16"/>
                <w:szCs w:val="16"/>
              </w:rPr>
              <w:br/>
            </w:r>
            <w:r>
              <w:rPr>
                <w:b/>
                <w:noProof/>
                <w:sz w:val="16"/>
              </w:rPr>
              <w:t xml:space="preserve"> № 1/2018</w:t>
            </w:r>
          </w:p>
        </w:tc>
        <w:tc>
          <w:tcPr>
            <w:tcW w:w="2124" w:type="dxa"/>
            <w:tcBorders>
              <w:top w:val="single" w:sz="4" w:space="0" w:color="auto"/>
              <w:left w:val="nil"/>
              <w:bottom w:val="single" w:sz="4" w:space="0" w:color="auto"/>
              <w:right w:val="single" w:sz="4" w:space="0" w:color="auto"/>
            </w:tcBorders>
            <w:shd w:val="clear" w:color="auto" w:fill="E0E0E0"/>
            <w:vAlign w:val="center"/>
          </w:tcPr>
          <w:p>
            <w:pPr>
              <w:keepNext/>
              <w:keepLines/>
              <w:spacing w:before="30" w:after="30"/>
              <w:jc w:val="center"/>
              <w:rPr>
                <w:b/>
                <w:noProof/>
                <w:sz w:val="16"/>
                <w:szCs w:val="16"/>
              </w:rPr>
            </w:pPr>
            <w:r>
              <w:rPr>
                <w:b/>
                <w:noProof/>
                <w:sz w:val="16"/>
              </w:rPr>
              <w:t xml:space="preserve">Проектобюджет за 2018 г. </w:t>
            </w:r>
            <w:r>
              <w:rPr>
                <w:b/>
                <w:noProof/>
                <w:sz w:val="16"/>
                <w:szCs w:val="16"/>
              </w:rPr>
              <w:br/>
            </w:r>
            <w:r>
              <w:rPr>
                <w:b/>
                <w:noProof/>
                <w:sz w:val="16"/>
              </w:rPr>
              <w:t>(вкл. ПВК № 1/2018)</w:t>
            </w:r>
          </w:p>
        </w:tc>
      </w:tr>
      <w:tr>
        <w:trPr>
          <w:trHeight w:val="220"/>
        </w:trPr>
        <w:tc>
          <w:tcPr>
            <w:tcW w:w="4009" w:type="dxa"/>
            <w:tcBorders>
              <w:top w:val="single" w:sz="4" w:space="0" w:color="auto"/>
              <w:left w:val="single" w:sz="4" w:space="0" w:color="auto"/>
              <w:bottom w:val="dotted" w:sz="4" w:space="0" w:color="auto"/>
              <w:right w:val="single" w:sz="4" w:space="0" w:color="auto"/>
            </w:tcBorders>
            <w:vAlign w:val="center"/>
          </w:tcPr>
          <w:p>
            <w:pPr>
              <w:keepNext/>
              <w:keepLines/>
              <w:spacing w:before="30" w:after="30"/>
              <w:rPr>
                <w:noProof/>
                <w:sz w:val="16"/>
                <w:szCs w:val="16"/>
              </w:rPr>
            </w:pPr>
            <w:r>
              <w:rPr>
                <w:noProof/>
                <w:sz w:val="16"/>
              </w:rPr>
              <w:t>Нужди</w:t>
            </w:r>
          </w:p>
        </w:tc>
        <w:tc>
          <w:tcPr>
            <w:tcW w:w="2092" w:type="dxa"/>
            <w:tcBorders>
              <w:top w:val="single" w:sz="4" w:space="0" w:color="auto"/>
              <w:left w:val="single" w:sz="4" w:space="0" w:color="auto"/>
              <w:bottom w:val="dotted" w:sz="4" w:space="0" w:color="auto"/>
              <w:right w:val="single" w:sz="4" w:space="0" w:color="auto"/>
            </w:tcBorders>
            <w:vAlign w:val="center"/>
          </w:tcPr>
          <w:p>
            <w:pPr>
              <w:keepNext/>
              <w:keepLines/>
              <w:spacing w:before="30" w:after="30"/>
              <w:jc w:val="right"/>
              <w:rPr>
                <w:noProof/>
                <w:sz w:val="16"/>
                <w:szCs w:val="16"/>
              </w:rPr>
            </w:pPr>
            <w:r>
              <w:rPr>
                <w:noProof/>
                <w:sz w:val="16"/>
              </w:rPr>
              <w:t>2 676,3</w:t>
            </w:r>
          </w:p>
        </w:tc>
        <w:tc>
          <w:tcPr>
            <w:tcW w:w="1725" w:type="dxa"/>
            <w:tcBorders>
              <w:top w:val="single" w:sz="4" w:space="0" w:color="auto"/>
              <w:left w:val="nil"/>
              <w:bottom w:val="dotted" w:sz="4" w:space="0" w:color="auto"/>
              <w:right w:val="single" w:sz="4" w:space="0" w:color="auto"/>
            </w:tcBorders>
            <w:vAlign w:val="center"/>
          </w:tcPr>
          <w:p>
            <w:pPr>
              <w:keepNext/>
              <w:keepLines/>
              <w:spacing w:before="30" w:after="30"/>
              <w:jc w:val="right"/>
              <w:rPr>
                <w:noProof/>
                <w:sz w:val="16"/>
                <w:szCs w:val="16"/>
              </w:rPr>
            </w:pPr>
            <w:r>
              <w:rPr>
                <w:noProof/>
                <w:sz w:val="16"/>
              </w:rPr>
              <w:t>+81,8</w:t>
            </w:r>
          </w:p>
        </w:tc>
        <w:tc>
          <w:tcPr>
            <w:tcW w:w="2124" w:type="dxa"/>
            <w:tcBorders>
              <w:top w:val="single" w:sz="4" w:space="0" w:color="auto"/>
              <w:left w:val="nil"/>
              <w:bottom w:val="dotted" w:sz="4" w:space="0" w:color="auto"/>
              <w:right w:val="single" w:sz="4" w:space="0" w:color="auto"/>
            </w:tcBorders>
            <w:vAlign w:val="center"/>
          </w:tcPr>
          <w:p>
            <w:pPr>
              <w:keepNext/>
              <w:keepLines/>
              <w:spacing w:before="30" w:after="30"/>
              <w:jc w:val="right"/>
              <w:rPr>
                <w:noProof/>
                <w:sz w:val="16"/>
                <w:szCs w:val="16"/>
              </w:rPr>
            </w:pPr>
            <w:r>
              <w:rPr>
                <w:noProof/>
                <w:sz w:val="16"/>
              </w:rPr>
              <w:t>2 758,1</w:t>
            </w:r>
          </w:p>
        </w:tc>
      </w:tr>
      <w:tr>
        <w:trPr>
          <w:trHeight w:val="220"/>
        </w:trPr>
        <w:tc>
          <w:tcPr>
            <w:tcW w:w="4009" w:type="dxa"/>
            <w:tcBorders>
              <w:top w:val="dotted" w:sz="4" w:space="0" w:color="auto"/>
              <w:left w:val="single" w:sz="4" w:space="0" w:color="auto"/>
              <w:bottom w:val="single" w:sz="4" w:space="0" w:color="auto"/>
              <w:right w:val="single" w:sz="4" w:space="0" w:color="auto"/>
            </w:tcBorders>
            <w:vAlign w:val="center"/>
          </w:tcPr>
          <w:p>
            <w:pPr>
              <w:keepNext/>
              <w:keepLines/>
              <w:spacing w:before="30" w:after="30"/>
              <w:rPr>
                <w:noProof/>
                <w:sz w:val="16"/>
                <w:szCs w:val="16"/>
              </w:rPr>
            </w:pPr>
            <w:r>
              <w:rPr>
                <w:noProof/>
                <w:sz w:val="16"/>
              </w:rPr>
              <w:t>-Прогнозни целеви приходи, налични през 2017 г.</w:t>
            </w:r>
          </w:p>
        </w:tc>
        <w:tc>
          <w:tcPr>
            <w:tcW w:w="2092" w:type="dxa"/>
            <w:tcBorders>
              <w:top w:val="dotted" w:sz="4" w:space="0" w:color="auto"/>
              <w:left w:val="single" w:sz="4" w:space="0" w:color="auto"/>
              <w:bottom w:val="single" w:sz="4" w:space="0" w:color="auto"/>
              <w:right w:val="single" w:sz="4" w:space="0" w:color="auto"/>
            </w:tcBorders>
            <w:vAlign w:val="center"/>
          </w:tcPr>
          <w:p>
            <w:pPr>
              <w:keepNext/>
              <w:keepLines/>
              <w:spacing w:before="30" w:after="30"/>
              <w:jc w:val="right"/>
              <w:rPr>
                <w:noProof/>
                <w:sz w:val="16"/>
                <w:szCs w:val="16"/>
              </w:rPr>
            </w:pPr>
            <w:r>
              <w:rPr>
                <w:noProof/>
                <w:sz w:val="16"/>
              </w:rPr>
              <w:t>400,0</w:t>
            </w:r>
          </w:p>
        </w:tc>
        <w:tc>
          <w:tcPr>
            <w:tcW w:w="1725" w:type="dxa"/>
            <w:tcBorders>
              <w:top w:val="dotted" w:sz="4" w:space="0" w:color="auto"/>
              <w:left w:val="nil"/>
              <w:bottom w:val="single" w:sz="4" w:space="0" w:color="auto"/>
              <w:right w:val="single" w:sz="4" w:space="0" w:color="auto"/>
            </w:tcBorders>
            <w:vAlign w:val="center"/>
          </w:tcPr>
          <w:p>
            <w:pPr>
              <w:keepNext/>
              <w:keepLines/>
              <w:spacing w:before="30" w:after="30"/>
              <w:jc w:val="right"/>
              <w:rPr>
                <w:noProof/>
                <w:sz w:val="16"/>
                <w:szCs w:val="16"/>
              </w:rPr>
            </w:pPr>
            <w:r>
              <w:rPr>
                <w:noProof/>
                <w:sz w:val="16"/>
              </w:rPr>
              <w:t>+0,0</w:t>
            </w:r>
          </w:p>
        </w:tc>
        <w:tc>
          <w:tcPr>
            <w:tcW w:w="2124" w:type="dxa"/>
            <w:tcBorders>
              <w:top w:val="dotted" w:sz="4" w:space="0" w:color="auto"/>
              <w:left w:val="nil"/>
              <w:bottom w:val="single" w:sz="4" w:space="0" w:color="auto"/>
              <w:right w:val="single" w:sz="4" w:space="0" w:color="auto"/>
            </w:tcBorders>
            <w:vAlign w:val="center"/>
          </w:tcPr>
          <w:p>
            <w:pPr>
              <w:keepNext/>
              <w:keepLines/>
              <w:spacing w:before="30" w:after="30"/>
              <w:jc w:val="right"/>
              <w:rPr>
                <w:noProof/>
                <w:sz w:val="16"/>
                <w:szCs w:val="16"/>
              </w:rPr>
            </w:pPr>
            <w:r>
              <w:rPr>
                <w:noProof/>
                <w:sz w:val="16"/>
              </w:rPr>
              <w:t>400,0</w:t>
            </w:r>
          </w:p>
        </w:tc>
      </w:tr>
      <w:tr>
        <w:trPr>
          <w:trHeight w:val="220"/>
        </w:trPr>
        <w:tc>
          <w:tcPr>
            <w:tcW w:w="4009" w:type="dxa"/>
            <w:tcBorders>
              <w:top w:val="single" w:sz="4" w:space="0" w:color="auto"/>
              <w:left w:val="single" w:sz="4" w:space="0" w:color="auto"/>
              <w:bottom w:val="single" w:sz="4" w:space="0" w:color="auto"/>
              <w:right w:val="single" w:sz="4" w:space="0" w:color="auto"/>
            </w:tcBorders>
            <w:shd w:val="clear" w:color="auto" w:fill="D9D9D9"/>
            <w:vAlign w:val="center"/>
          </w:tcPr>
          <w:p>
            <w:pPr>
              <w:keepNext/>
              <w:keepLines/>
              <w:spacing w:before="30" w:after="30"/>
              <w:rPr>
                <w:b/>
                <w:noProof/>
                <w:sz w:val="16"/>
                <w:szCs w:val="16"/>
              </w:rPr>
            </w:pPr>
            <w:r>
              <w:rPr>
                <w:b/>
                <w:noProof/>
                <w:sz w:val="16"/>
              </w:rPr>
              <w:t>Поискани бюджетни кредити</w:t>
            </w:r>
          </w:p>
        </w:tc>
        <w:tc>
          <w:tcPr>
            <w:tcW w:w="2092" w:type="dxa"/>
            <w:tcBorders>
              <w:top w:val="single" w:sz="4" w:space="0" w:color="auto"/>
              <w:left w:val="single" w:sz="4" w:space="0" w:color="auto"/>
              <w:bottom w:val="single" w:sz="4" w:space="0" w:color="auto"/>
              <w:right w:val="single" w:sz="4" w:space="0" w:color="auto"/>
            </w:tcBorders>
            <w:shd w:val="clear" w:color="auto" w:fill="D9D9D9"/>
            <w:vAlign w:val="center"/>
          </w:tcPr>
          <w:p>
            <w:pPr>
              <w:keepNext/>
              <w:keepLines/>
              <w:spacing w:before="30" w:after="30"/>
              <w:jc w:val="right"/>
              <w:rPr>
                <w:b/>
                <w:noProof/>
                <w:sz w:val="16"/>
                <w:szCs w:val="16"/>
              </w:rPr>
            </w:pPr>
            <w:r>
              <w:rPr>
                <w:b/>
                <w:noProof/>
                <w:sz w:val="16"/>
              </w:rPr>
              <w:t>2 276,3</w:t>
            </w:r>
          </w:p>
        </w:tc>
        <w:tc>
          <w:tcPr>
            <w:tcW w:w="1725" w:type="dxa"/>
            <w:tcBorders>
              <w:top w:val="single" w:sz="4" w:space="0" w:color="auto"/>
              <w:left w:val="nil"/>
              <w:bottom w:val="single" w:sz="4" w:space="0" w:color="auto"/>
              <w:right w:val="single" w:sz="4" w:space="0" w:color="auto"/>
            </w:tcBorders>
            <w:shd w:val="clear" w:color="auto" w:fill="D9D9D9"/>
            <w:vAlign w:val="center"/>
          </w:tcPr>
          <w:p>
            <w:pPr>
              <w:keepNext/>
              <w:keepLines/>
              <w:spacing w:before="30" w:after="30"/>
              <w:jc w:val="right"/>
              <w:rPr>
                <w:b/>
                <w:noProof/>
                <w:sz w:val="16"/>
                <w:szCs w:val="16"/>
              </w:rPr>
            </w:pPr>
            <w:r>
              <w:rPr>
                <w:b/>
                <w:noProof/>
                <w:sz w:val="16"/>
              </w:rPr>
              <w:t>+81,8</w:t>
            </w:r>
          </w:p>
        </w:tc>
        <w:tc>
          <w:tcPr>
            <w:tcW w:w="2124" w:type="dxa"/>
            <w:tcBorders>
              <w:top w:val="single" w:sz="4" w:space="0" w:color="auto"/>
              <w:left w:val="nil"/>
              <w:bottom w:val="single" w:sz="4" w:space="0" w:color="auto"/>
              <w:right w:val="single" w:sz="4" w:space="0" w:color="auto"/>
            </w:tcBorders>
            <w:shd w:val="clear" w:color="auto" w:fill="D9D9D9"/>
            <w:vAlign w:val="center"/>
          </w:tcPr>
          <w:p>
            <w:pPr>
              <w:keepNext/>
              <w:keepLines/>
              <w:spacing w:before="30" w:after="30"/>
              <w:jc w:val="right"/>
              <w:rPr>
                <w:b/>
                <w:noProof/>
                <w:sz w:val="16"/>
                <w:szCs w:val="16"/>
              </w:rPr>
            </w:pPr>
            <w:r>
              <w:rPr>
                <w:b/>
                <w:noProof/>
                <w:sz w:val="16"/>
              </w:rPr>
              <w:t>2 358,1</w:t>
            </w:r>
          </w:p>
        </w:tc>
      </w:tr>
    </w:tbl>
    <w:p>
      <w:pPr>
        <w:spacing w:before="120" w:after="120"/>
        <w:jc w:val="both"/>
        <w:rPr>
          <w:noProof/>
        </w:rPr>
      </w:pPr>
      <w:r>
        <w:rPr>
          <w:noProof/>
        </w:rPr>
        <w:t>Като цяло нуждите за интервенционни мерки на селскостопанските пазари нарастват с 81,8 млн. евро в сравнение с ПБ за 2018 г. Поисканите в ПВК № 1/2018 бюджетни кредити се увеличават със същата сума, тъй като целевите приходи, които се очаква да са налични по глава 05 02 (в размер на 400,0 млн. евро), остават непроменени спрямо ПБ за 2018 г.</w:t>
      </w:r>
    </w:p>
    <w:p>
      <w:pPr>
        <w:spacing w:before="120" w:after="120"/>
        <w:jc w:val="both"/>
        <w:rPr>
          <w:noProof/>
        </w:rPr>
      </w:pPr>
      <w:r>
        <w:rPr>
          <w:noProof/>
        </w:rPr>
        <w:t xml:space="preserve">Предложеното увеличение с 12,8 млн. евро за </w:t>
      </w:r>
      <w:r>
        <w:rPr>
          <w:b/>
          <w:noProof/>
        </w:rPr>
        <w:t>сектора на плодовете и зеленчуците</w:t>
      </w:r>
      <w:r>
        <w:rPr>
          <w:noProof/>
        </w:rPr>
        <w:t xml:space="preserve"> отразява допълнителните разходи, прогнозирани за извънредните мерки за изтегляне по отношение на прасковите и нектарините.</w:t>
      </w:r>
      <w:r>
        <w:rPr>
          <w:noProof/>
          <w:vertAlign w:val="superscript"/>
        </w:rPr>
        <w:footnoteReference w:id="8"/>
      </w:r>
      <w:r>
        <w:rPr>
          <w:noProof/>
        </w:rPr>
        <w:t xml:space="preserve"> </w:t>
      </w:r>
    </w:p>
    <w:p>
      <w:pPr>
        <w:spacing w:before="120" w:after="120"/>
        <w:jc w:val="both"/>
        <w:rPr>
          <w:noProof/>
        </w:rPr>
      </w:pPr>
      <w:r>
        <w:rPr>
          <w:noProof/>
        </w:rPr>
        <w:t xml:space="preserve">Предлага се бюджетните кредити за </w:t>
      </w:r>
      <w:r>
        <w:rPr>
          <w:b/>
          <w:noProof/>
        </w:rPr>
        <w:t>винарския сектор</w:t>
      </w:r>
      <w:r>
        <w:rPr>
          <w:noProof/>
        </w:rPr>
        <w:t xml:space="preserve"> по бюджетна позиция 05 02 09 08 за финансиране на националните програми за подпомагане да бъдат намалени със 7,0 млн. евро, което отразява най-новите данни за изпълнението.</w:t>
      </w:r>
    </w:p>
    <w:p>
      <w:pPr>
        <w:spacing w:before="120" w:after="120"/>
        <w:jc w:val="both"/>
        <w:rPr>
          <w:noProof/>
        </w:rPr>
      </w:pPr>
      <w:r>
        <w:rPr>
          <w:noProof/>
        </w:rPr>
        <w:t xml:space="preserve">Бюджетните кредити за </w:t>
      </w:r>
      <w:r>
        <w:rPr>
          <w:b/>
          <w:noProof/>
        </w:rPr>
        <w:t>сектора на млякото и млечните продукти</w:t>
      </w:r>
      <w:r>
        <w:rPr>
          <w:noProof/>
        </w:rPr>
        <w:t xml:space="preserve"> (статия 05 02 12) се увеличават с 2,0 млн. евро в резултат на актуализираните прогнози относно разходите за складиране, свързани с обезмасленото мляко на прах, по-големи от първоначално оценените количества от което все още се намират в запасите за публична интервенция. </w:t>
      </w:r>
    </w:p>
    <w:p>
      <w:pPr>
        <w:spacing w:before="120" w:after="120"/>
        <w:jc w:val="both"/>
        <w:rPr>
          <w:noProof/>
        </w:rPr>
      </w:pPr>
      <w:r>
        <w:rPr>
          <w:noProof/>
        </w:rPr>
        <w:t xml:space="preserve">Най-голямата промяна, предложена в ПВК № 1/2018 по отношение на пазарните мерки, е свързана със </w:t>
      </w:r>
      <w:r>
        <w:rPr>
          <w:b/>
          <w:noProof/>
        </w:rPr>
        <w:t>секторите на свинското месо и птичето месо</w:t>
      </w:r>
      <w:r>
        <w:rPr>
          <w:noProof/>
        </w:rPr>
        <w:t xml:space="preserve"> (статия 05 02 15). Тя се състои в увеличение с 60,0 млн. евро във връзка със специфични изключителни мерки за земеделските стопани след появата на огнища на африканска чума по свинете</w:t>
      </w:r>
      <w:r>
        <w:rPr>
          <w:noProof/>
          <w:vertAlign w:val="superscript"/>
        </w:rPr>
        <w:footnoteReference w:id="9"/>
      </w:r>
      <w:r>
        <w:rPr>
          <w:noProof/>
        </w:rPr>
        <w:t xml:space="preserve"> и птичи грип.</w:t>
      </w:r>
    </w:p>
    <w:p>
      <w:pPr>
        <w:keepNext/>
        <w:keepLines/>
        <w:spacing w:before="120" w:after="120"/>
        <w:jc w:val="both"/>
        <w:rPr>
          <w:b/>
          <w:i/>
          <w:noProof/>
        </w:rPr>
      </w:pPr>
      <w:r>
        <w:rPr>
          <w:b/>
          <w:noProof/>
        </w:rPr>
        <w:t>05 03</w:t>
      </w:r>
      <w:r>
        <w:rPr>
          <w:noProof/>
        </w:rPr>
        <w:sym w:font="Symbol" w:char="F0BE"/>
      </w:r>
      <w:r>
        <w:rPr>
          <w:b/>
          <w:noProof/>
        </w:rPr>
        <w:t> Директни плащания, предназначени за подпомагане на доходите на земеделските стопанства и ограничаване на тяхната променливост, както и за изпълнение на целите, свързани с околната среда и климата (</w:t>
      </w:r>
      <w:r>
        <w:rPr>
          <w:b/>
          <w:i/>
          <w:noProof/>
        </w:rPr>
        <w:t>бюджетни кредити - 244,5 млн. евро</w:t>
      </w:r>
      <w:r>
        <w:rPr>
          <w:b/>
          <w:noProof/>
        </w:rPr>
        <w:t>)</w:t>
      </w:r>
    </w:p>
    <w:tbl>
      <w:tblPr>
        <w:tblW w:w="9950" w:type="dxa"/>
        <w:tblLayout w:type="fixed"/>
        <w:tblCellMar>
          <w:left w:w="40" w:type="dxa"/>
          <w:right w:w="40" w:type="dxa"/>
        </w:tblCellMar>
        <w:tblLook w:val="0000" w:firstRow="0" w:lastRow="0" w:firstColumn="0" w:lastColumn="0" w:noHBand="0" w:noVBand="0"/>
      </w:tblPr>
      <w:tblGrid>
        <w:gridCol w:w="4009"/>
        <w:gridCol w:w="2092"/>
        <w:gridCol w:w="1725"/>
        <w:gridCol w:w="2124"/>
      </w:tblGrid>
      <w:tr>
        <w:trPr>
          <w:trHeight w:val="164"/>
          <w:tblHeader/>
        </w:trPr>
        <w:tc>
          <w:tcPr>
            <w:tcW w:w="9950" w:type="dxa"/>
            <w:gridSpan w:val="4"/>
            <w:tcBorders>
              <w:bottom w:val="single" w:sz="4" w:space="0" w:color="auto"/>
            </w:tcBorders>
            <w:shd w:val="clear" w:color="auto" w:fill="FFFFFF"/>
            <w:vAlign w:val="center"/>
          </w:tcPr>
          <w:p>
            <w:pPr>
              <w:keepNext/>
              <w:keepLines/>
              <w:jc w:val="right"/>
              <w:rPr>
                <w:noProof/>
                <w:sz w:val="16"/>
                <w:szCs w:val="16"/>
              </w:rPr>
            </w:pPr>
            <w:r>
              <w:rPr>
                <w:i/>
                <w:noProof/>
                <w:sz w:val="16"/>
              </w:rPr>
              <w:t>(в млн. евро, закръглени стойности по текущи цени)</w:t>
            </w:r>
          </w:p>
        </w:tc>
      </w:tr>
      <w:tr>
        <w:trPr>
          <w:trHeight w:val="164"/>
          <w:tblHeader/>
        </w:trPr>
        <w:tc>
          <w:tcPr>
            <w:tcW w:w="4009" w:type="dxa"/>
            <w:tcBorders>
              <w:top w:val="single" w:sz="4" w:space="0" w:color="auto"/>
              <w:left w:val="single" w:sz="4" w:space="0" w:color="auto"/>
              <w:right w:val="single" w:sz="4" w:space="0" w:color="auto"/>
            </w:tcBorders>
            <w:shd w:val="clear" w:color="auto" w:fill="E0E0E0"/>
            <w:vAlign w:val="center"/>
          </w:tcPr>
          <w:p>
            <w:pPr>
              <w:keepNext/>
              <w:keepLines/>
              <w:spacing w:before="30" w:after="30"/>
              <w:jc w:val="center"/>
              <w:rPr>
                <w:b/>
                <w:noProof/>
                <w:sz w:val="16"/>
                <w:szCs w:val="16"/>
              </w:rPr>
            </w:pPr>
            <w:r>
              <w:rPr>
                <w:b/>
                <w:noProof/>
                <w:sz w:val="16"/>
              </w:rPr>
              <w:t>Директни плащания</w:t>
            </w:r>
          </w:p>
        </w:tc>
        <w:tc>
          <w:tcPr>
            <w:tcW w:w="2092" w:type="dxa"/>
            <w:tcBorders>
              <w:top w:val="single" w:sz="4" w:space="0" w:color="auto"/>
              <w:left w:val="single" w:sz="4" w:space="0" w:color="auto"/>
              <w:bottom w:val="single" w:sz="4" w:space="0" w:color="auto"/>
              <w:right w:val="single" w:sz="4" w:space="0" w:color="auto"/>
            </w:tcBorders>
            <w:shd w:val="clear" w:color="auto" w:fill="E0E0E0"/>
            <w:vAlign w:val="center"/>
          </w:tcPr>
          <w:p>
            <w:pPr>
              <w:keepNext/>
              <w:keepLines/>
              <w:spacing w:before="30" w:after="30"/>
              <w:jc w:val="center"/>
              <w:rPr>
                <w:b/>
                <w:noProof/>
                <w:sz w:val="16"/>
                <w:szCs w:val="16"/>
              </w:rPr>
            </w:pPr>
            <w:r>
              <w:rPr>
                <w:b/>
                <w:noProof/>
                <w:sz w:val="16"/>
              </w:rPr>
              <w:t>Проектобюджет за 2018 г.</w:t>
            </w:r>
          </w:p>
        </w:tc>
        <w:tc>
          <w:tcPr>
            <w:tcW w:w="1725" w:type="dxa"/>
            <w:tcBorders>
              <w:top w:val="single" w:sz="4" w:space="0" w:color="auto"/>
              <w:left w:val="nil"/>
              <w:bottom w:val="single" w:sz="4" w:space="0" w:color="auto"/>
              <w:right w:val="single" w:sz="4" w:space="0" w:color="auto"/>
            </w:tcBorders>
            <w:shd w:val="clear" w:color="auto" w:fill="E0E0E0"/>
            <w:vAlign w:val="center"/>
          </w:tcPr>
          <w:p>
            <w:pPr>
              <w:keepNext/>
              <w:keepLines/>
              <w:spacing w:before="30" w:after="30"/>
              <w:jc w:val="center"/>
              <w:rPr>
                <w:b/>
                <w:noProof/>
                <w:sz w:val="16"/>
                <w:szCs w:val="16"/>
              </w:rPr>
            </w:pPr>
            <w:r>
              <w:rPr>
                <w:b/>
                <w:noProof/>
                <w:sz w:val="16"/>
              </w:rPr>
              <w:t>Писмо за внасяне на корекции</w:t>
            </w:r>
            <w:r>
              <w:rPr>
                <w:b/>
                <w:noProof/>
                <w:sz w:val="16"/>
                <w:szCs w:val="16"/>
              </w:rPr>
              <w:br/>
            </w:r>
            <w:r>
              <w:rPr>
                <w:b/>
                <w:noProof/>
                <w:sz w:val="16"/>
              </w:rPr>
              <w:t xml:space="preserve"> № 1/2018</w:t>
            </w:r>
          </w:p>
        </w:tc>
        <w:tc>
          <w:tcPr>
            <w:tcW w:w="2124" w:type="dxa"/>
            <w:tcBorders>
              <w:top w:val="single" w:sz="4" w:space="0" w:color="auto"/>
              <w:left w:val="nil"/>
              <w:bottom w:val="single" w:sz="4" w:space="0" w:color="auto"/>
              <w:right w:val="single" w:sz="4" w:space="0" w:color="auto"/>
            </w:tcBorders>
            <w:shd w:val="clear" w:color="auto" w:fill="E0E0E0"/>
            <w:vAlign w:val="center"/>
          </w:tcPr>
          <w:p>
            <w:pPr>
              <w:keepNext/>
              <w:keepLines/>
              <w:spacing w:before="30" w:after="30"/>
              <w:jc w:val="center"/>
              <w:rPr>
                <w:b/>
                <w:noProof/>
                <w:sz w:val="16"/>
                <w:szCs w:val="16"/>
              </w:rPr>
            </w:pPr>
            <w:r>
              <w:rPr>
                <w:b/>
                <w:noProof/>
                <w:sz w:val="16"/>
              </w:rPr>
              <w:t xml:space="preserve">Проектобюджет за 2018 г. </w:t>
            </w:r>
            <w:r>
              <w:rPr>
                <w:b/>
                <w:noProof/>
                <w:sz w:val="16"/>
                <w:szCs w:val="16"/>
              </w:rPr>
              <w:br/>
            </w:r>
            <w:r>
              <w:rPr>
                <w:b/>
                <w:noProof/>
                <w:sz w:val="16"/>
              </w:rPr>
              <w:t>(вкл. ПВК № 1/2018)</w:t>
            </w:r>
          </w:p>
        </w:tc>
      </w:tr>
      <w:tr>
        <w:trPr>
          <w:trHeight w:val="164"/>
        </w:trPr>
        <w:tc>
          <w:tcPr>
            <w:tcW w:w="9950"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pPr>
              <w:keepNext/>
              <w:keepLines/>
              <w:spacing w:before="30" w:after="30"/>
              <w:rPr>
                <w:b/>
                <w:noProof/>
                <w:sz w:val="16"/>
                <w:szCs w:val="16"/>
              </w:rPr>
            </w:pPr>
            <w:r>
              <w:rPr>
                <w:b/>
                <w:i/>
                <w:noProof/>
                <w:sz w:val="16"/>
              </w:rPr>
              <w:t>След прилагането на механизма за финансова дисциплина (вкл. кредитите за резерва за кризи в селскостопанския сектор)</w:t>
            </w:r>
          </w:p>
        </w:tc>
      </w:tr>
      <w:tr>
        <w:trPr>
          <w:trHeight w:val="220"/>
        </w:trPr>
        <w:tc>
          <w:tcPr>
            <w:tcW w:w="4009" w:type="dxa"/>
            <w:tcBorders>
              <w:top w:val="single" w:sz="4" w:space="0" w:color="auto"/>
              <w:left w:val="single" w:sz="4" w:space="0" w:color="auto"/>
              <w:bottom w:val="dotted" w:sz="4" w:space="0" w:color="auto"/>
              <w:right w:val="single" w:sz="4" w:space="0" w:color="auto"/>
            </w:tcBorders>
            <w:vAlign w:val="center"/>
          </w:tcPr>
          <w:p>
            <w:pPr>
              <w:keepNext/>
              <w:keepLines/>
              <w:spacing w:before="30" w:after="30"/>
              <w:rPr>
                <w:noProof/>
                <w:sz w:val="16"/>
                <w:szCs w:val="16"/>
              </w:rPr>
            </w:pPr>
            <w:r>
              <w:rPr>
                <w:noProof/>
                <w:sz w:val="16"/>
              </w:rPr>
              <w:t>Нужди</w:t>
            </w:r>
          </w:p>
        </w:tc>
        <w:tc>
          <w:tcPr>
            <w:tcW w:w="2092" w:type="dxa"/>
            <w:tcBorders>
              <w:top w:val="single" w:sz="4" w:space="0" w:color="auto"/>
              <w:left w:val="single" w:sz="4" w:space="0" w:color="auto"/>
              <w:bottom w:val="dotted" w:sz="4" w:space="0" w:color="auto"/>
              <w:right w:val="single" w:sz="4" w:space="0" w:color="auto"/>
            </w:tcBorders>
            <w:vAlign w:val="center"/>
          </w:tcPr>
          <w:p>
            <w:pPr>
              <w:keepNext/>
              <w:keepLines/>
              <w:spacing w:before="30" w:after="30"/>
              <w:jc w:val="right"/>
              <w:rPr>
                <w:noProof/>
                <w:sz w:val="16"/>
                <w:szCs w:val="16"/>
              </w:rPr>
            </w:pPr>
            <w:r>
              <w:rPr>
                <w:noProof/>
                <w:sz w:val="16"/>
              </w:rPr>
              <w:t>41 747,1</w:t>
            </w:r>
          </w:p>
        </w:tc>
        <w:tc>
          <w:tcPr>
            <w:tcW w:w="1725" w:type="dxa"/>
            <w:tcBorders>
              <w:top w:val="single" w:sz="4" w:space="0" w:color="auto"/>
              <w:left w:val="nil"/>
              <w:bottom w:val="dotted" w:sz="4" w:space="0" w:color="auto"/>
              <w:right w:val="single" w:sz="4" w:space="0" w:color="auto"/>
            </w:tcBorders>
            <w:vAlign w:val="center"/>
          </w:tcPr>
          <w:p>
            <w:pPr>
              <w:keepNext/>
              <w:keepLines/>
              <w:spacing w:before="30" w:after="30"/>
              <w:jc w:val="right"/>
              <w:rPr>
                <w:noProof/>
                <w:sz w:val="16"/>
                <w:szCs w:val="16"/>
              </w:rPr>
            </w:pPr>
            <w:r>
              <w:rPr>
                <w:noProof/>
                <w:sz w:val="16"/>
              </w:rPr>
              <w:t>-2,5</w:t>
            </w:r>
          </w:p>
        </w:tc>
        <w:tc>
          <w:tcPr>
            <w:tcW w:w="2124" w:type="dxa"/>
            <w:tcBorders>
              <w:top w:val="single" w:sz="4" w:space="0" w:color="auto"/>
              <w:left w:val="nil"/>
              <w:bottom w:val="dotted" w:sz="4" w:space="0" w:color="auto"/>
              <w:right w:val="single" w:sz="4" w:space="0" w:color="auto"/>
            </w:tcBorders>
            <w:vAlign w:val="center"/>
          </w:tcPr>
          <w:p>
            <w:pPr>
              <w:keepNext/>
              <w:keepLines/>
              <w:spacing w:before="30" w:after="30"/>
              <w:jc w:val="right"/>
              <w:rPr>
                <w:noProof/>
                <w:sz w:val="16"/>
                <w:szCs w:val="16"/>
              </w:rPr>
            </w:pPr>
            <w:r>
              <w:rPr>
                <w:noProof/>
                <w:sz w:val="16"/>
              </w:rPr>
              <w:t>41 744,6</w:t>
            </w:r>
          </w:p>
        </w:tc>
      </w:tr>
      <w:tr>
        <w:trPr>
          <w:trHeight w:val="220"/>
        </w:trPr>
        <w:tc>
          <w:tcPr>
            <w:tcW w:w="4009" w:type="dxa"/>
            <w:tcBorders>
              <w:top w:val="dotted" w:sz="4" w:space="0" w:color="auto"/>
              <w:left w:val="single" w:sz="4" w:space="0" w:color="auto"/>
              <w:bottom w:val="dotted" w:sz="4" w:space="0" w:color="auto"/>
              <w:right w:val="single" w:sz="4" w:space="0" w:color="auto"/>
            </w:tcBorders>
            <w:vAlign w:val="center"/>
          </w:tcPr>
          <w:p>
            <w:pPr>
              <w:keepNext/>
              <w:keepLines/>
              <w:spacing w:before="30" w:after="30"/>
              <w:rPr>
                <w:noProof/>
                <w:sz w:val="16"/>
                <w:szCs w:val="16"/>
              </w:rPr>
            </w:pPr>
            <w:r>
              <w:rPr>
                <w:noProof/>
                <w:sz w:val="16"/>
              </w:rPr>
              <w:t>-Прогнозни целеви приходи, налични през 2017 г.</w:t>
            </w:r>
          </w:p>
        </w:tc>
        <w:tc>
          <w:tcPr>
            <w:tcW w:w="2092" w:type="dxa"/>
            <w:tcBorders>
              <w:top w:val="dotted" w:sz="4" w:space="0" w:color="auto"/>
              <w:left w:val="single" w:sz="4" w:space="0" w:color="auto"/>
              <w:bottom w:val="dotted" w:sz="4" w:space="0" w:color="auto"/>
              <w:right w:val="single" w:sz="4" w:space="0" w:color="auto"/>
            </w:tcBorders>
            <w:vAlign w:val="center"/>
          </w:tcPr>
          <w:p>
            <w:pPr>
              <w:keepNext/>
              <w:keepLines/>
              <w:spacing w:before="30" w:after="30"/>
              <w:jc w:val="right"/>
              <w:rPr>
                <w:noProof/>
                <w:sz w:val="16"/>
                <w:szCs w:val="16"/>
              </w:rPr>
            </w:pPr>
            <w:r>
              <w:rPr>
                <w:noProof/>
                <w:sz w:val="16"/>
              </w:rPr>
              <w:t>604,0</w:t>
            </w:r>
          </w:p>
        </w:tc>
        <w:tc>
          <w:tcPr>
            <w:tcW w:w="1725" w:type="dxa"/>
            <w:tcBorders>
              <w:top w:val="dotted" w:sz="4" w:space="0" w:color="auto"/>
              <w:left w:val="nil"/>
              <w:bottom w:val="dotted" w:sz="4" w:space="0" w:color="auto"/>
              <w:right w:val="single" w:sz="4" w:space="0" w:color="auto"/>
            </w:tcBorders>
            <w:vAlign w:val="center"/>
          </w:tcPr>
          <w:p>
            <w:pPr>
              <w:keepNext/>
              <w:keepLines/>
              <w:spacing w:before="30" w:after="30"/>
              <w:jc w:val="right"/>
              <w:rPr>
                <w:noProof/>
                <w:sz w:val="16"/>
                <w:szCs w:val="16"/>
              </w:rPr>
            </w:pPr>
            <w:r>
              <w:rPr>
                <w:noProof/>
                <w:sz w:val="16"/>
              </w:rPr>
              <w:t>+242,0</w:t>
            </w:r>
          </w:p>
        </w:tc>
        <w:tc>
          <w:tcPr>
            <w:tcW w:w="2124" w:type="dxa"/>
            <w:tcBorders>
              <w:top w:val="dotted" w:sz="4" w:space="0" w:color="auto"/>
              <w:left w:val="nil"/>
              <w:bottom w:val="dotted" w:sz="4" w:space="0" w:color="auto"/>
              <w:right w:val="single" w:sz="4" w:space="0" w:color="auto"/>
            </w:tcBorders>
            <w:vAlign w:val="center"/>
          </w:tcPr>
          <w:p>
            <w:pPr>
              <w:keepNext/>
              <w:keepLines/>
              <w:spacing w:before="30" w:after="30"/>
              <w:jc w:val="right"/>
              <w:rPr>
                <w:noProof/>
                <w:sz w:val="16"/>
                <w:szCs w:val="16"/>
              </w:rPr>
            </w:pPr>
            <w:r>
              <w:rPr>
                <w:noProof/>
                <w:sz w:val="16"/>
              </w:rPr>
              <w:t>846,0</w:t>
            </w:r>
          </w:p>
        </w:tc>
      </w:tr>
      <w:tr>
        <w:trPr>
          <w:trHeight w:val="220"/>
        </w:trPr>
        <w:tc>
          <w:tcPr>
            <w:tcW w:w="4009" w:type="dxa"/>
            <w:tcBorders>
              <w:top w:val="single" w:sz="4" w:space="0" w:color="auto"/>
              <w:left w:val="single" w:sz="4" w:space="0" w:color="auto"/>
              <w:bottom w:val="single" w:sz="4" w:space="0" w:color="auto"/>
              <w:right w:val="single" w:sz="4" w:space="0" w:color="auto"/>
            </w:tcBorders>
            <w:shd w:val="clear" w:color="auto" w:fill="D9D9D9"/>
            <w:vAlign w:val="center"/>
          </w:tcPr>
          <w:p>
            <w:pPr>
              <w:keepNext/>
              <w:keepLines/>
              <w:spacing w:before="30" w:after="30"/>
              <w:rPr>
                <w:b/>
                <w:noProof/>
                <w:sz w:val="16"/>
                <w:szCs w:val="16"/>
              </w:rPr>
            </w:pPr>
            <w:r>
              <w:rPr>
                <w:b/>
                <w:noProof/>
                <w:sz w:val="16"/>
              </w:rPr>
              <w:t>Поискани бюджетни кредити</w:t>
            </w:r>
          </w:p>
        </w:tc>
        <w:tc>
          <w:tcPr>
            <w:tcW w:w="2092" w:type="dxa"/>
            <w:tcBorders>
              <w:top w:val="single" w:sz="4" w:space="0" w:color="auto"/>
              <w:left w:val="single" w:sz="4" w:space="0" w:color="auto"/>
              <w:bottom w:val="single" w:sz="4" w:space="0" w:color="auto"/>
              <w:right w:val="single" w:sz="4" w:space="0" w:color="auto"/>
            </w:tcBorders>
            <w:shd w:val="clear" w:color="auto" w:fill="D9D9D9"/>
            <w:vAlign w:val="center"/>
          </w:tcPr>
          <w:p>
            <w:pPr>
              <w:keepNext/>
              <w:keepLines/>
              <w:spacing w:before="30" w:after="30"/>
              <w:jc w:val="right"/>
              <w:rPr>
                <w:b/>
                <w:noProof/>
                <w:sz w:val="16"/>
                <w:szCs w:val="16"/>
              </w:rPr>
            </w:pPr>
            <w:r>
              <w:rPr>
                <w:b/>
                <w:noProof/>
                <w:sz w:val="16"/>
              </w:rPr>
              <w:t>41 143,1</w:t>
            </w:r>
          </w:p>
        </w:tc>
        <w:tc>
          <w:tcPr>
            <w:tcW w:w="1725" w:type="dxa"/>
            <w:tcBorders>
              <w:top w:val="single" w:sz="4" w:space="0" w:color="auto"/>
              <w:left w:val="nil"/>
              <w:bottom w:val="single" w:sz="4" w:space="0" w:color="auto"/>
              <w:right w:val="single" w:sz="4" w:space="0" w:color="auto"/>
            </w:tcBorders>
            <w:shd w:val="clear" w:color="auto" w:fill="D9D9D9"/>
            <w:vAlign w:val="center"/>
          </w:tcPr>
          <w:p>
            <w:pPr>
              <w:keepNext/>
              <w:keepLines/>
              <w:spacing w:before="30" w:after="30"/>
              <w:jc w:val="right"/>
              <w:rPr>
                <w:b/>
                <w:noProof/>
                <w:sz w:val="16"/>
                <w:szCs w:val="16"/>
              </w:rPr>
            </w:pPr>
            <w:r>
              <w:rPr>
                <w:b/>
                <w:noProof/>
                <w:sz w:val="16"/>
              </w:rPr>
              <w:t>-244,5</w:t>
            </w:r>
          </w:p>
        </w:tc>
        <w:tc>
          <w:tcPr>
            <w:tcW w:w="2124" w:type="dxa"/>
            <w:tcBorders>
              <w:top w:val="single" w:sz="4" w:space="0" w:color="auto"/>
              <w:left w:val="nil"/>
              <w:bottom w:val="single" w:sz="4" w:space="0" w:color="auto"/>
              <w:right w:val="single" w:sz="4" w:space="0" w:color="auto"/>
            </w:tcBorders>
            <w:shd w:val="clear" w:color="auto" w:fill="D9D9D9"/>
            <w:vAlign w:val="center"/>
          </w:tcPr>
          <w:p>
            <w:pPr>
              <w:keepNext/>
              <w:keepLines/>
              <w:spacing w:before="30" w:after="30"/>
              <w:jc w:val="right"/>
              <w:rPr>
                <w:b/>
                <w:noProof/>
                <w:sz w:val="16"/>
                <w:szCs w:val="16"/>
              </w:rPr>
            </w:pPr>
            <w:r>
              <w:rPr>
                <w:b/>
                <w:noProof/>
                <w:sz w:val="16"/>
              </w:rPr>
              <w:t>40 898,6</w:t>
            </w:r>
          </w:p>
        </w:tc>
      </w:tr>
    </w:tbl>
    <w:p>
      <w:pPr>
        <w:autoSpaceDE w:val="0"/>
        <w:autoSpaceDN w:val="0"/>
        <w:adjustRightInd w:val="0"/>
        <w:spacing w:before="120" w:after="120"/>
        <w:jc w:val="both"/>
        <w:rPr>
          <w:noProof/>
        </w:rPr>
      </w:pPr>
      <w:r>
        <w:rPr>
          <w:noProof/>
        </w:rPr>
        <w:t>В сравнение с ПБ за 2018 г. бюджетните кредити, поискани за глава 05 03, се намаляват с 244,5 млн. евро. Тази промяна се дължи най-вече на по-високата сума на приходите (+242,0 млн. евро), предназначени за ред 05 03 01 10 (</w:t>
      </w:r>
      <w:r>
        <w:rPr>
          <w:i/>
          <w:noProof/>
        </w:rPr>
        <w:t>Схема за основно плащане (СОП)</w:t>
      </w:r>
      <w:r>
        <w:rPr>
          <w:noProof/>
        </w:rPr>
        <w:t xml:space="preserve">). Като цяло, въз основа на най-актуалните данни за изпълнението, се предлага само малка промяна на нуждите (-2,5 млн. евро) за директни плащания. Има някои малки разлики между бюджетните позиции за директни плащания, които отразяват актуализираната информация относно избраните от държавите членки възможности за изпълнение. Най-важната от тях в ПВК № 1/2018 е свързана с плащането за „екологизиране“ (+95,0 млн. евро по ред 05 03 01 11), плащането за млади земеделски стопани (+34,0 млн. евро по ред 05 03 01 13), преразпределителното плащане (+14,0 млн. евро по ред 05 03 01 07) и схемата за дребни земеделски стопани (-110,0 млн. евро по ред 05 03 02 61). </w:t>
      </w:r>
    </w:p>
    <w:p>
      <w:pPr>
        <w:keepNext/>
        <w:keepLines/>
        <w:tabs>
          <w:tab w:val="right" w:pos="5640"/>
        </w:tabs>
        <w:spacing w:before="120" w:after="120"/>
        <w:jc w:val="both"/>
        <w:rPr>
          <w:b/>
          <w:i/>
          <w:noProof/>
        </w:rPr>
      </w:pPr>
      <w:r>
        <w:rPr>
          <w:b/>
          <w:noProof/>
        </w:rPr>
        <w:t>Други селскостопански разходи, финансирани от Европейския фонд за гарантиране на земеделието (ЕФГЗ) (</w:t>
      </w:r>
      <w:r>
        <w:rPr>
          <w:b/>
          <w:i/>
          <w:noProof/>
        </w:rPr>
        <w:t>бюджетни кредити +108,8 млн. евро</w:t>
      </w:r>
      <w:r>
        <w:rPr>
          <w:b/>
          <w:noProof/>
        </w:rPr>
        <w:t>)</w:t>
      </w:r>
    </w:p>
    <w:p>
      <w:pPr>
        <w:spacing w:before="120" w:after="120"/>
        <w:jc w:val="both"/>
        <w:rPr>
          <w:noProof/>
        </w:rPr>
      </w:pPr>
      <w:r>
        <w:rPr>
          <w:noProof/>
        </w:rPr>
        <w:t xml:space="preserve">Необходимо е бюджетните кредити за бюджетни позиции 05 07 01 06 </w:t>
      </w:r>
      <w:r>
        <w:rPr>
          <w:i/>
          <w:noProof/>
        </w:rPr>
        <w:t>Разходи за финансови корекции в полза на държавите членки вследствие на решения за счетоводно уравняване на сметки</w:t>
      </w:r>
      <w:r>
        <w:rPr>
          <w:noProof/>
        </w:rPr>
        <w:t xml:space="preserve"> и 05 07 01 07 </w:t>
      </w:r>
      <w:r>
        <w:rPr>
          <w:i/>
          <w:noProof/>
        </w:rPr>
        <w:t xml:space="preserve">Разходи за финансови корекции в полза на държавите членки вследствие на решения за уравняване по съответствие </w:t>
      </w:r>
      <w:r>
        <w:rPr>
          <w:noProof/>
        </w:rPr>
        <w:t xml:space="preserve">да бъдат увеличени съответно с 1,4 млн. евро и 5,2 млн. евро, за да се отрази финансовото влияние на решенията на Комисията за изменение на финансовите корекции за предходни години. Необходимо е бюджетните кредити за статия 05 07 02 </w:t>
      </w:r>
      <w:r>
        <w:rPr>
          <w:i/>
          <w:noProof/>
        </w:rPr>
        <w:t>Разрешаване на спорове</w:t>
      </w:r>
      <w:r>
        <w:rPr>
          <w:noProof/>
        </w:rPr>
        <w:t xml:space="preserve"> да бъдат увеличени със 102,2 млн. евро вследствие на допълнително решение на Съда относно предишните налози върху производството в сектора на захарта. </w:t>
      </w:r>
    </w:p>
    <w:p>
      <w:pPr>
        <w:spacing w:before="120" w:after="120"/>
        <w:jc w:val="both"/>
        <w:rPr>
          <w:noProof/>
        </w:rPr>
      </w:pPr>
      <w:r>
        <w:rPr>
          <w:noProof/>
        </w:rPr>
        <w:t>Тази сума е свързана с приблизителните разходи за лихвени плащания, произтичащи от решението по делото Tirlemontoise (C-585/15) относно пазарните години 1999/2000 и 2000/2001</w:t>
      </w:r>
      <w:r>
        <w:rPr>
          <w:noProof/>
          <w:vertAlign w:val="superscript"/>
        </w:rPr>
        <w:footnoteReference w:id="10"/>
      </w:r>
      <w:r>
        <w:rPr>
          <w:noProof/>
        </w:rPr>
        <w:t>.</w:t>
      </w:r>
    </w:p>
    <w:p>
      <w:pPr>
        <w:rPr>
          <w:noProof/>
        </w:rPr>
      </w:pPr>
      <w:r>
        <w:rPr>
          <w:noProof/>
        </w:rPr>
        <w:br w:type="page"/>
      </w:r>
    </w:p>
    <w:p>
      <w:pPr>
        <w:keepNext/>
        <w:tabs>
          <w:tab w:val="left" w:pos="850"/>
        </w:tabs>
        <w:spacing w:before="360" w:after="120"/>
        <w:ind w:left="357" w:hanging="357"/>
        <w:jc w:val="both"/>
        <w:outlineLvl w:val="1"/>
        <w:rPr>
          <w:rFonts w:eastAsia="Calibri"/>
          <w:b/>
          <w:noProof/>
        </w:rPr>
      </w:pPr>
      <w:bookmarkStart w:id="54" w:name="_Toc462933859"/>
      <w:bookmarkStart w:id="55" w:name="_Toc462935220"/>
      <w:bookmarkStart w:id="56" w:name="_Toc462935322"/>
      <w:bookmarkStart w:id="57" w:name="_Toc462935370"/>
      <w:bookmarkStart w:id="58" w:name="_Toc462935527"/>
      <w:bookmarkStart w:id="59" w:name="_Toc463004747"/>
      <w:bookmarkStart w:id="60" w:name="_Toc463974174"/>
      <w:bookmarkStart w:id="61" w:name="_Toc464028219"/>
      <w:bookmarkStart w:id="62" w:name="_Toc464028351"/>
      <w:bookmarkStart w:id="63" w:name="_Toc463974178"/>
      <w:bookmarkStart w:id="64" w:name="_Toc464028223"/>
      <w:bookmarkStart w:id="65" w:name="_Toc464028355"/>
      <w:bookmarkStart w:id="66" w:name="_Toc495584129"/>
      <w:bookmarkStart w:id="67" w:name="_Toc496530515"/>
      <w:bookmarkEnd w:id="54"/>
      <w:bookmarkEnd w:id="55"/>
      <w:bookmarkEnd w:id="56"/>
      <w:bookmarkEnd w:id="57"/>
      <w:bookmarkEnd w:id="58"/>
      <w:bookmarkEnd w:id="59"/>
      <w:bookmarkEnd w:id="60"/>
      <w:bookmarkEnd w:id="61"/>
      <w:bookmarkEnd w:id="62"/>
      <w:bookmarkEnd w:id="63"/>
      <w:bookmarkEnd w:id="64"/>
      <w:bookmarkEnd w:id="65"/>
      <w:r>
        <w:rPr>
          <w:b/>
          <w:noProof/>
        </w:rPr>
        <w:t xml:space="preserve">2.3 </w:t>
      </w:r>
      <w:r>
        <w:rPr>
          <w:noProof/>
        </w:rPr>
        <w:tab/>
      </w:r>
      <w:r>
        <w:rPr>
          <w:b/>
          <w:noProof/>
        </w:rPr>
        <w:t>Съчетано въздействие върху ПЧ за 2018 г.</w:t>
      </w:r>
      <w:bookmarkEnd w:id="66"/>
      <w:bookmarkEnd w:id="67"/>
    </w:p>
    <w:tbl>
      <w:tblPr>
        <w:tblW w:w="10000" w:type="dxa"/>
        <w:jc w:val="center"/>
        <w:tblLayout w:type="fixed"/>
        <w:tblCellMar>
          <w:left w:w="40" w:type="dxa"/>
          <w:right w:w="40" w:type="dxa"/>
        </w:tblCellMar>
        <w:tblLook w:val="0000" w:firstRow="0" w:lastRow="0" w:firstColumn="0" w:lastColumn="0" w:noHBand="0" w:noVBand="0"/>
      </w:tblPr>
      <w:tblGrid>
        <w:gridCol w:w="9"/>
        <w:gridCol w:w="1191"/>
        <w:gridCol w:w="5503"/>
        <w:gridCol w:w="1617"/>
        <w:gridCol w:w="1672"/>
        <w:gridCol w:w="8"/>
      </w:tblGrid>
      <w:tr>
        <w:trPr>
          <w:gridBefore w:val="1"/>
          <w:gridAfter w:val="1"/>
          <w:wBefore w:w="9" w:type="dxa"/>
          <w:wAfter w:w="8" w:type="dxa"/>
          <w:trHeight w:val="284"/>
          <w:tblHeader/>
          <w:jc w:val="center"/>
        </w:trPr>
        <w:tc>
          <w:tcPr>
            <w:tcW w:w="9983" w:type="dxa"/>
            <w:gridSpan w:val="4"/>
            <w:shd w:val="clear" w:color="auto" w:fill="FFFFFF"/>
            <w:vAlign w:val="center"/>
          </w:tcPr>
          <w:p>
            <w:pPr>
              <w:jc w:val="right"/>
              <w:rPr>
                <w:noProof/>
                <w:sz w:val="16"/>
                <w:szCs w:val="16"/>
              </w:rPr>
            </w:pPr>
            <w:r>
              <w:rPr>
                <w:i/>
                <w:noProof/>
                <w:sz w:val="16"/>
              </w:rPr>
              <w:t>(в евро)</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4"/>
          <w:tblHeader/>
        </w:trPr>
        <w:tc>
          <w:tcPr>
            <w:tcW w:w="1200" w:type="dxa"/>
            <w:gridSpan w:val="2"/>
            <w:shd w:val="clear" w:color="auto" w:fill="D9D9D9"/>
            <w:vAlign w:val="center"/>
          </w:tcPr>
          <w:p>
            <w:pPr>
              <w:widowControl w:val="0"/>
              <w:spacing w:before="15" w:after="15" w:line="276" w:lineRule="auto"/>
              <w:jc w:val="center"/>
              <w:rPr>
                <w:b/>
                <w:noProof/>
                <w:sz w:val="20"/>
                <w:szCs w:val="20"/>
              </w:rPr>
            </w:pPr>
            <w:r>
              <w:rPr>
                <w:b/>
                <w:noProof/>
                <w:sz w:val="20"/>
              </w:rPr>
              <w:t>Бюджетен ред</w:t>
            </w:r>
          </w:p>
        </w:tc>
        <w:tc>
          <w:tcPr>
            <w:tcW w:w="5503" w:type="dxa"/>
            <w:shd w:val="clear" w:color="auto" w:fill="D9D9D9"/>
            <w:vAlign w:val="center"/>
          </w:tcPr>
          <w:p>
            <w:pPr>
              <w:widowControl w:val="0"/>
              <w:spacing w:before="15" w:after="15" w:line="276" w:lineRule="auto"/>
              <w:jc w:val="center"/>
              <w:rPr>
                <w:b/>
                <w:noProof/>
                <w:sz w:val="20"/>
                <w:szCs w:val="20"/>
              </w:rPr>
            </w:pPr>
            <w:r>
              <w:rPr>
                <w:b/>
                <w:noProof/>
                <w:sz w:val="20"/>
              </w:rPr>
              <w:t>Наименование</w:t>
            </w:r>
          </w:p>
        </w:tc>
        <w:tc>
          <w:tcPr>
            <w:tcW w:w="1617" w:type="dxa"/>
            <w:shd w:val="clear" w:color="auto" w:fill="D9D9D9"/>
            <w:vAlign w:val="center"/>
          </w:tcPr>
          <w:p>
            <w:pPr>
              <w:widowControl w:val="0"/>
              <w:spacing w:before="15" w:after="15" w:line="276" w:lineRule="auto"/>
              <w:jc w:val="center"/>
              <w:rPr>
                <w:b/>
                <w:noProof/>
                <w:sz w:val="20"/>
                <w:szCs w:val="20"/>
              </w:rPr>
            </w:pPr>
            <w:r>
              <w:rPr>
                <w:b/>
                <w:noProof/>
                <w:sz w:val="20"/>
              </w:rPr>
              <w:t>Бюджетни кредити за поети задължения</w:t>
            </w:r>
          </w:p>
        </w:tc>
        <w:tc>
          <w:tcPr>
            <w:tcW w:w="1680" w:type="dxa"/>
            <w:gridSpan w:val="2"/>
            <w:shd w:val="clear" w:color="auto" w:fill="D9D9D9"/>
            <w:vAlign w:val="center"/>
          </w:tcPr>
          <w:p>
            <w:pPr>
              <w:widowControl w:val="0"/>
              <w:spacing w:before="15" w:after="15" w:line="276" w:lineRule="auto"/>
              <w:jc w:val="center"/>
              <w:rPr>
                <w:b/>
                <w:noProof/>
                <w:sz w:val="20"/>
                <w:szCs w:val="20"/>
              </w:rPr>
            </w:pPr>
            <w:r>
              <w:rPr>
                <w:b/>
                <w:noProof/>
                <w:sz w:val="20"/>
              </w:rPr>
              <w:t>Бюджетни кредити за плащания</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4"/>
        </w:trPr>
        <w:tc>
          <w:tcPr>
            <w:tcW w:w="10000" w:type="dxa"/>
            <w:gridSpan w:val="6"/>
            <w:shd w:val="clear" w:color="auto" w:fill="F2F2F2" w:themeFill="background1" w:themeFillShade="F2"/>
            <w:vAlign w:val="center"/>
          </w:tcPr>
          <w:p>
            <w:pPr>
              <w:widowControl w:val="0"/>
              <w:spacing w:before="15" w:after="15" w:line="276" w:lineRule="auto"/>
              <w:rPr>
                <w:i/>
                <w:noProof/>
                <w:sz w:val="20"/>
                <w:szCs w:val="20"/>
              </w:rPr>
            </w:pPr>
            <w:r>
              <w:rPr>
                <w:i/>
                <w:noProof/>
                <w:sz w:val="20"/>
              </w:rPr>
              <w:t>Раздел III — Комисия</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4"/>
        </w:trPr>
        <w:tc>
          <w:tcPr>
            <w:tcW w:w="1200" w:type="dxa"/>
            <w:gridSpan w:val="2"/>
            <w:vAlign w:val="center"/>
          </w:tcPr>
          <w:p>
            <w:pPr>
              <w:jc w:val="center"/>
              <w:rPr>
                <w:noProof/>
                <w:sz w:val="20"/>
                <w:szCs w:val="20"/>
              </w:rPr>
            </w:pPr>
            <w:r>
              <w:rPr>
                <w:noProof/>
                <w:sz w:val="20"/>
              </w:rPr>
              <w:t>05 02 08 03</w:t>
            </w:r>
          </w:p>
        </w:tc>
        <w:tc>
          <w:tcPr>
            <w:tcW w:w="5503" w:type="dxa"/>
            <w:vAlign w:val="center"/>
          </w:tcPr>
          <w:p>
            <w:pPr>
              <w:rPr>
                <w:noProof/>
                <w:sz w:val="20"/>
                <w:szCs w:val="20"/>
              </w:rPr>
            </w:pPr>
            <w:r>
              <w:rPr>
                <w:noProof/>
                <w:sz w:val="20"/>
              </w:rPr>
              <w:t>Оперативни средства за организации на производители</w:t>
            </w:r>
          </w:p>
        </w:tc>
        <w:tc>
          <w:tcPr>
            <w:tcW w:w="1617" w:type="dxa"/>
            <w:vAlign w:val="center"/>
          </w:tcPr>
          <w:p>
            <w:pPr>
              <w:jc w:val="right"/>
              <w:rPr>
                <w:bCs/>
                <w:noProof/>
                <w:sz w:val="20"/>
                <w:szCs w:val="20"/>
              </w:rPr>
            </w:pPr>
            <w:r>
              <w:rPr>
                <w:noProof/>
                <w:sz w:val="20"/>
              </w:rPr>
              <w:t>12 000 000</w:t>
            </w:r>
          </w:p>
        </w:tc>
        <w:tc>
          <w:tcPr>
            <w:tcW w:w="1680" w:type="dxa"/>
            <w:gridSpan w:val="2"/>
            <w:vAlign w:val="center"/>
          </w:tcPr>
          <w:p>
            <w:pPr>
              <w:jc w:val="right"/>
              <w:rPr>
                <w:bCs/>
                <w:noProof/>
                <w:sz w:val="20"/>
                <w:szCs w:val="20"/>
              </w:rPr>
            </w:pPr>
            <w:r>
              <w:rPr>
                <w:noProof/>
                <w:sz w:val="20"/>
              </w:rPr>
              <w:t>12 000 000</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4"/>
        </w:trPr>
        <w:tc>
          <w:tcPr>
            <w:tcW w:w="1200" w:type="dxa"/>
            <w:gridSpan w:val="2"/>
            <w:vAlign w:val="center"/>
          </w:tcPr>
          <w:p>
            <w:pPr>
              <w:jc w:val="center"/>
              <w:rPr>
                <w:noProof/>
                <w:sz w:val="20"/>
                <w:szCs w:val="20"/>
              </w:rPr>
            </w:pPr>
            <w:r>
              <w:rPr>
                <w:noProof/>
                <w:sz w:val="20"/>
              </w:rPr>
              <w:t>05 02 08 99</w:t>
            </w:r>
          </w:p>
        </w:tc>
        <w:tc>
          <w:tcPr>
            <w:tcW w:w="5503" w:type="dxa"/>
            <w:vAlign w:val="center"/>
          </w:tcPr>
          <w:p>
            <w:pPr>
              <w:rPr>
                <w:noProof/>
                <w:sz w:val="20"/>
                <w:szCs w:val="20"/>
              </w:rPr>
            </w:pPr>
            <w:r>
              <w:rPr>
                <w:noProof/>
                <w:sz w:val="20"/>
              </w:rPr>
              <w:t>Други мерки (плодове и зеленчуци)</w:t>
            </w:r>
          </w:p>
        </w:tc>
        <w:tc>
          <w:tcPr>
            <w:tcW w:w="1617" w:type="dxa"/>
            <w:vAlign w:val="center"/>
          </w:tcPr>
          <w:p>
            <w:pPr>
              <w:jc w:val="right"/>
              <w:rPr>
                <w:bCs/>
                <w:noProof/>
                <w:sz w:val="20"/>
                <w:szCs w:val="20"/>
              </w:rPr>
            </w:pPr>
            <w:r>
              <w:rPr>
                <w:noProof/>
                <w:sz w:val="20"/>
              </w:rPr>
              <w:t>800 000</w:t>
            </w:r>
          </w:p>
        </w:tc>
        <w:tc>
          <w:tcPr>
            <w:tcW w:w="1680" w:type="dxa"/>
            <w:gridSpan w:val="2"/>
            <w:vAlign w:val="center"/>
          </w:tcPr>
          <w:p>
            <w:pPr>
              <w:jc w:val="right"/>
              <w:rPr>
                <w:bCs/>
                <w:noProof/>
                <w:sz w:val="20"/>
                <w:szCs w:val="20"/>
              </w:rPr>
            </w:pPr>
            <w:r>
              <w:rPr>
                <w:noProof/>
                <w:sz w:val="20"/>
              </w:rPr>
              <w:t>800 000</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4"/>
        </w:trPr>
        <w:tc>
          <w:tcPr>
            <w:tcW w:w="1200" w:type="dxa"/>
            <w:gridSpan w:val="2"/>
            <w:vAlign w:val="center"/>
          </w:tcPr>
          <w:p>
            <w:pPr>
              <w:jc w:val="center"/>
              <w:rPr>
                <w:noProof/>
                <w:sz w:val="20"/>
                <w:szCs w:val="20"/>
              </w:rPr>
            </w:pPr>
            <w:r>
              <w:rPr>
                <w:noProof/>
                <w:sz w:val="20"/>
              </w:rPr>
              <w:t>05 02 09 08</w:t>
            </w:r>
          </w:p>
        </w:tc>
        <w:tc>
          <w:tcPr>
            <w:tcW w:w="5503" w:type="dxa"/>
            <w:vAlign w:val="center"/>
          </w:tcPr>
          <w:p>
            <w:pPr>
              <w:rPr>
                <w:noProof/>
                <w:sz w:val="20"/>
                <w:szCs w:val="20"/>
              </w:rPr>
            </w:pPr>
            <w:r>
              <w:rPr>
                <w:noProof/>
                <w:sz w:val="20"/>
              </w:rPr>
              <w:t>Национални програми за подпомагане за лозаро-винарския сектор</w:t>
            </w:r>
          </w:p>
        </w:tc>
        <w:tc>
          <w:tcPr>
            <w:tcW w:w="1617" w:type="dxa"/>
            <w:vAlign w:val="center"/>
          </w:tcPr>
          <w:p>
            <w:pPr>
              <w:jc w:val="right"/>
              <w:rPr>
                <w:bCs/>
                <w:noProof/>
                <w:sz w:val="20"/>
                <w:szCs w:val="20"/>
              </w:rPr>
            </w:pPr>
            <w:r>
              <w:rPr>
                <w:noProof/>
                <w:sz w:val="20"/>
              </w:rPr>
              <w:t>7 000 000</w:t>
            </w:r>
          </w:p>
        </w:tc>
        <w:tc>
          <w:tcPr>
            <w:tcW w:w="1680" w:type="dxa"/>
            <w:gridSpan w:val="2"/>
            <w:vAlign w:val="center"/>
          </w:tcPr>
          <w:p>
            <w:pPr>
              <w:jc w:val="right"/>
              <w:rPr>
                <w:bCs/>
                <w:noProof/>
                <w:sz w:val="20"/>
                <w:szCs w:val="20"/>
              </w:rPr>
            </w:pPr>
            <w:r>
              <w:rPr>
                <w:noProof/>
                <w:sz w:val="20"/>
              </w:rPr>
              <w:t>7 000 000</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4"/>
        </w:trPr>
        <w:tc>
          <w:tcPr>
            <w:tcW w:w="1200" w:type="dxa"/>
            <w:gridSpan w:val="2"/>
            <w:vAlign w:val="center"/>
          </w:tcPr>
          <w:p>
            <w:pPr>
              <w:jc w:val="center"/>
              <w:rPr>
                <w:noProof/>
                <w:sz w:val="20"/>
                <w:szCs w:val="20"/>
              </w:rPr>
            </w:pPr>
            <w:r>
              <w:rPr>
                <w:noProof/>
                <w:sz w:val="20"/>
              </w:rPr>
              <w:t>05 02 12 02</w:t>
            </w:r>
          </w:p>
        </w:tc>
        <w:tc>
          <w:tcPr>
            <w:tcW w:w="5503" w:type="dxa"/>
            <w:vAlign w:val="center"/>
          </w:tcPr>
          <w:p>
            <w:pPr>
              <w:rPr>
                <w:noProof/>
                <w:sz w:val="20"/>
                <w:szCs w:val="20"/>
              </w:rPr>
            </w:pPr>
            <w:r>
              <w:rPr>
                <w:noProof/>
                <w:sz w:val="20"/>
              </w:rPr>
              <w:t>Мерки във връзка със складирането на обезмаслено мляко на прах</w:t>
            </w:r>
          </w:p>
        </w:tc>
        <w:tc>
          <w:tcPr>
            <w:tcW w:w="1617" w:type="dxa"/>
            <w:vAlign w:val="center"/>
          </w:tcPr>
          <w:p>
            <w:pPr>
              <w:jc w:val="right"/>
              <w:rPr>
                <w:bCs/>
                <w:noProof/>
                <w:sz w:val="20"/>
                <w:szCs w:val="20"/>
              </w:rPr>
            </w:pPr>
            <w:r>
              <w:rPr>
                <w:noProof/>
                <w:sz w:val="20"/>
              </w:rPr>
              <w:t>2 000 000</w:t>
            </w:r>
          </w:p>
        </w:tc>
        <w:tc>
          <w:tcPr>
            <w:tcW w:w="1680" w:type="dxa"/>
            <w:gridSpan w:val="2"/>
            <w:vAlign w:val="center"/>
          </w:tcPr>
          <w:p>
            <w:pPr>
              <w:jc w:val="right"/>
              <w:rPr>
                <w:bCs/>
                <w:noProof/>
                <w:sz w:val="20"/>
                <w:szCs w:val="20"/>
              </w:rPr>
            </w:pPr>
            <w:r>
              <w:rPr>
                <w:noProof/>
                <w:sz w:val="20"/>
              </w:rPr>
              <w:t>2 000 000</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4"/>
        </w:trPr>
        <w:tc>
          <w:tcPr>
            <w:tcW w:w="1200" w:type="dxa"/>
            <w:gridSpan w:val="2"/>
            <w:vAlign w:val="center"/>
          </w:tcPr>
          <w:p>
            <w:pPr>
              <w:jc w:val="center"/>
              <w:rPr>
                <w:noProof/>
                <w:sz w:val="20"/>
                <w:szCs w:val="20"/>
              </w:rPr>
            </w:pPr>
            <w:r>
              <w:rPr>
                <w:noProof/>
                <w:sz w:val="20"/>
              </w:rPr>
              <w:t>05 02 15 99</w:t>
            </w:r>
          </w:p>
        </w:tc>
        <w:tc>
          <w:tcPr>
            <w:tcW w:w="5503" w:type="dxa"/>
            <w:vAlign w:val="center"/>
          </w:tcPr>
          <w:p>
            <w:pPr>
              <w:rPr>
                <w:noProof/>
                <w:sz w:val="20"/>
                <w:szCs w:val="20"/>
              </w:rPr>
            </w:pPr>
            <w:r>
              <w:rPr>
                <w:noProof/>
                <w:sz w:val="20"/>
              </w:rPr>
              <w:t>Други мерки (свинско месо, птиче месо, яйца, пчеларство, други животински продукти)</w:t>
            </w:r>
          </w:p>
        </w:tc>
        <w:tc>
          <w:tcPr>
            <w:tcW w:w="1617" w:type="dxa"/>
            <w:vAlign w:val="center"/>
          </w:tcPr>
          <w:p>
            <w:pPr>
              <w:jc w:val="right"/>
              <w:rPr>
                <w:bCs/>
                <w:noProof/>
                <w:sz w:val="20"/>
                <w:szCs w:val="20"/>
              </w:rPr>
            </w:pPr>
            <w:r>
              <w:rPr>
                <w:noProof/>
                <w:sz w:val="20"/>
              </w:rPr>
              <w:t>60 000 000</w:t>
            </w:r>
          </w:p>
        </w:tc>
        <w:tc>
          <w:tcPr>
            <w:tcW w:w="1680" w:type="dxa"/>
            <w:gridSpan w:val="2"/>
            <w:vAlign w:val="center"/>
          </w:tcPr>
          <w:p>
            <w:pPr>
              <w:jc w:val="right"/>
              <w:rPr>
                <w:bCs/>
                <w:noProof/>
                <w:sz w:val="20"/>
                <w:szCs w:val="20"/>
              </w:rPr>
            </w:pPr>
            <w:r>
              <w:rPr>
                <w:noProof/>
                <w:sz w:val="20"/>
              </w:rPr>
              <w:t>60 000 000</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4"/>
        </w:trPr>
        <w:tc>
          <w:tcPr>
            <w:tcW w:w="1200" w:type="dxa"/>
            <w:gridSpan w:val="2"/>
            <w:vAlign w:val="center"/>
          </w:tcPr>
          <w:p>
            <w:pPr>
              <w:jc w:val="center"/>
              <w:rPr>
                <w:noProof/>
                <w:sz w:val="20"/>
                <w:szCs w:val="20"/>
              </w:rPr>
            </w:pPr>
            <w:r>
              <w:rPr>
                <w:noProof/>
                <w:sz w:val="20"/>
              </w:rPr>
              <w:t>05 03 01 02</w:t>
            </w:r>
          </w:p>
        </w:tc>
        <w:tc>
          <w:tcPr>
            <w:tcW w:w="5503" w:type="dxa"/>
            <w:vAlign w:val="center"/>
          </w:tcPr>
          <w:p>
            <w:pPr>
              <w:rPr>
                <w:noProof/>
                <w:sz w:val="20"/>
                <w:szCs w:val="20"/>
              </w:rPr>
            </w:pPr>
            <w:r>
              <w:rPr>
                <w:noProof/>
                <w:sz w:val="20"/>
              </w:rPr>
              <w:t>Схема за единно плащане на базата на площ (СЕПП)</w:t>
            </w:r>
          </w:p>
        </w:tc>
        <w:tc>
          <w:tcPr>
            <w:tcW w:w="1617" w:type="dxa"/>
            <w:vAlign w:val="center"/>
          </w:tcPr>
          <w:p>
            <w:pPr>
              <w:jc w:val="right"/>
              <w:rPr>
                <w:bCs/>
                <w:noProof/>
                <w:sz w:val="20"/>
                <w:szCs w:val="20"/>
              </w:rPr>
            </w:pPr>
            <w:r>
              <w:rPr>
                <w:noProof/>
                <w:sz w:val="20"/>
              </w:rPr>
              <w:t>2 000 000</w:t>
            </w:r>
          </w:p>
        </w:tc>
        <w:tc>
          <w:tcPr>
            <w:tcW w:w="1680" w:type="dxa"/>
            <w:gridSpan w:val="2"/>
            <w:vAlign w:val="center"/>
          </w:tcPr>
          <w:p>
            <w:pPr>
              <w:jc w:val="right"/>
              <w:rPr>
                <w:bCs/>
                <w:noProof/>
                <w:sz w:val="20"/>
                <w:szCs w:val="20"/>
              </w:rPr>
            </w:pPr>
            <w:r>
              <w:rPr>
                <w:noProof/>
                <w:sz w:val="20"/>
              </w:rPr>
              <w:t>2 000 000</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4"/>
        </w:trPr>
        <w:tc>
          <w:tcPr>
            <w:tcW w:w="1200" w:type="dxa"/>
            <w:gridSpan w:val="2"/>
            <w:vAlign w:val="center"/>
          </w:tcPr>
          <w:p>
            <w:pPr>
              <w:jc w:val="center"/>
              <w:rPr>
                <w:noProof/>
                <w:sz w:val="20"/>
                <w:szCs w:val="20"/>
              </w:rPr>
            </w:pPr>
            <w:r>
              <w:rPr>
                <w:noProof/>
                <w:sz w:val="20"/>
              </w:rPr>
              <w:t>05 03 01 07</w:t>
            </w:r>
          </w:p>
        </w:tc>
        <w:tc>
          <w:tcPr>
            <w:tcW w:w="5503" w:type="dxa"/>
            <w:vAlign w:val="center"/>
          </w:tcPr>
          <w:p>
            <w:pPr>
              <w:rPr>
                <w:noProof/>
                <w:sz w:val="20"/>
                <w:szCs w:val="20"/>
              </w:rPr>
            </w:pPr>
            <w:r>
              <w:rPr>
                <w:noProof/>
                <w:sz w:val="20"/>
              </w:rPr>
              <w:t>Преразпределително плащане</w:t>
            </w:r>
          </w:p>
        </w:tc>
        <w:tc>
          <w:tcPr>
            <w:tcW w:w="1617" w:type="dxa"/>
            <w:vAlign w:val="center"/>
          </w:tcPr>
          <w:p>
            <w:pPr>
              <w:jc w:val="right"/>
              <w:rPr>
                <w:bCs/>
                <w:noProof/>
                <w:sz w:val="20"/>
                <w:szCs w:val="20"/>
              </w:rPr>
            </w:pPr>
            <w:r>
              <w:rPr>
                <w:noProof/>
                <w:sz w:val="20"/>
              </w:rPr>
              <w:t>14 000 000</w:t>
            </w:r>
          </w:p>
        </w:tc>
        <w:tc>
          <w:tcPr>
            <w:tcW w:w="1680" w:type="dxa"/>
            <w:gridSpan w:val="2"/>
            <w:vAlign w:val="center"/>
          </w:tcPr>
          <w:p>
            <w:pPr>
              <w:jc w:val="right"/>
              <w:rPr>
                <w:bCs/>
                <w:noProof/>
                <w:sz w:val="20"/>
                <w:szCs w:val="20"/>
              </w:rPr>
            </w:pPr>
            <w:r>
              <w:rPr>
                <w:noProof/>
                <w:sz w:val="20"/>
              </w:rPr>
              <w:t>14 000 000</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4"/>
        </w:trPr>
        <w:tc>
          <w:tcPr>
            <w:tcW w:w="1200" w:type="dxa"/>
            <w:gridSpan w:val="2"/>
            <w:vAlign w:val="center"/>
          </w:tcPr>
          <w:p>
            <w:pPr>
              <w:jc w:val="center"/>
              <w:rPr>
                <w:noProof/>
                <w:sz w:val="20"/>
                <w:szCs w:val="20"/>
              </w:rPr>
            </w:pPr>
            <w:r>
              <w:rPr>
                <w:noProof/>
                <w:sz w:val="20"/>
              </w:rPr>
              <w:t>05 03 01 10</w:t>
            </w:r>
          </w:p>
        </w:tc>
        <w:tc>
          <w:tcPr>
            <w:tcW w:w="5503" w:type="dxa"/>
            <w:vAlign w:val="center"/>
          </w:tcPr>
          <w:p>
            <w:pPr>
              <w:rPr>
                <w:noProof/>
                <w:sz w:val="20"/>
                <w:szCs w:val="20"/>
              </w:rPr>
            </w:pPr>
            <w:r>
              <w:rPr>
                <w:noProof/>
                <w:sz w:val="20"/>
              </w:rPr>
              <w:t>Схема за основно плащане (СОП)</w:t>
            </w:r>
          </w:p>
        </w:tc>
        <w:tc>
          <w:tcPr>
            <w:tcW w:w="1617" w:type="dxa"/>
            <w:vAlign w:val="center"/>
          </w:tcPr>
          <w:p>
            <w:pPr>
              <w:jc w:val="right"/>
              <w:rPr>
                <w:bCs/>
                <w:noProof/>
                <w:sz w:val="20"/>
                <w:szCs w:val="20"/>
              </w:rPr>
            </w:pPr>
            <w:r>
              <w:rPr>
                <w:noProof/>
                <w:sz w:val="20"/>
              </w:rPr>
              <w:t>-275 000 000</w:t>
            </w:r>
          </w:p>
        </w:tc>
        <w:tc>
          <w:tcPr>
            <w:tcW w:w="1680" w:type="dxa"/>
            <w:gridSpan w:val="2"/>
            <w:vAlign w:val="center"/>
          </w:tcPr>
          <w:p>
            <w:pPr>
              <w:jc w:val="right"/>
              <w:rPr>
                <w:bCs/>
                <w:noProof/>
                <w:sz w:val="20"/>
                <w:szCs w:val="20"/>
              </w:rPr>
            </w:pPr>
            <w:r>
              <w:rPr>
                <w:noProof/>
                <w:sz w:val="20"/>
              </w:rPr>
              <w:t>-275 000 000</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4"/>
        </w:trPr>
        <w:tc>
          <w:tcPr>
            <w:tcW w:w="1200" w:type="dxa"/>
            <w:gridSpan w:val="2"/>
            <w:vAlign w:val="center"/>
          </w:tcPr>
          <w:p>
            <w:pPr>
              <w:jc w:val="center"/>
              <w:rPr>
                <w:noProof/>
                <w:sz w:val="20"/>
                <w:szCs w:val="20"/>
              </w:rPr>
            </w:pPr>
            <w:r>
              <w:rPr>
                <w:noProof/>
                <w:sz w:val="20"/>
              </w:rPr>
              <w:t>05 03 01 11</w:t>
            </w:r>
          </w:p>
        </w:tc>
        <w:tc>
          <w:tcPr>
            <w:tcW w:w="5503" w:type="dxa"/>
            <w:vAlign w:val="center"/>
          </w:tcPr>
          <w:p>
            <w:pPr>
              <w:rPr>
                <w:noProof/>
                <w:sz w:val="20"/>
                <w:szCs w:val="20"/>
              </w:rPr>
            </w:pPr>
            <w:r>
              <w:rPr>
                <w:noProof/>
                <w:sz w:val="20"/>
              </w:rPr>
              <w:t>Плащане за селскостопански практики, благоприятни за климата и околната среда</w:t>
            </w:r>
          </w:p>
        </w:tc>
        <w:tc>
          <w:tcPr>
            <w:tcW w:w="1617" w:type="dxa"/>
            <w:vAlign w:val="center"/>
          </w:tcPr>
          <w:p>
            <w:pPr>
              <w:jc w:val="right"/>
              <w:rPr>
                <w:bCs/>
                <w:noProof/>
                <w:sz w:val="20"/>
                <w:szCs w:val="20"/>
              </w:rPr>
            </w:pPr>
            <w:r>
              <w:rPr>
                <w:noProof/>
                <w:sz w:val="20"/>
              </w:rPr>
              <w:t>95 000 000</w:t>
            </w:r>
          </w:p>
        </w:tc>
        <w:tc>
          <w:tcPr>
            <w:tcW w:w="1680" w:type="dxa"/>
            <w:gridSpan w:val="2"/>
            <w:vAlign w:val="center"/>
          </w:tcPr>
          <w:p>
            <w:pPr>
              <w:jc w:val="right"/>
              <w:rPr>
                <w:bCs/>
                <w:noProof/>
                <w:sz w:val="20"/>
                <w:szCs w:val="20"/>
              </w:rPr>
            </w:pPr>
            <w:r>
              <w:rPr>
                <w:noProof/>
                <w:sz w:val="20"/>
              </w:rPr>
              <w:t>95 000 000</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4"/>
        </w:trPr>
        <w:tc>
          <w:tcPr>
            <w:tcW w:w="1200" w:type="dxa"/>
            <w:gridSpan w:val="2"/>
            <w:vAlign w:val="center"/>
          </w:tcPr>
          <w:p>
            <w:pPr>
              <w:jc w:val="center"/>
              <w:rPr>
                <w:noProof/>
                <w:sz w:val="20"/>
                <w:szCs w:val="20"/>
              </w:rPr>
            </w:pPr>
            <w:r>
              <w:rPr>
                <w:noProof/>
                <w:sz w:val="20"/>
              </w:rPr>
              <w:t>05 03 01 13</w:t>
            </w:r>
          </w:p>
        </w:tc>
        <w:tc>
          <w:tcPr>
            <w:tcW w:w="5503" w:type="dxa"/>
            <w:vAlign w:val="center"/>
          </w:tcPr>
          <w:p>
            <w:pPr>
              <w:rPr>
                <w:noProof/>
                <w:sz w:val="20"/>
                <w:szCs w:val="20"/>
              </w:rPr>
            </w:pPr>
            <w:r>
              <w:rPr>
                <w:noProof/>
                <w:sz w:val="20"/>
              </w:rPr>
              <w:t>Плащане за млади земеделски стопани</w:t>
            </w:r>
          </w:p>
        </w:tc>
        <w:tc>
          <w:tcPr>
            <w:tcW w:w="1617" w:type="dxa"/>
            <w:vAlign w:val="center"/>
          </w:tcPr>
          <w:p>
            <w:pPr>
              <w:jc w:val="right"/>
              <w:rPr>
                <w:bCs/>
                <w:noProof/>
                <w:sz w:val="20"/>
                <w:szCs w:val="20"/>
              </w:rPr>
            </w:pPr>
            <w:r>
              <w:rPr>
                <w:noProof/>
                <w:sz w:val="20"/>
              </w:rPr>
              <w:t>34 000 000</w:t>
            </w:r>
          </w:p>
        </w:tc>
        <w:tc>
          <w:tcPr>
            <w:tcW w:w="1680" w:type="dxa"/>
            <w:gridSpan w:val="2"/>
            <w:vAlign w:val="center"/>
          </w:tcPr>
          <w:p>
            <w:pPr>
              <w:jc w:val="right"/>
              <w:rPr>
                <w:bCs/>
                <w:noProof/>
                <w:sz w:val="20"/>
                <w:szCs w:val="20"/>
              </w:rPr>
            </w:pPr>
            <w:r>
              <w:rPr>
                <w:noProof/>
                <w:sz w:val="20"/>
              </w:rPr>
              <w:t>34 000 000</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4"/>
        </w:trPr>
        <w:tc>
          <w:tcPr>
            <w:tcW w:w="1200" w:type="dxa"/>
            <w:gridSpan w:val="2"/>
            <w:vAlign w:val="center"/>
          </w:tcPr>
          <w:p>
            <w:pPr>
              <w:jc w:val="center"/>
              <w:rPr>
                <w:noProof/>
                <w:sz w:val="20"/>
                <w:szCs w:val="20"/>
              </w:rPr>
            </w:pPr>
            <w:r>
              <w:rPr>
                <w:noProof/>
                <w:sz w:val="20"/>
              </w:rPr>
              <w:t>05 03 01 99</w:t>
            </w:r>
          </w:p>
        </w:tc>
        <w:tc>
          <w:tcPr>
            <w:tcW w:w="5503" w:type="dxa"/>
            <w:vAlign w:val="center"/>
          </w:tcPr>
          <w:p>
            <w:pPr>
              <w:rPr>
                <w:noProof/>
                <w:sz w:val="20"/>
                <w:szCs w:val="20"/>
              </w:rPr>
            </w:pPr>
            <w:r>
              <w:rPr>
                <w:noProof/>
                <w:sz w:val="20"/>
              </w:rPr>
              <w:t>Други (отделени от производството директни плащания)</w:t>
            </w:r>
          </w:p>
        </w:tc>
        <w:tc>
          <w:tcPr>
            <w:tcW w:w="1617" w:type="dxa"/>
            <w:vAlign w:val="center"/>
          </w:tcPr>
          <w:p>
            <w:pPr>
              <w:jc w:val="right"/>
              <w:rPr>
                <w:bCs/>
                <w:noProof/>
                <w:sz w:val="20"/>
                <w:szCs w:val="20"/>
              </w:rPr>
            </w:pPr>
            <w:r>
              <w:rPr>
                <w:noProof/>
                <w:sz w:val="20"/>
              </w:rPr>
              <w:t>800 000</w:t>
            </w:r>
          </w:p>
        </w:tc>
        <w:tc>
          <w:tcPr>
            <w:tcW w:w="1680" w:type="dxa"/>
            <w:gridSpan w:val="2"/>
            <w:vAlign w:val="center"/>
          </w:tcPr>
          <w:p>
            <w:pPr>
              <w:jc w:val="right"/>
              <w:rPr>
                <w:bCs/>
                <w:noProof/>
                <w:sz w:val="20"/>
                <w:szCs w:val="20"/>
              </w:rPr>
            </w:pPr>
            <w:r>
              <w:rPr>
                <w:noProof/>
                <w:sz w:val="20"/>
              </w:rPr>
              <w:t>800 000</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4"/>
        </w:trPr>
        <w:tc>
          <w:tcPr>
            <w:tcW w:w="1200" w:type="dxa"/>
            <w:gridSpan w:val="2"/>
            <w:vAlign w:val="center"/>
          </w:tcPr>
          <w:p>
            <w:pPr>
              <w:jc w:val="center"/>
              <w:rPr>
                <w:noProof/>
                <w:sz w:val="20"/>
                <w:szCs w:val="20"/>
              </w:rPr>
            </w:pPr>
            <w:r>
              <w:rPr>
                <w:noProof/>
                <w:sz w:val="20"/>
              </w:rPr>
              <w:t>05 03 02 40</w:t>
            </w:r>
          </w:p>
        </w:tc>
        <w:tc>
          <w:tcPr>
            <w:tcW w:w="5503" w:type="dxa"/>
            <w:vAlign w:val="center"/>
          </w:tcPr>
          <w:p>
            <w:pPr>
              <w:rPr>
                <w:noProof/>
                <w:sz w:val="20"/>
                <w:szCs w:val="20"/>
              </w:rPr>
            </w:pPr>
            <w:r>
              <w:rPr>
                <w:noProof/>
                <w:sz w:val="20"/>
              </w:rPr>
              <w:t>Специално плащане за култура — памук</w:t>
            </w:r>
          </w:p>
        </w:tc>
        <w:tc>
          <w:tcPr>
            <w:tcW w:w="1617" w:type="dxa"/>
            <w:vAlign w:val="center"/>
          </w:tcPr>
          <w:p>
            <w:pPr>
              <w:jc w:val="right"/>
              <w:rPr>
                <w:bCs/>
                <w:noProof/>
                <w:sz w:val="20"/>
                <w:szCs w:val="20"/>
              </w:rPr>
            </w:pPr>
            <w:r>
              <w:rPr>
                <w:noProof/>
                <w:sz w:val="20"/>
              </w:rPr>
              <w:t>-4 000 000</w:t>
            </w:r>
          </w:p>
        </w:tc>
        <w:tc>
          <w:tcPr>
            <w:tcW w:w="1680" w:type="dxa"/>
            <w:gridSpan w:val="2"/>
            <w:vAlign w:val="center"/>
          </w:tcPr>
          <w:p>
            <w:pPr>
              <w:jc w:val="right"/>
              <w:rPr>
                <w:bCs/>
                <w:noProof/>
                <w:sz w:val="20"/>
                <w:szCs w:val="20"/>
              </w:rPr>
            </w:pPr>
            <w:r>
              <w:rPr>
                <w:noProof/>
                <w:sz w:val="20"/>
              </w:rPr>
              <w:t>-4 000 000</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4"/>
        </w:trPr>
        <w:tc>
          <w:tcPr>
            <w:tcW w:w="1200" w:type="dxa"/>
            <w:gridSpan w:val="2"/>
            <w:vAlign w:val="center"/>
          </w:tcPr>
          <w:p>
            <w:pPr>
              <w:jc w:val="center"/>
              <w:rPr>
                <w:noProof/>
                <w:sz w:val="20"/>
                <w:szCs w:val="20"/>
              </w:rPr>
            </w:pPr>
            <w:r>
              <w:rPr>
                <w:noProof/>
                <w:sz w:val="20"/>
              </w:rPr>
              <w:t>05 03 02 44</w:t>
            </w:r>
          </w:p>
        </w:tc>
        <w:tc>
          <w:tcPr>
            <w:tcW w:w="5503" w:type="dxa"/>
            <w:vAlign w:val="center"/>
          </w:tcPr>
          <w:p>
            <w:pPr>
              <w:rPr>
                <w:noProof/>
                <w:sz w:val="20"/>
                <w:szCs w:val="20"/>
              </w:rPr>
            </w:pPr>
            <w:r>
              <w:rPr>
                <w:noProof/>
                <w:sz w:val="20"/>
              </w:rPr>
              <w:t>Специфично подпомагане (член 68 от Регламент (ЕС) № 73/2009) — обвързани с производството директни плащания</w:t>
            </w:r>
          </w:p>
        </w:tc>
        <w:tc>
          <w:tcPr>
            <w:tcW w:w="1617" w:type="dxa"/>
            <w:vAlign w:val="center"/>
          </w:tcPr>
          <w:p>
            <w:pPr>
              <w:jc w:val="right"/>
              <w:rPr>
                <w:bCs/>
                <w:noProof/>
                <w:sz w:val="20"/>
                <w:szCs w:val="20"/>
              </w:rPr>
            </w:pPr>
            <w:r>
              <w:rPr>
                <w:noProof/>
                <w:sz w:val="20"/>
              </w:rPr>
              <w:t>-3 000 000</w:t>
            </w:r>
          </w:p>
        </w:tc>
        <w:tc>
          <w:tcPr>
            <w:tcW w:w="1680" w:type="dxa"/>
            <w:gridSpan w:val="2"/>
            <w:vAlign w:val="center"/>
          </w:tcPr>
          <w:p>
            <w:pPr>
              <w:jc w:val="right"/>
              <w:rPr>
                <w:bCs/>
                <w:noProof/>
                <w:sz w:val="20"/>
                <w:szCs w:val="20"/>
              </w:rPr>
            </w:pPr>
            <w:r>
              <w:rPr>
                <w:noProof/>
                <w:sz w:val="20"/>
              </w:rPr>
              <w:t>-3 000 000</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4"/>
        </w:trPr>
        <w:tc>
          <w:tcPr>
            <w:tcW w:w="1200" w:type="dxa"/>
            <w:gridSpan w:val="2"/>
            <w:vAlign w:val="center"/>
          </w:tcPr>
          <w:p>
            <w:pPr>
              <w:jc w:val="center"/>
              <w:rPr>
                <w:noProof/>
                <w:sz w:val="20"/>
                <w:szCs w:val="20"/>
              </w:rPr>
            </w:pPr>
            <w:r>
              <w:rPr>
                <w:noProof/>
                <w:sz w:val="20"/>
              </w:rPr>
              <w:t>05 03 02 60</w:t>
            </w:r>
          </w:p>
        </w:tc>
        <w:tc>
          <w:tcPr>
            <w:tcW w:w="5503" w:type="dxa"/>
            <w:vAlign w:val="center"/>
          </w:tcPr>
          <w:p>
            <w:pPr>
              <w:rPr>
                <w:noProof/>
                <w:sz w:val="20"/>
                <w:szCs w:val="20"/>
              </w:rPr>
            </w:pPr>
            <w:r>
              <w:rPr>
                <w:noProof/>
                <w:sz w:val="20"/>
              </w:rPr>
              <w:t>Схема за доброволно обвързано с производството подпомагане</w:t>
            </w:r>
          </w:p>
        </w:tc>
        <w:tc>
          <w:tcPr>
            <w:tcW w:w="1617" w:type="dxa"/>
            <w:vAlign w:val="center"/>
          </w:tcPr>
          <w:p>
            <w:pPr>
              <w:jc w:val="right"/>
              <w:rPr>
                <w:bCs/>
                <w:noProof/>
                <w:sz w:val="20"/>
                <w:szCs w:val="20"/>
              </w:rPr>
            </w:pPr>
            <w:r>
              <w:rPr>
                <w:noProof/>
                <w:sz w:val="20"/>
              </w:rPr>
              <w:t>4 000 000</w:t>
            </w:r>
          </w:p>
        </w:tc>
        <w:tc>
          <w:tcPr>
            <w:tcW w:w="1680" w:type="dxa"/>
            <w:gridSpan w:val="2"/>
            <w:vAlign w:val="center"/>
          </w:tcPr>
          <w:p>
            <w:pPr>
              <w:jc w:val="right"/>
              <w:rPr>
                <w:bCs/>
                <w:noProof/>
                <w:sz w:val="20"/>
                <w:szCs w:val="20"/>
              </w:rPr>
            </w:pPr>
            <w:r>
              <w:rPr>
                <w:noProof/>
                <w:sz w:val="20"/>
              </w:rPr>
              <w:t>4 000 000</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4"/>
        </w:trPr>
        <w:tc>
          <w:tcPr>
            <w:tcW w:w="1200" w:type="dxa"/>
            <w:gridSpan w:val="2"/>
            <w:vAlign w:val="center"/>
          </w:tcPr>
          <w:p>
            <w:pPr>
              <w:jc w:val="center"/>
              <w:rPr>
                <w:noProof/>
                <w:sz w:val="20"/>
                <w:szCs w:val="20"/>
              </w:rPr>
            </w:pPr>
            <w:r>
              <w:rPr>
                <w:noProof/>
                <w:sz w:val="20"/>
              </w:rPr>
              <w:t>05 03 02 61</w:t>
            </w:r>
          </w:p>
        </w:tc>
        <w:tc>
          <w:tcPr>
            <w:tcW w:w="5503" w:type="dxa"/>
            <w:vAlign w:val="center"/>
          </w:tcPr>
          <w:p>
            <w:pPr>
              <w:rPr>
                <w:noProof/>
                <w:sz w:val="20"/>
                <w:szCs w:val="20"/>
              </w:rPr>
            </w:pPr>
            <w:r>
              <w:rPr>
                <w:noProof/>
                <w:sz w:val="20"/>
              </w:rPr>
              <w:t>Схема за дребни земеделски стопани</w:t>
            </w:r>
          </w:p>
        </w:tc>
        <w:tc>
          <w:tcPr>
            <w:tcW w:w="1617" w:type="dxa"/>
            <w:vAlign w:val="center"/>
          </w:tcPr>
          <w:p>
            <w:pPr>
              <w:jc w:val="right"/>
              <w:rPr>
                <w:bCs/>
                <w:noProof/>
                <w:sz w:val="20"/>
                <w:szCs w:val="20"/>
              </w:rPr>
            </w:pPr>
            <w:r>
              <w:rPr>
                <w:noProof/>
                <w:sz w:val="20"/>
              </w:rPr>
              <w:t>-110 000 000</w:t>
            </w:r>
          </w:p>
        </w:tc>
        <w:tc>
          <w:tcPr>
            <w:tcW w:w="1680" w:type="dxa"/>
            <w:gridSpan w:val="2"/>
            <w:vAlign w:val="center"/>
          </w:tcPr>
          <w:p>
            <w:pPr>
              <w:jc w:val="right"/>
              <w:rPr>
                <w:bCs/>
                <w:noProof/>
                <w:sz w:val="20"/>
                <w:szCs w:val="20"/>
              </w:rPr>
            </w:pPr>
            <w:r>
              <w:rPr>
                <w:noProof/>
                <w:sz w:val="20"/>
              </w:rPr>
              <w:t>-110 000 000</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4"/>
        </w:trPr>
        <w:tc>
          <w:tcPr>
            <w:tcW w:w="1200" w:type="dxa"/>
            <w:gridSpan w:val="2"/>
            <w:vAlign w:val="center"/>
          </w:tcPr>
          <w:p>
            <w:pPr>
              <w:jc w:val="center"/>
              <w:rPr>
                <w:noProof/>
                <w:sz w:val="20"/>
                <w:szCs w:val="20"/>
              </w:rPr>
            </w:pPr>
            <w:r>
              <w:rPr>
                <w:noProof/>
                <w:sz w:val="20"/>
              </w:rPr>
              <w:t>05 03 02 99</w:t>
            </w:r>
          </w:p>
        </w:tc>
        <w:tc>
          <w:tcPr>
            <w:tcW w:w="5503" w:type="dxa"/>
            <w:vAlign w:val="center"/>
          </w:tcPr>
          <w:p>
            <w:pPr>
              <w:rPr>
                <w:noProof/>
                <w:sz w:val="20"/>
                <w:szCs w:val="20"/>
              </w:rPr>
            </w:pPr>
            <w:r>
              <w:rPr>
                <w:noProof/>
                <w:sz w:val="20"/>
              </w:rPr>
              <w:t>Други (директни плащания)</w:t>
            </w:r>
          </w:p>
        </w:tc>
        <w:tc>
          <w:tcPr>
            <w:tcW w:w="1617" w:type="dxa"/>
            <w:vAlign w:val="center"/>
          </w:tcPr>
          <w:p>
            <w:pPr>
              <w:jc w:val="right"/>
              <w:rPr>
                <w:bCs/>
                <w:noProof/>
                <w:sz w:val="20"/>
                <w:szCs w:val="20"/>
              </w:rPr>
            </w:pPr>
            <w:r>
              <w:rPr>
                <w:noProof/>
                <w:sz w:val="20"/>
              </w:rPr>
              <w:t>-2 000 000</w:t>
            </w:r>
          </w:p>
        </w:tc>
        <w:tc>
          <w:tcPr>
            <w:tcW w:w="1680" w:type="dxa"/>
            <w:gridSpan w:val="2"/>
            <w:vAlign w:val="center"/>
          </w:tcPr>
          <w:p>
            <w:pPr>
              <w:jc w:val="right"/>
              <w:rPr>
                <w:bCs/>
                <w:noProof/>
                <w:sz w:val="20"/>
                <w:szCs w:val="20"/>
              </w:rPr>
            </w:pPr>
            <w:r>
              <w:rPr>
                <w:noProof/>
                <w:sz w:val="20"/>
              </w:rPr>
              <w:t>-2 000 000</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4"/>
        </w:trPr>
        <w:tc>
          <w:tcPr>
            <w:tcW w:w="1200" w:type="dxa"/>
            <w:gridSpan w:val="2"/>
            <w:vAlign w:val="center"/>
          </w:tcPr>
          <w:p>
            <w:pPr>
              <w:jc w:val="center"/>
              <w:rPr>
                <w:noProof/>
                <w:sz w:val="20"/>
                <w:szCs w:val="20"/>
              </w:rPr>
            </w:pPr>
            <w:r>
              <w:rPr>
                <w:noProof/>
                <w:sz w:val="20"/>
              </w:rPr>
              <w:t>05 07 01 06</w:t>
            </w:r>
          </w:p>
        </w:tc>
        <w:tc>
          <w:tcPr>
            <w:tcW w:w="5503" w:type="dxa"/>
            <w:vAlign w:val="center"/>
          </w:tcPr>
          <w:p>
            <w:pPr>
              <w:rPr>
                <w:noProof/>
                <w:sz w:val="20"/>
                <w:szCs w:val="20"/>
              </w:rPr>
            </w:pPr>
            <w:r>
              <w:rPr>
                <w:noProof/>
                <w:sz w:val="20"/>
              </w:rPr>
              <w:t>Разходи за финансови корекции в полза на държавите членки вследствие на решения за счетоводно уравняване на сметки за предходни години с оглед на поделеното управление, декларирани по линия на секция „Гарантиране“ на ФЕОГА (предходни мерки) и ЕФГЗ</w:t>
            </w:r>
          </w:p>
        </w:tc>
        <w:tc>
          <w:tcPr>
            <w:tcW w:w="1617" w:type="dxa"/>
            <w:vAlign w:val="center"/>
          </w:tcPr>
          <w:p>
            <w:pPr>
              <w:jc w:val="right"/>
              <w:rPr>
                <w:bCs/>
                <w:noProof/>
                <w:sz w:val="20"/>
                <w:szCs w:val="20"/>
              </w:rPr>
            </w:pPr>
            <w:r>
              <w:rPr>
                <w:noProof/>
                <w:sz w:val="20"/>
              </w:rPr>
              <w:t>1 400 000</w:t>
            </w:r>
          </w:p>
        </w:tc>
        <w:tc>
          <w:tcPr>
            <w:tcW w:w="1680" w:type="dxa"/>
            <w:gridSpan w:val="2"/>
            <w:vAlign w:val="center"/>
          </w:tcPr>
          <w:p>
            <w:pPr>
              <w:jc w:val="right"/>
              <w:rPr>
                <w:bCs/>
                <w:noProof/>
                <w:sz w:val="20"/>
                <w:szCs w:val="20"/>
              </w:rPr>
            </w:pPr>
            <w:r>
              <w:rPr>
                <w:noProof/>
                <w:sz w:val="20"/>
              </w:rPr>
              <w:t>1 400 000</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4"/>
        </w:trPr>
        <w:tc>
          <w:tcPr>
            <w:tcW w:w="1200" w:type="dxa"/>
            <w:gridSpan w:val="2"/>
            <w:vAlign w:val="center"/>
          </w:tcPr>
          <w:p>
            <w:pPr>
              <w:jc w:val="center"/>
              <w:rPr>
                <w:noProof/>
                <w:sz w:val="20"/>
                <w:szCs w:val="20"/>
              </w:rPr>
            </w:pPr>
            <w:r>
              <w:rPr>
                <w:noProof/>
                <w:sz w:val="20"/>
              </w:rPr>
              <w:t>05 07 01 07</w:t>
            </w:r>
          </w:p>
        </w:tc>
        <w:tc>
          <w:tcPr>
            <w:tcW w:w="5503" w:type="dxa"/>
            <w:vAlign w:val="center"/>
          </w:tcPr>
          <w:p>
            <w:pPr>
              <w:rPr>
                <w:noProof/>
                <w:sz w:val="20"/>
                <w:szCs w:val="20"/>
              </w:rPr>
            </w:pPr>
            <w:r>
              <w:rPr>
                <w:noProof/>
                <w:sz w:val="20"/>
              </w:rPr>
              <w:t>Разходи за финансови корекции в полза на държавите членки вследствие на решения за уравняване по съответствие на сметки за предходни години с оглед на поделеното управление, декларирани по линия на секция „Гарантиране“ на ФЕОГА (предходни мерки) и ЕФГЗ</w:t>
            </w:r>
          </w:p>
        </w:tc>
        <w:tc>
          <w:tcPr>
            <w:tcW w:w="1617" w:type="dxa"/>
            <w:vAlign w:val="center"/>
          </w:tcPr>
          <w:p>
            <w:pPr>
              <w:jc w:val="right"/>
              <w:rPr>
                <w:bCs/>
                <w:noProof/>
                <w:sz w:val="20"/>
                <w:szCs w:val="20"/>
              </w:rPr>
            </w:pPr>
            <w:r>
              <w:rPr>
                <w:noProof/>
                <w:sz w:val="20"/>
              </w:rPr>
              <w:t>5 200 000</w:t>
            </w:r>
          </w:p>
        </w:tc>
        <w:tc>
          <w:tcPr>
            <w:tcW w:w="1680" w:type="dxa"/>
            <w:gridSpan w:val="2"/>
            <w:vAlign w:val="center"/>
          </w:tcPr>
          <w:p>
            <w:pPr>
              <w:jc w:val="right"/>
              <w:rPr>
                <w:bCs/>
                <w:noProof/>
                <w:sz w:val="20"/>
                <w:szCs w:val="20"/>
              </w:rPr>
            </w:pPr>
            <w:r>
              <w:rPr>
                <w:noProof/>
                <w:sz w:val="20"/>
              </w:rPr>
              <w:t>5 200 000</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4"/>
        </w:trPr>
        <w:tc>
          <w:tcPr>
            <w:tcW w:w="1200" w:type="dxa"/>
            <w:gridSpan w:val="2"/>
            <w:vAlign w:val="center"/>
          </w:tcPr>
          <w:p>
            <w:pPr>
              <w:jc w:val="center"/>
              <w:rPr>
                <w:noProof/>
                <w:sz w:val="20"/>
                <w:szCs w:val="20"/>
              </w:rPr>
            </w:pPr>
            <w:r>
              <w:rPr>
                <w:noProof/>
                <w:sz w:val="20"/>
              </w:rPr>
              <w:t>05 07 02</w:t>
            </w:r>
          </w:p>
        </w:tc>
        <w:tc>
          <w:tcPr>
            <w:tcW w:w="5503" w:type="dxa"/>
            <w:vAlign w:val="center"/>
          </w:tcPr>
          <w:p>
            <w:pPr>
              <w:rPr>
                <w:noProof/>
                <w:sz w:val="20"/>
                <w:szCs w:val="20"/>
              </w:rPr>
            </w:pPr>
            <w:r>
              <w:rPr>
                <w:noProof/>
                <w:sz w:val="20"/>
              </w:rPr>
              <w:t>Разрешаване на спорове</w:t>
            </w:r>
          </w:p>
        </w:tc>
        <w:tc>
          <w:tcPr>
            <w:tcW w:w="1617" w:type="dxa"/>
            <w:vAlign w:val="center"/>
          </w:tcPr>
          <w:p>
            <w:pPr>
              <w:jc w:val="right"/>
              <w:rPr>
                <w:bCs/>
                <w:noProof/>
                <w:sz w:val="20"/>
                <w:szCs w:val="20"/>
              </w:rPr>
            </w:pPr>
            <w:r>
              <w:rPr>
                <w:noProof/>
                <w:sz w:val="20"/>
              </w:rPr>
              <w:t xml:space="preserve">102 200 000 </w:t>
            </w:r>
          </w:p>
        </w:tc>
        <w:tc>
          <w:tcPr>
            <w:tcW w:w="1680" w:type="dxa"/>
            <w:gridSpan w:val="2"/>
            <w:vAlign w:val="center"/>
          </w:tcPr>
          <w:p>
            <w:pPr>
              <w:jc w:val="right"/>
              <w:rPr>
                <w:bCs/>
                <w:noProof/>
                <w:sz w:val="20"/>
                <w:szCs w:val="20"/>
              </w:rPr>
            </w:pPr>
            <w:r>
              <w:rPr>
                <w:noProof/>
                <w:sz w:val="20"/>
              </w:rPr>
              <w:t>102 200 000</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4"/>
        </w:trPr>
        <w:tc>
          <w:tcPr>
            <w:tcW w:w="6703" w:type="dxa"/>
            <w:gridSpan w:val="3"/>
            <w:shd w:val="clear" w:color="auto" w:fill="D9D9D9"/>
            <w:vAlign w:val="center"/>
          </w:tcPr>
          <w:p>
            <w:pPr>
              <w:widowControl w:val="0"/>
              <w:tabs>
                <w:tab w:val="left" w:pos="975"/>
              </w:tabs>
              <w:spacing w:before="15" w:after="15"/>
              <w:rPr>
                <w:b/>
                <w:noProof/>
                <w:sz w:val="20"/>
                <w:szCs w:val="20"/>
              </w:rPr>
            </w:pPr>
            <w:r>
              <w:rPr>
                <w:b/>
                <w:noProof/>
                <w:sz w:val="20"/>
              </w:rPr>
              <w:t>Общо</w:t>
            </w:r>
            <w:r>
              <w:rPr>
                <w:noProof/>
              </w:rPr>
              <w:tab/>
            </w:r>
          </w:p>
        </w:tc>
        <w:tc>
          <w:tcPr>
            <w:tcW w:w="1617" w:type="dxa"/>
            <w:shd w:val="clear" w:color="auto" w:fill="D9D9D9"/>
            <w:vAlign w:val="center"/>
          </w:tcPr>
          <w:p>
            <w:pPr>
              <w:widowControl w:val="0"/>
              <w:spacing w:before="15" w:after="15"/>
              <w:jc w:val="right"/>
              <w:rPr>
                <w:b/>
                <w:noProof/>
                <w:sz w:val="20"/>
                <w:szCs w:val="20"/>
              </w:rPr>
            </w:pPr>
            <w:r>
              <w:rPr>
                <w:b/>
                <w:noProof/>
                <w:sz w:val="20"/>
              </w:rPr>
              <w:t>-53 900 000</w:t>
            </w:r>
          </w:p>
        </w:tc>
        <w:tc>
          <w:tcPr>
            <w:tcW w:w="1680" w:type="dxa"/>
            <w:gridSpan w:val="2"/>
            <w:shd w:val="clear" w:color="auto" w:fill="D9D9D9"/>
            <w:vAlign w:val="center"/>
          </w:tcPr>
          <w:p>
            <w:pPr>
              <w:widowControl w:val="0"/>
              <w:spacing w:before="15" w:after="15"/>
              <w:jc w:val="right"/>
              <w:rPr>
                <w:b/>
                <w:noProof/>
                <w:sz w:val="20"/>
                <w:szCs w:val="20"/>
              </w:rPr>
            </w:pPr>
            <w:r>
              <w:rPr>
                <w:b/>
                <w:noProof/>
                <w:sz w:val="20"/>
              </w:rPr>
              <w:t>-53 900 000</w:t>
            </w:r>
          </w:p>
        </w:tc>
      </w:tr>
    </w:tbl>
    <w:p>
      <w:pPr>
        <w:rPr>
          <w:noProof/>
        </w:rPr>
      </w:pPr>
      <w:r>
        <w:rPr>
          <w:noProof/>
        </w:rPr>
        <w:br w:type="page"/>
      </w:r>
    </w:p>
    <w:p>
      <w:pPr>
        <w:pStyle w:val="ManualHeading1"/>
        <w:spacing w:before="240"/>
        <w:rPr>
          <w:noProof/>
        </w:rPr>
      </w:pPr>
      <w:bookmarkStart w:id="68" w:name="_Toc495584130"/>
      <w:bookmarkStart w:id="69" w:name="_Toc496530516"/>
      <w:r>
        <w:rPr>
          <w:noProof/>
        </w:rPr>
        <w:t>3.</w:t>
      </w:r>
      <w:r>
        <w:rPr>
          <w:noProof/>
        </w:rPr>
        <w:tab/>
        <w:t>Фонд „Солидарност“ на Европейския съюз (ФСЕС)</w:t>
      </w:r>
      <w:bookmarkEnd w:id="68"/>
      <w:bookmarkEnd w:id="69"/>
    </w:p>
    <w:p>
      <w:pPr>
        <w:autoSpaceDE w:val="0"/>
        <w:autoSpaceDN w:val="0"/>
        <w:adjustRightInd w:val="0"/>
        <w:spacing w:before="120" w:after="120"/>
        <w:jc w:val="both"/>
        <w:rPr>
          <w:rFonts w:eastAsia="Calibri"/>
          <w:noProof/>
          <w:szCs w:val="22"/>
        </w:rPr>
      </w:pPr>
      <w:r>
        <w:rPr>
          <w:noProof/>
        </w:rPr>
        <w:t>На 26 юни 2017 г.</w:t>
      </w:r>
      <w:r>
        <w:rPr>
          <w:rStyle w:val="FootnoteReference"/>
          <w:noProof/>
        </w:rPr>
        <w:footnoteReference w:id="11"/>
      </w:r>
      <w:r>
        <w:rPr>
          <w:noProof/>
        </w:rPr>
        <w:t xml:space="preserve"> Комисията предложи мобилизиране на средства от фонд „Солидарност“ на Европейския съюз (ФСЕС) в размер на 1 196,8 млн. евро за оказване на помощ на Италия във връзка с поредицата земетресения между август 2016 г. и януари 2017 г. в областите Абруцо, Лацио, Марке и Умбрия. Това мобилизиране на средства беше съпътствано от проект на коригиращ бюджет (ПКБ) № 4/2017</w:t>
      </w:r>
      <w:r>
        <w:rPr>
          <w:noProof/>
          <w:vertAlign w:val="superscript"/>
        </w:rPr>
        <w:footnoteReference w:id="12"/>
      </w:r>
      <w:r>
        <w:rPr>
          <w:noProof/>
        </w:rPr>
        <w:t>, в който се предлага записването на необходимите бюджетни кредити в общия бюджет за 2017 г. под формата на бюджетни кредити за поети задължения и за плащания след приспадане на вече изплатения аванс през 2016 г.</w:t>
      </w:r>
    </w:p>
    <w:p>
      <w:pPr>
        <w:spacing w:before="120" w:after="120"/>
        <w:jc w:val="both"/>
        <w:rPr>
          <w:noProof/>
        </w:rPr>
      </w:pPr>
      <w:r>
        <w:rPr>
          <w:noProof/>
        </w:rPr>
        <w:t>Сумата, която беше възможно да се мобилизира на този етап на 2017 г., беше 902,8 млн. евро, което съответстваше на общата сума, налична за мобилизиране от ФСЕС в началото на 2017 г. (1 115,1 млн. евро), минус предишните мобилизирани средства</w:t>
      </w:r>
      <w:r>
        <w:rPr>
          <w:noProof/>
          <w:vertAlign w:val="superscript"/>
        </w:rPr>
        <w:footnoteReference w:id="13"/>
      </w:r>
      <w:r>
        <w:rPr>
          <w:noProof/>
        </w:rPr>
        <w:t xml:space="preserve"> (71,5 млн. евро), минус запазените средства в размер на 140,8 млн. евро за спазване на задължението за заделяне на 25 % от годишните разпределени средства за 2017 г. до 1 октомври 2017 г., както е предвидено в член 10, параграф 1 от Регламента за МФР</w:t>
      </w:r>
      <w:r>
        <w:rPr>
          <w:rStyle w:val="FootnoteReference"/>
          <w:noProof/>
        </w:rPr>
        <w:footnoteReference w:id="14"/>
      </w:r>
      <w:r>
        <w:rPr>
          <w:noProof/>
        </w:rPr>
        <w:t>.</w:t>
      </w:r>
    </w:p>
    <w:p>
      <w:pPr>
        <w:spacing w:before="120" w:after="120"/>
        <w:jc w:val="both"/>
        <w:rPr>
          <w:noProof/>
        </w:rPr>
      </w:pPr>
      <w:r>
        <w:rPr>
          <w:noProof/>
        </w:rPr>
        <w:t>Поради това тази сума не беше достатъчна да покрие пълното мобилизиране на средства от ФСЕС за Италия. Комисията обаче счете, че условията на член 10, параграф 1 от Регламента за МФР са изпълнени, и предложи разликата в размер на 294,0 млн. евро да се покрие от годишната сума на разположение през 2018 г.</w:t>
      </w:r>
    </w:p>
    <w:p>
      <w:pPr>
        <w:spacing w:before="120" w:after="120"/>
        <w:jc w:val="both"/>
        <w:rPr>
          <w:noProof/>
        </w:rPr>
      </w:pPr>
      <w:r>
        <w:rPr>
          <w:noProof/>
        </w:rPr>
        <w:t>Както решението относно мобилизирането, така и проектът на коригиращ бюджет (ПКБ) № 4/2017 бяха приети окончателно от Европейския парламент на 13 септември 2017 г.</w:t>
      </w:r>
    </w:p>
    <w:p>
      <w:pPr>
        <w:spacing w:before="120" w:after="120"/>
        <w:jc w:val="both"/>
        <w:rPr>
          <w:noProof/>
        </w:rPr>
      </w:pPr>
      <w:r>
        <w:rPr>
          <w:noProof/>
        </w:rPr>
        <w:t>Поради това извънредно изтегляне през 2017 г. е необходимо да се намали съответно сумата, включена в резерва в ПБ за 2018 г., както в бюджетните кредити за поети задължения, така и в бюджетни кредити за плащания. Целта на този резерв е да позволи мобилизирането на средства от ФСЕС чрез прехвърляния едновременно с решението на Европейския парламент и на Съвета относно мобилизирането. Тъй като би намалил необходимостта от коригиращи бюджети, такъв подход би ускорил процеса на мобилизиране на средства от ФСЕС.</w:t>
      </w:r>
    </w:p>
    <w:tbl>
      <w:tblPr>
        <w:tblW w:w="10000" w:type="dxa"/>
        <w:jc w:val="center"/>
        <w:tblLayout w:type="fixed"/>
        <w:tblCellMar>
          <w:left w:w="40" w:type="dxa"/>
          <w:right w:w="40" w:type="dxa"/>
        </w:tblCellMar>
        <w:tblLook w:val="0000" w:firstRow="0" w:lastRow="0" w:firstColumn="0" w:lastColumn="0" w:noHBand="0" w:noVBand="0"/>
      </w:tblPr>
      <w:tblGrid>
        <w:gridCol w:w="9"/>
        <w:gridCol w:w="1191"/>
        <w:gridCol w:w="5503"/>
        <w:gridCol w:w="1617"/>
        <w:gridCol w:w="1672"/>
        <w:gridCol w:w="8"/>
      </w:tblGrid>
      <w:tr>
        <w:trPr>
          <w:gridBefore w:val="1"/>
          <w:gridAfter w:val="1"/>
          <w:wBefore w:w="9" w:type="dxa"/>
          <w:wAfter w:w="8" w:type="dxa"/>
          <w:trHeight w:val="164"/>
          <w:tblHeader/>
          <w:jc w:val="center"/>
        </w:trPr>
        <w:tc>
          <w:tcPr>
            <w:tcW w:w="9983" w:type="dxa"/>
            <w:gridSpan w:val="4"/>
            <w:shd w:val="clear" w:color="auto" w:fill="FFFFFF"/>
            <w:vAlign w:val="center"/>
          </w:tcPr>
          <w:p>
            <w:pPr>
              <w:jc w:val="right"/>
              <w:rPr>
                <w:noProof/>
                <w:sz w:val="16"/>
                <w:szCs w:val="16"/>
              </w:rPr>
            </w:pPr>
            <w:r>
              <w:rPr>
                <w:i/>
                <w:noProof/>
                <w:sz w:val="16"/>
              </w:rPr>
              <w:t>(в евро)</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200" w:type="dxa"/>
            <w:gridSpan w:val="2"/>
            <w:shd w:val="clear" w:color="auto" w:fill="D9D9D9"/>
            <w:vAlign w:val="center"/>
          </w:tcPr>
          <w:p>
            <w:pPr>
              <w:widowControl w:val="0"/>
              <w:spacing w:before="15" w:after="15" w:line="276" w:lineRule="auto"/>
              <w:jc w:val="center"/>
              <w:rPr>
                <w:b/>
                <w:noProof/>
                <w:sz w:val="20"/>
                <w:szCs w:val="20"/>
              </w:rPr>
            </w:pPr>
            <w:r>
              <w:rPr>
                <w:b/>
                <w:noProof/>
                <w:sz w:val="20"/>
              </w:rPr>
              <w:t>Бюджетен ред</w:t>
            </w:r>
          </w:p>
        </w:tc>
        <w:tc>
          <w:tcPr>
            <w:tcW w:w="5503" w:type="dxa"/>
            <w:shd w:val="clear" w:color="auto" w:fill="D9D9D9"/>
            <w:vAlign w:val="center"/>
          </w:tcPr>
          <w:p>
            <w:pPr>
              <w:widowControl w:val="0"/>
              <w:spacing w:before="15" w:after="15" w:line="276" w:lineRule="auto"/>
              <w:jc w:val="center"/>
              <w:rPr>
                <w:b/>
                <w:noProof/>
                <w:sz w:val="20"/>
                <w:szCs w:val="20"/>
              </w:rPr>
            </w:pPr>
            <w:r>
              <w:rPr>
                <w:b/>
                <w:noProof/>
                <w:sz w:val="20"/>
              </w:rPr>
              <w:t>Наименование</w:t>
            </w:r>
          </w:p>
        </w:tc>
        <w:tc>
          <w:tcPr>
            <w:tcW w:w="1617" w:type="dxa"/>
            <w:shd w:val="clear" w:color="auto" w:fill="D9D9D9"/>
            <w:vAlign w:val="center"/>
          </w:tcPr>
          <w:p>
            <w:pPr>
              <w:widowControl w:val="0"/>
              <w:spacing w:before="15" w:after="15" w:line="276" w:lineRule="auto"/>
              <w:jc w:val="center"/>
              <w:rPr>
                <w:b/>
                <w:noProof/>
                <w:sz w:val="20"/>
                <w:szCs w:val="20"/>
              </w:rPr>
            </w:pPr>
            <w:r>
              <w:rPr>
                <w:b/>
                <w:noProof/>
                <w:sz w:val="20"/>
              </w:rPr>
              <w:t>Бюджетни кредити за поети задължения</w:t>
            </w:r>
          </w:p>
        </w:tc>
        <w:tc>
          <w:tcPr>
            <w:tcW w:w="1680" w:type="dxa"/>
            <w:gridSpan w:val="2"/>
            <w:shd w:val="clear" w:color="auto" w:fill="D9D9D9"/>
            <w:vAlign w:val="center"/>
          </w:tcPr>
          <w:p>
            <w:pPr>
              <w:widowControl w:val="0"/>
              <w:spacing w:before="15" w:after="15" w:line="276" w:lineRule="auto"/>
              <w:jc w:val="center"/>
              <w:rPr>
                <w:b/>
                <w:noProof/>
                <w:sz w:val="20"/>
                <w:szCs w:val="20"/>
              </w:rPr>
            </w:pPr>
            <w:r>
              <w:rPr>
                <w:b/>
                <w:noProof/>
                <w:sz w:val="20"/>
              </w:rPr>
              <w:t>Бюджетни кредити за плащания</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000" w:type="dxa"/>
            <w:gridSpan w:val="6"/>
            <w:shd w:val="clear" w:color="auto" w:fill="F2F2F2" w:themeFill="background1" w:themeFillShade="F2"/>
          </w:tcPr>
          <w:p>
            <w:pPr>
              <w:widowControl w:val="0"/>
              <w:spacing w:before="15" w:after="15" w:line="276" w:lineRule="auto"/>
              <w:rPr>
                <w:i/>
                <w:noProof/>
                <w:sz w:val="20"/>
                <w:szCs w:val="20"/>
              </w:rPr>
            </w:pPr>
            <w:r>
              <w:rPr>
                <w:i/>
                <w:noProof/>
                <w:sz w:val="20"/>
              </w:rPr>
              <w:t>Раздел III — Комисия</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200" w:type="dxa"/>
            <w:gridSpan w:val="2"/>
          </w:tcPr>
          <w:p>
            <w:pPr>
              <w:widowControl w:val="0"/>
              <w:spacing w:before="15" w:after="15" w:line="276" w:lineRule="auto"/>
              <w:ind w:right="-113"/>
              <w:jc w:val="both"/>
              <w:rPr>
                <w:noProof/>
                <w:sz w:val="20"/>
                <w:szCs w:val="20"/>
              </w:rPr>
            </w:pPr>
            <w:r>
              <w:rPr>
                <w:noProof/>
                <w:sz w:val="20"/>
              </w:rPr>
              <w:t>40 02 44</w:t>
            </w:r>
          </w:p>
        </w:tc>
        <w:tc>
          <w:tcPr>
            <w:tcW w:w="5503" w:type="dxa"/>
          </w:tcPr>
          <w:p>
            <w:pPr>
              <w:rPr>
                <w:noProof/>
                <w:sz w:val="20"/>
                <w:szCs w:val="20"/>
              </w:rPr>
            </w:pPr>
            <w:r>
              <w:rPr>
                <w:noProof/>
                <w:sz w:val="20"/>
              </w:rPr>
              <w:t>Резерв за фонд „Солидарност“ на Европейския съюз</w:t>
            </w:r>
          </w:p>
        </w:tc>
        <w:tc>
          <w:tcPr>
            <w:tcW w:w="1617" w:type="dxa"/>
          </w:tcPr>
          <w:p>
            <w:pPr>
              <w:widowControl w:val="0"/>
              <w:spacing w:before="15" w:after="15" w:line="276" w:lineRule="auto"/>
              <w:jc w:val="right"/>
              <w:rPr>
                <w:noProof/>
                <w:sz w:val="20"/>
                <w:szCs w:val="20"/>
              </w:rPr>
            </w:pPr>
            <w:r>
              <w:rPr>
                <w:noProof/>
                <w:sz w:val="20"/>
              </w:rPr>
              <w:t>-293 628 245</w:t>
            </w:r>
          </w:p>
        </w:tc>
        <w:tc>
          <w:tcPr>
            <w:tcW w:w="1680" w:type="dxa"/>
            <w:gridSpan w:val="2"/>
          </w:tcPr>
          <w:p>
            <w:pPr>
              <w:widowControl w:val="0"/>
              <w:spacing w:before="15" w:after="15" w:line="276" w:lineRule="auto"/>
              <w:jc w:val="right"/>
              <w:rPr>
                <w:noProof/>
                <w:sz w:val="20"/>
                <w:szCs w:val="20"/>
              </w:rPr>
            </w:pPr>
            <w:r>
              <w:rPr>
                <w:noProof/>
                <w:sz w:val="20"/>
              </w:rPr>
              <w:t>-112 000 000</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6703" w:type="dxa"/>
            <w:gridSpan w:val="3"/>
            <w:shd w:val="clear" w:color="auto" w:fill="D9D9D9"/>
          </w:tcPr>
          <w:p>
            <w:pPr>
              <w:widowControl w:val="0"/>
              <w:tabs>
                <w:tab w:val="left" w:pos="975"/>
              </w:tabs>
              <w:spacing w:before="15" w:after="15"/>
              <w:jc w:val="both"/>
              <w:rPr>
                <w:b/>
                <w:noProof/>
                <w:sz w:val="20"/>
                <w:szCs w:val="20"/>
              </w:rPr>
            </w:pPr>
            <w:r>
              <w:rPr>
                <w:b/>
                <w:noProof/>
                <w:sz w:val="20"/>
              </w:rPr>
              <w:t>Общо</w:t>
            </w:r>
            <w:r>
              <w:rPr>
                <w:noProof/>
              </w:rPr>
              <w:tab/>
            </w:r>
          </w:p>
        </w:tc>
        <w:tc>
          <w:tcPr>
            <w:tcW w:w="1617" w:type="dxa"/>
            <w:shd w:val="clear" w:color="auto" w:fill="D9D9D9"/>
          </w:tcPr>
          <w:p>
            <w:pPr>
              <w:widowControl w:val="0"/>
              <w:spacing w:before="15" w:after="15"/>
              <w:jc w:val="right"/>
              <w:rPr>
                <w:b/>
                <w:noProof/>
                <w:sz w:val="20"/>
                <w:szCs w:val="20"/>
              </w:rPr>
            </w:pPr>
            <w:r>
              <w:rPr>
                <w:b/>
                <w:noProof/>
                <w:sz w:val="20"/>
              </w:rPr>
              <w:t>-293 628 245</w:t>
            </w:r>
          </w:p>
        </w:tc>
        <w:tc>
          <w:tcPr>
            <w:tcW w:w="1680" w:type="dxa"/>
            <w:gridSpan w:val="2"/>
            <w:shd w:val="clear" w:color="auto" w:fill="D9D9D9"/>
          </w:tcPr>
          <w:p>
            <w:pPr>
              <w:widowControl w:val="0"/>
              <w:spacing w:before="15" w:after="15"/>
              <w:jc w:val="right"/>
              <w:rPr>
                <w:b/>
                <w:noProof/>
                <w:sz w:val="20"/>
                <w:szCs w:val="20"/>
              </w:rPr>
            </w:pPr>
            <w:r>
              <w:rPr>
                <w:b/>
                <w:noProof/>
                <w:sz w:val="20"/>
              </w:rPr>
              <w:t>-112 000 000</w:t>
            </w:r>
          </w:p>
        </w:tc>
      </w:tr>
    </w:tbl>
    <w:p>
      <w:pPr>
        <w:pStyle w:val="ManualHeading1"/>
        <w:spacing w:before="240"/>
        <w:rPr>
          <w:noProof/>
        </w:rPr>
      </w:pPr>
      <w:bookmarkStart w:id="70" w:name="_Toc495584131"/>
      <w:bookmarkStart w:id="71" w:name="_Toc496530517"/>
      <w:r>
        <w:rPr>
          <w:noProof/>
        </w:rPr>
        <w:t>4.</w:t>
      </w:r>
      <w:r>
        <w:rPr>
          <w:noProof/>
        </w:rPr>
        <w:tab/>
        <w:t>Агенции</w:t>
      </w:r>
      <w:bookmarkEnd w:id="70"/>
      <w:bookmarkEnd w:id="71"/>
    </w:p>
    <w:p>
      <w:pPr>
        <w:keepNext/>
        <w:tabs>
          <w:tab w:val="left" w:pos="850"/>
        </w:tabs>
        <w:spacing w:before="360" w:after="120"/>
        <w:ind w:left="357" w:hanging="357"/>
        <w:jc w:val="both"/>
        <w:outlineLvl w:val="1"/>
        <w:rPr>
          <w:rFonts w:eastAsia="Calibri"/>
          <w:b/>
          <w:noProof/>
        </w:rPr>
      </w:pPr>
      <w:bookmarkStart w:id="72" w:name="_Toc462933838"/>
      <w:bookmarkStart w:id="73" w:name="_Toc462935199"/>
      <w:bookmarkStart w:id="74" w:name="_Toc462935301"/>
      <w:bookmarkStart w:id="75" w:name="_Toc462935349"/>
      <w:bookmarkStart w:id="76" w:name="_Toc462935506"/>
      <w:bookmarkStart w:id="77" w:name="_Toc463004740"/>
      <w:bookmarkStart w:id="78" w:name="_Toc462933839"/>
      <w:bookmarkStart w:id="79" w:name="_Toc462935200"/>
      <w:bookmarkStart w:id="80" w:name="_Toc462935302"/>
      <w:bookmarkStart w:id="81" w:name="_Toc462935350"/>
      <w:bookmarkStart w:id="82" w:name="_Toc462935507"/>
      <w:bookmarkStart w:id="83" w:name="_Toc463004741"/>
      <w:bookmarkStart w:id="84" w:name="_Toc462933840"/>
      <w:bookmarkStart w:id="85" w:name="_Toc462935201"/>
      <w:bookmarkStart w:id="86" w:name="_Toc462935303"/>
      <w:bookmarkStart w:id="87" w:name="_Toc462935351"/>
      <w:bookmarkStart w:id="88" w:name="_Toc462935508"/>
      <w:bookmarkStart w:id="89" w:name="_Toc463004742"/>
      <w:bookmarkStart w:id="90" w:name="_Toc463974158"/>
      <w:bookmarkStart w:id="91" w:name="_Toc464028203"/>
      <w:bookmarkStart w:id="92" w:name="_Toc464028335"/>
      <w:bookmarkStart w:id="93" w:name="_Toc463974159"/>
      <w:bookmarkStart w:id="94" w:name="_Toc464028204"/>
      <w:bookmarkStart w:id="95" w:name="_Toc464028336"/>
      <w:bookmarkStart w:id="96" w:name="_Toc463974160"/>
      <w:bookmarkStart w:id="97" w:name="_Toc464028205"/>
      <w:bookmarkStart w:id="98" w:name="_Toc464028337"/>
      <w:bookmarkStart w:id="99" w:name="_Toc463974161"/>
      <w:bookmarkStart w:id="100" w:name="_Toc464028206"/>
      <w:bookmarkStart w:id="101" w:name="_Toc464028338"/>
      <w:bookmarkStart w:id="102" w:name="_Toc495584132"/>
      <w:bookmarkStart w:id="103" w:name="_Toc496530518"/>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b/>
          <w:noProof/>
        </w:rPr>
        <w:t xml:space="preserve">4.1 </w:t>
      </w:r>
      <w:r>
        <w:rPr>
          <w:noProof/>
        </w:rPr>
        <w:tab/>
      </w:r>
      <w:r>
        <w:rPr>
          <w:b/>
          <w:noProof/>
        </w:rPr>
        <w:t>Европейски орган за ценни книжа и пазари (ЕSMA)</w:t>
      </w:r>
      <w:bookmarkEnd w:id="102"/>
      <w:bookmarkEnd w:id="103"/>
    </w:p>
    <w:p>
      <w:pPr>
        <w:spacing w:before="120" w:after="120"/>
        <w:jc w:val="both"/>
        <w:rPr>
          <w:noProof/>
        </w:rPr>
      </w:pPr>
      <w:r>
        <w:rPr>
          <w:noProof/>
        </w:rPr>
        <w:t>На 13 юни 2017 г. Комисията прие предложение за Регламент</w:t>
      </w:r>
      <w:r>
        <w:rPr>
          <w:noProof/>
          <w:vertAlign w:val="superscript"/>
        </w:rPr>
        <w:footnoteReference w:id="15"/>
      </w:r>
      <w:r>
        <w:rPr>
          <w:noProof/>
        </w:rPr>
        <w:t xml:space="preserve"> по отношение на процедурите и участващите органи при лицензирането на централни контрагенти (ЦК), както и на изискванията за признаване на ЦК от трети държави.</w:t>
      </w:r>
    </w:p>
    <w:p>
      <w:pPr>
        <w:autoSpaceDE w:val="0"/>
        <w:autoSpaceDN w:val="0"/>
        <w:adjustRightInd w:val="0"/>
        <w:jc w:val="both"/>
        <w:rPr>
          <w:noProof/>
        </w:rPr>
      </w:pPr>
      <w:r>
        <w:rPr>
          <w:noProof/>
        </w:rPr>
        <w:t xml:space="preserve">Понастоящем има 17 ЦК, установени в ЕС, всички от които са лицензирани да предоставят услуги на територията на Съюза. Признати са още 28 ЦК от трети държави, което им позволява да предлагат услуги в ЕС. Други 12 ЦК от 10 юрисдикции са поискали признаване и очакват решение на Комисията. Освен това понастоящем клирингът на значителен обем сделки с деривати в евро (и други сделки, които в ЕС подлежат на задължителен клиринг) се извършва от ЦК, намиращи се в Обединеното кралство. </w:t>
      </w:r>
    </w:p>
    <w:p>
      <w:pPr>
        <w:spacing w:before="120" w:after="120"/>
        <w:jc w:val="both"/>
        <w:rPr>
          <w:noProof/>
        </w:rPr>
      </w:pPr>
      <w:r>
        <w:rPr>
          <w:noProof/>
        </w:rPr>
        <w:t>Предвид увеличения брой на ЦК от трети държави, Комисията предлага да се даде на Европейския орган за ценни книжа и пазари (ЕSMA, Париж) мандат да поеме по-широк кръг надзорни задачи по отношение на тези ЦК. Предполага се, че регламентът ще влезе в сила в средата на 2018 г. ESMA ще се нуждае от допълнителни човешки и финансови ресурси за изпълняване на новите си задачи по Регламента за ЦК, с постепенно въвеждане през периода 2018—2020 г.</w:t>
      </w:r>
    </w:p>
    <w:p>
      <w:pPr>
        <w:spacing w:before="120" w:after="120"/>
        <w:jc w:val="both"/>
        <w:rPr>
          <w:noProof/>
        </w:rPr>
      </w:pPr>
      <w:r>
        <w:rPr>
          <w:noProof/>
        </w:rPr>
        <w:t>За 2018 г. са поискани 20 допълнителни срочно наети служители (които ще бъдат наети със степен AD7) и 10 командировани национални експерти, които да започнат работа от август 2018 г. Свързаните с тях разходи, по-специално за заплати, командировки и наем на офиси, възлизат на 4,3 млн. евро през 2018 г. и се очаква да бъдат покрити от събраните от сектора такси. Въпреки това, предвид факта, че въвеждането на такси ще изисква предварително приемане на делегиран акт на Комисията, разходите, направени през 2018 г., ще трябва да бъдат финансирани от бюджета на ЕС (да бъдат взети от неразпределения марж под тавана на разходите по функция 1а) и да бъдат върнати на бюджета на ЕС най-късно до 2020 г.</w:t>
      </w:r>
    </w:p>
    <w:tbl>
      <w:tblPr>
        <w:tblW w:w="10000" w:type="dxa"/>
        <w:jc w:val="center"/>
        <w:tblLayout w:type="fixed"/>
        <w:tblCellMar>
          <w:left w:w="40" w:type="dxa"/>
          <w:right w:w="40" w:type="dxa"/>
        </w:tblCellMar>
        <w:tblLook w:val="0000" w:firstRow="0" w:lastRow="0" w:firstColumn="0" w:lastColumn="0" w:noHBand="0" w:noVBand="0"/>
      </w:tblPr>
      <w:tblGrid>
        <w:gridCol w:w="9"/>
        <w:gridCol w:w="1191"/>
        <w:gridCol w:w="5503"/>
        <w:gridCol w:w="1617"/>
        <w:gridCol w:w="1672"/>
        <w:gridCol w:w="8"/>
      </w:tblGrid>
      <w:tr>
        <w:trPr>
          <w:gridBefore w:val="1"/>
          <w:gridAfter w:val="1"/>
          <w:wBefore w:w="9" w:type="dxa"/>
          <w:wAfter w:w="8" w:type="dxa"/>
          <w:trHeight w:val="164"/>
          <w:tblHeader/>
          <w:jc w:val="center"/>
        </w:trPr>
        <w:tc>
          <w:tcPr>
            <w:tcW w:w="9983" w:type="dxa"/>
            <w:gridSpan w:val="4"/>
            <w:shd w:val="clear" w:color="auto" w:fill="FFFFFF"/>
            <w:vAlign w:val="center"/>
          </w:tcPr>
          <w:p>
            <w:pPr>
              <w:jc w:val="right"/>
              <w:rPr>
                <w:noProof/>
                <w:sz w:val="16"/>
                <w:szCs w:val="16"/>
              </w:rPr>
            </w:pPr>
            <w:r>
              <w:rPr>
                <w:i/>
                <w:noProof/>
                <w:sz w:val="16"/>
              </w:rPr>
              <w:t>(в евро)</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200" w:type="dxa"/>
            <w:gridSpan w:val="2"/>
            <w:shd w:val="clear" w:color="auto" w:fill="D9D9D9"/>
            <w:vAlign w:val="center"/>
          </w:tcPr>
          <w:p>
            <w:pPr>
              <w:widowControl w:val="0"/>
              <w:spacing w:before="15" w:after="15" w:line="276" w:lineRule="auto"/>
              <w:jc w:val="center"/>
              <w:rPr>
                <w:b/>
                <w:noProof/>
                <w:sz w:val="20"/>
                <w:szCs w:val="20"/>
              </w:rPr>
            </w:pPr>
            <w:r>
              <w:rPr>
                <w:b/>
                <w:noProof/>
                <w:sz w:val="20"/>
              </w:rPr>
              <w:t>Бюджетен ред</w:t>
            </w:r>
          </w:p>
        </w:tc>
        <w:tc>
          <w:tcPr>
            <w:tcW w:w="5503" w:type="dxa"/>
            <w:shd w:val="clear" w:color="auto" w:fill="D9D9D9"/>
            <w:vAlign w:val="center"/>
          </w:tcPr>
          <w:p>
            <w:pPr>
              <w:widowControl w:val="0"/>
              <w:spacing w:before="15" w:after="15" w:line="276" w:lineRule="auto"/>
              <w:jc w:val="center"/>
              <w:rPr>
                <w:b/>
                <w:noProof/>
                <w:sz w:val="20"/>
                <w:szCs w:val="20"/>
              </w:rPr>
            </w:pPr>
            <w:r>
              <w:rPr>
                <w:b/>
                <w:noProof/>
                <w:sz w:val="20"/>
              </w:rPr>
              <w:t>Наименование</w:t>
            </w:r>
          </w:p>
        </w:tc>
        <w:tc>
          <w:tcPr>
            <w:tcW w:w="1617" w:type="dxa"/>
            <w:shd w:val="clear" w:color="auto" w:fill="D9D9D9"/>
            <w:vAlign w:val="center"/>
          </w:tcPr>
          <w:p>
            <w:pPr>
              <w:widowControl w:val="0"/>
              <w:spacing w:before="15" w:after="15" w:line="276" w:lineRule="auto"/>
              <w:jc w:val="center"/>
              <w:rPr>
                <w:b/>
                <w:noProof/>
                <w:sz w:val="20"/>
                <w:szCs w:val="20"/>
              </w:rPr>
            </w:pPr>
            <w:r>
              <w:rPr>
                <w:b/>
                <w:noProof/>
                <w:sz w:val="20"/>
              </w:rPr>
              <w:t>Бюджетни кредити за поети задължения</w:t>
            </w:r>
          </w:p>
        </w:tc>
        <w:tc>
          <w:tcPr>
            <w:tcW w:w="1680" w:type="dxa"/>
            <w:gridSpan w:val="2"/>
            <w:shd w:val="clear" w:color="auto" w:fill="D9D9D9"/>
            <w:vAlign w:val="center"/>
          </w:tcPr>
          <w:p>
            <w:pPr>
              <w:widowControl w:val="0"/>
              <w:spacing w:before="15" w:after="15" w:line="276" w:lineRule="auto"/>
              <w:jc w:val="center"/>
              <w:rPr>
                <w:b/>
                <w:noProof/>
                <w:sz w:val="20"/>
                <w:szCs w:val="20"/>
              </w:rPr>
            </w:pPr>
            <w:r>
              <w:rPr>
                <w:b/>
                <w:noProof/>
                <w:sz w:val="20"/>
              </w:rPr>
              <w:t>Бюджетни кредити за плащания</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000" w:type="dxa"/>
            <w:gridSpan w:val="6"/>
            <w:shd w:val="clear" w:color="auto" w:fill="F2F2F2" w:themeFill="background1" w:themeFillShade="F2"/>
          </w:tcPr>
          <w:p>
            <w:pPr>
              <w:widowControl w:val="0"/>
              <w:spacing w:before="15" w:after="15" w:line="276" w:lineRule="auto"/>
              <w:rPr>
                <w:i/>
                <w:noProof/>
                <w:sz w:val="20"/>
                <w:szCs w:val="20"/>
              </w:rPr>
            </w:pPr>
            <w:r>
              <w:rPr>
                <w:i/>
                <w:noProof/>
                <w:sz w:val="20"/>
              </w:rPr>
              <w:t>Раздел III — Комисия</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200" w:type="dxa"/>
            <w:gridSpan w:val="2"/>
          </w:tcPr>
          <w:p>
            <w:pPr>
              <w:widowControl w:val="0"/>
              <w:spacing w:before="15" w:after="15" w:line="276" w:lineRule="auto"/>
              <w:ind w:right="-113"/>
              <w:jc w:val="both"/>
              <w:rPr>
                <w:noProof/>
                <w:sz w:val="20"/>
                <w:szCs w:val="20"/>
              </w:rPr>
            </w:pPr>
            <w:r>
              <w:rPr>
                <w:noProof/>
                <w:sz w:val="20"/>
              </w:rPr>
              <w:t>12 02 06</w:t>
            </w:r>
          </w:p>
        </w:tc>
        <w:tc>
          <w:tcPr>
            <w:tcW w:w="5503" w:type="dxa"/>
          </w:tcPr>
          <w:p>
            <w:pPr>
              <w:widowControl w:val="0"/>
              <w:tabs>
                <w:tab w:val="left" w:pos="1350"/>
              </w:tabs>
              <w:spacing w:before="15" w:after="15" w:line="276" w:lineRule="auto"/>
              <w:jc w:val="both"/>
              <w:rPr>
                <w:noProof/>
                <w:sz w:val="20"/>
                <w:szCs w:val="20"/>
              </w:rPr>
            </w:pPr>
            <w:r>
              <w:rPr>
                <w:noProof/>
                <w:sz w:val="20"/>
              </w:rPr>
              <w:t>Европейски орган за ценни книжа и пазари (ЕSMA)</w:t>
            </w:r>
          </w:p>
        </w:tc>
        <w:tc>
          <w:tcPr>
            <w:tcW w:w="1617" w:type="dxa"/>
          </w:tcPr>
          <w:p>
            <w:pPr>
              <w:widowControl w:val="0"/>
              <w:spacing w:before="15" w:after="15" w:line="276" w:lineRule="auto"/>
              <w:jc w:val="right"/>
              <w:rPr>
                <w:noProof/>
                <w:sz w:val="20"/>
                <w:szCs w:val="20"/>
              </w:rPr>
            </w:pPr>
            <w:r>
              <w:rPr>
                <w:noProof/>
                <w:sz w:val="20"/>
              </w:rPr>
              <w:t>4 310 555</w:t>
            </w:r>
          </w:p>
        </w:tc>
        <w:tc>
          <w:tcPr>
            <w:tcW w:w="1680" w:type="dxa"/>
            <w:gridSpan w:val="2"/>
          </w:tcPr>
          <w:p>
            <w:pPr>
              <w:widowControl w:val="0"/>
              <w:spacing w:before="15" w:after="15" w:line="276" w:lineRule="auto"/>
              <w:jc w:val="right"/>
              <w:rPr>
                <w:noProof/>
                <w:sz w:val="20"/>
                <w:szCs w:val="20"/>
              </w:rPr>
            </w:pPr>
            <w:r>
              <w:rPr>
                <w:noProof/>
                <w:sz w:val="20"/>
              </w:rPr>
              <w:t>4 310 555</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6703" w:type="dxa"/>
            <w:gridSpan w:val="3"/>
            <w:shd w:val="clear" w:color="auto" w:fill="D9D9D9"/>
          </w:tcPr>
          <w:p>
            <w:pPr>
              <w:widowControl w:val="0"/>
              <w:tabs>
                <w:tab w:val="left" w:pos="975"/>
              </w:tabs>
              <w:spacing w:before="15" w:after="15"/>
              <w:jc w:val="both"/>
              <w:rPr>
                <w:b/>
                <w:noProof/>
                <w:sz w:val="20"/>
                <w:szCs w:val="20"/>
              </w:rPr>
            </w:pPr>
            <w:r>
              <w:rPr>
                <w:b/>
                <w:noProof/>
                <w:sz w:val="20"/>
              </w:rPr>
              <w:t>Общо</w:t>
            </w:r>
            <w:r>
              <w:rPr>
                <w:noProof/>
              </w:rPr>
              <w:tab/>
            </w:r>
          </w:p>
        </w:tc>
        <w:tc>
          <w:tcPr>
            <w:tcW w:w="1617" w:type="dxa"/>
            <w:shd w:val="clear" w:color="auto" w:fill="D9D9D9"/>
          </w:tcPr>
          <w:p>
            <w:pPr>
              <w:widowControl w:val="0"/>
              <w:spacing w:before="15" w:after="15"/>
              <w:jc w:val="right"/>
              <w:rPr>
                <w:b/>
                <w:noProof/>
                <w:sz w:val="20"/>
                <w:szCs w:val="20"/>
              </w:rPr>
            </w:pPr>
            <w:r>
              <w:rPr>
                <w:b/>
                <w:noProof/>
                <w:sz w:val="20"/>
              </w:rPr>
              <w:t>4 310 555</w:t>
            </w:r>
          </w:p>
        </w:tc>
        <w:tc>
          <w:tcPr>
            <w:tcW w:w="1680" w:type="dxa"/>
            <w:gridSpan w:val="2"/>
            <w:shd w:val="clear" w:color="auto" w:fill="D9D9D9"/>
          </w:tcPr>
          <w:p>
            <w:pPr>
              <w:widowControl w:val="0"/>
              <w:spacing w:before="15" w:after="15"/>
              <w:jc w:val="right"/>
              <w:rPr>
                <w:b/>
                <w:noProof/>
                <w:sz w:val="20"/>
                <w:szCs w:val="20"/>
              </w:rPr>
            </w:pPr>
            <w:r>
              <w:rPr>
                <w:b/>
                <w:noProof/>
                <w:sz w:val="20"/>
              </w:rPr>
              <w:t>4 310 555</w:t>
            </w:r>
          </w:p>
        </w:tc>
      </w:tr>
    </w:tbl>
    <w:p>
      <w:pPr>
        <w:spacing w:before="120" w:after="120"/>
        <w:jc w:val="both"/>
        <w:rPr>
          <w:noProof/>
        </w:rPr>
      </w:pPr>
      <w:r>
        <w:rPr>
          <w:noProof/>
        </w:rPr>
        <w:t>Актуализираното щатно разписание е посочено в бюджетното приложение.</w:t>
      </w:r>
    </w:p>
    <w:p>
      <w:pPr>
        <w:keepNext/>
        <w:tabs>
          <w:tab w:val="left" w:pos="850"/>
        </w:tabs>
        <w:spacing w:before="360" w:after="120"/>
        <w:ind w:left="851" w:hanging="851"/>
        <w:jc w:val="both"/>
        <w:outlineLvl w:val="1"/>
        <w:rPr>
          <w:rFonts w:eastAsia="Calibri"/>
          <w:b/>
          <w:noProof/>
        </w:rPr>
      </w:pPr>
      <w:bookmarkStart w:id="104" w:name="_Toc495584133"/>
      <w:bookmarkStart w:id="105" w:name="_Toc496530519"/>
      <w:r>
        <w:rPr>
          <w:b/>
          <w:noProof/>
        </w:rPr>
        <w:t>4.2</w:t>
      </w:r>
      <w:r>
        <w:rPr>
          <w:noProof/>
        </w:rPr>
        <w:tab/>
      </w:r>
      <w:r>
        <w:rPr>
          <w:b/>
          <w:noProof/>
        </w:rPr>
        <w:t>Европейска фондация за подобряване на условията на живот и труд (EUROFOUND)</w:t>
      </w:r>
      <w:bookmarkEnd w:id="104"/>
      <w:bookmarkEnd w:id="105"/>
    </w:p>
    <w:p>
      <w:pPr>
        <w:spacing w:before="120" w:after="120"/>
        <w:jc w:val="both"/>
        <w:rPr>
          <w:noProof/>
        </w:rPr>
      </w:pPr>
      <w:r>
        <w:rPr>
          <w:noProof/>
        </w:rPr>
        <w:t xml:space="preserve">Целта за намаляване на персонала на Европейската фондация за подобряване на условията на живот и труд (EUROFOUND) в Дъблин означава да бъдат съкратени две щатни бройки през 2018 г., т.е. от 93 щатни бройки, включени в бюджета за 2017 г., да останат 91 щатни бройки в проектобюджета за 2018 г., от които 49 щатни бройки бяха предложени във функционалната група за администратори и 42 щатни бройки — във функционалната група за асистенти. </w:t>
      </w:r>
    </w:p>
    <w:p>
      <w:pPr>
        <w:spacing w:before="120" w:after="120"/>
        <w:jc w:val="both"/>
        <w:rPr>
          <w:noProof/>
        </w:rPr>
      </w:pPr>
      <w:r>
        <w:rPr>
          <w:noProof/>
        </w:rPr>
        <w:t>След оттеглянето на две длъжностни лица във функционалната група за администратори, сега агенцията е поискала замяна на две постоянни щатни бройки за длъжностни лица с две временни щатни бройки за срочно наети служители във функционалната група за администратори. По този начин общият брой на щатните бройки във функционалната група за администратори се запазва на първоначално поисканото ниво за 2018 г. (49). Това няма отражение върху разходите.</w:t>
      </w:r>
    </w:p>
    <w:p>
      <w:pPr>
        <w:spacing w:before="120" w:after="120"/>
        <w:jc w:val="both"/>
        <w:rPr>
          <w:noProof/>
        </w:rPr>
      </w:pPr>
      <w:r>
        <w:rPr>
          <w:noProof/>
        </w:rPr>
        <w:t>Актуализираното щатно разписание е посочено в бюджетното приложение.</w:t>
      </w:r>
    </w:p>
    <w:p>
      <w:pPr>
        <w:keepNext/>
        <w:tabs>
          <w:tab w:val="left" w:pos="850"/>
        </w:tabs>
        <w:spacing w:before="360" w:after="120"/>
        <w:ind w:left="357" w:hanging="357"/>
        <w:jc w:val="both"/>
        <w:outlineLvl w:val="1"/>
        <w:rPr>
          <w:rFonts w:eastAsia="Calibri"/>
          <w:b/>
          <w:noProof/>
        </w:rPr>
      </w:pPr>
      <w:bookmarkStart w:id="106" w:name="_Toc495584134"/>
      <w:bookmarkStart w:id="107" w:name="_Toc496530520"/>
      <w:r>
        <w:rPr>
          <w:b/>
          <w:noProof/>
        </w:rPr>
        <w:t xml:space="preserve">4.3 </w:t>
      </w:r>
      <w:r>
        <w:rPr>
          <w:noProof/>
        </w:rPr>
        <w:tab/>
      </w:r>
      <w:r>
        <w:rPr>
          <w:b/>
          <w:noProof/>
        </w:rPr>
        <w:t>Изпълнителна агенция за образование, аудиовизия и култура (EACEA)</w:t>
      </w:r>
      <w:bookmarkEnd w:id="106"/>
      <w:bookmarkEnd w:id="107"/>
    </w:p>
    <w:p>
      <w:pPr>
        <w:spacing w:before="120" w:after="120"/>
        <w:jc w:val="both"/>
        <w:rPr>
          <w:noProof/>
        </w:rPr>
      </w:pPr>
      <w:r>
        <w:rPr>
          <w:noProof/>
        </w:rPr>
        <w:t>В съответствие с предварителните резултати от анализа на разходите и ползите, които ще бъдат представени на Комитета за изпълнителните агенции в рамките на предстоящия пакет за делегиране, Комисията ще предложи да се възложат на EACEA задачи по изпълнението в контекста на новия Европейския корпус за солидарност (ESC), предложен на 30 май 2017 г.</w:t>
      </w:r>
      <w:r>
        <w:rPr>
          <w:rStyle w:val="FootnoteReference"/>
          <w:noProof/>
        </w:rPr>
        <w:footnoteReference w:id="16"/>
      </w:r>
      <w:r>
        <w:rPr>
          <w:noProof/>
        </w:rPr>
        <w:t xml:space="preserve"> Тези задачи включват стартиране и приключване на процедури за отпускане на безвъзмездни средства и за възлагане на обществени поръчки, мониторинг на проекти, финансов контрол и счетоводство, съдействие при оценяване на програмата и различни помощни задачи.</w:t>
      </w:r>
    </w:p>
    <w:p>
      <w:pPr>
        <w:spacing w:before="120" w:after="120"/>
        <w:jc w:val="both"/>
        <w:rPr>
          <w:noProof/>
        </w:rPr>
      </w:pPr>
      <w:r>
        <w:rPr>
          <w:noProof/>
        </w:rPr>
        <w:t>Комисията предлага да се създаде бюджетна позиция 15 01 06 03</w:t>
      </w:r>
      <w:r>
        <w:rPr>
          <w:i/>
          <w:noProof/>
        </w:rPr>
        <w:t xml:space="preserve"> Изпълнителна агенция за образование, аудиовизия и култура — вноска от Европейския корпус за солидарност</w:t>
      </w:r>
      <w:r>
        <w:rPr>
          <w:noProof/>
        </w:rPr>
        <w:t xml:space="preserve">, която да покрие оперативните разходи, които EACEA ще извърши в хода на прилагането на ESC. </w:t>
      </w:r>
    </w:p>
    <w:p>
      <w:pPr>
        <w:spacing w:before="120" w:after="120"/>
        <w:jc w:val="both"/>
        <w:rPr>
          <w:noProof/>
        </w:rPr>
      </w:pPr>
      <w:r>
        <w:rPr>
          <w:noProof/>
        </w:rPr>
        <w:t xml:space="preserve">За бюджетната позиция няма да бъдат разпределени бюджетни кредити в очакване на резултата от законодателната процедура и консултацията с Комитета за изпълнителните агенции. Създаването на тази позиция с означението </w:t>
      </w:r>
      <w:r>
        <w:rPr>
          <w:i/>
          <w:noProof/>
        </w:rPr>
        <w:t>„pro memoria“</w:t>
      </w:r>
      <w:r>
        <w:rPr>
          <w:noProof/>
        </w:rPr>
        <w:t xml:space="preserve"> ще позволи на Комисията да прехвърли спешно необходимите бюджетни кредити в съответствие с разпоредбите на Финансовия регламент, след като бъде приета правното основание на ESC, за да не се забави изпълнението на дейностите. По този начин възможностите за мобилност на младите хора ще са бързо достъпни през 2018 г. </w:t>
      </w:r>
    </w:p>
    <w:tbl>
      <w:tblPr>
        <w:tblW w:w="10000" w:type="dxa"/>
        <w:jc w:val="center"/>
        <w:tblLayout w:type="fixed"/>
        <w:tblCellMar>
          <w:left w:w="40" w:type="dxa"/>
          <w:right w:w="40" w:type="dxa"/>
        </w:tblCellMar>
        <w:tblLook w:val="0000" w:firstRow="0" w:lastRow="0" w:firstColumn="0" w:lastColumn="0" w:noHBand="0" w:noVBand="0"/>
      </w:tblPr>
      <w:tblGrid>
        <w:gridCol w:w="9"/>
        <w:gridCol w:w="1191"/>
        <w:gridCol w:w="5503"/>
        <w:gridCol w:w="1617"/>
        <w:gridCol w:w="1672"/>
        <w:gridCol w:w="8"/>
      </w:tblGrid>
      <w:tr>
        <w:trPr>
          <w:gridBefore w:val="1"/>
          <w:gridAfter w:val="1"/>
          <w:wBefore w:w="9" w:type="dxa"/>
          <w:wAfter w:w="8" w:type="dxa"/>
          <w:trHeight w:val="164"/>
          <w:tblHeader/>
          <w:jc w:val="center"/>
        </w:trPr>
        <w:tc>
          <w:tcPr>
            <w:tcW w:w="9983" w:type="dxa"/>
            <w:gridSpan w:val="4"/>
            <w:shd w:val="clear" w:color="auto" w:fill="FFFFFF"/>
            <w:vAlign w:val="center"/>
          </w:tcPr>
          <w:p>
            <w:pPr>
              <w:jc w:val="right"/>
              <w:rPr>
                <w:noProof/>
                <w:sz w:val="16"/>
                <w:szCs w:val="16"/>
              </w:rPr>
            </w:pPr>
            <w:r>
              <w:rPr>
                <w:i/>
                <w:noProof/>
                <w:sz w:val="16"/>
              </w:rPr>
              <w:t>(в евро)</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200" w:type="dxa"/>
            <w:gridSpan w:val="2"/>
            <w:shd w:val="clear" w:color="auto" w:fill="D9D9D9"/>
            <w:vAlign w:val="center"/>
          </w:tcPr>
          <w:p>
            <w:pPr>
              <w:widowControl w:val="0"/>
              <w:spacing w:before="15" w:after="15" w:line="276" w:lineRule="auto"/>
              <w:jc w:val="center"/>
              <w:rPr>
                <w:b/>
                <w:noProof/>
                <w:sz w:val="20"/>
                <w:szCs w:val="20"/>
              </w:rPr>
            </w:pPr>
            <w:r>
              <w:rPr>
                <w:b/>
                <w:noProof/>
                <w:sz w:val="20"/>
              </w:rPr>
              <w:t>Бюджетен ред</w:t>
            </w:r>
          </w:p>
        </w:tc>
        <w:tc>
          <w:tcPr>
            <w:tcW w:w="5503" w:type="dxa"/>
            <w:shd w:val="clear" w:color="auto" w:fill="D9D9D9"/>
            <w:vAlign w:val="center"/>
          </w:tcPr>
          <w:p>
            <w:pPr>
              <w:widowControl w:val="0"/>
              <w:spacing w:before="15" w:after="15" w:line="276" w:lineRule="auto"/>
              <w:jc w:val="center"/>
              <w:rPr>
                <w:b/>
                <w:noProof/>
                <w:sz w:val="20"/>
                <w:szCs w:val="20"/>
              </w:rPr>
            </w:pPr>
            <w:r>
              <w:rPr>
                <w:b/>
                <w:noProof/>
                <w:sz w:val="20"/>
              </w:rPr>
              <w:t>Наименование</w:t>
            </w:r>
          </w:p>
        </w:tc>
        <w:tc>
          <w:tcPr>
            <w:tcW w:w="1617" w:type="dxa"/>
            <w:shd w:val="clear" w:color="auto" w:fill="D9D9D9"/>
            <w:vAlign w:val="center"/>
          </w:tcPr>
          <w:p>
            <w:pPr>
              <w:widowControl w:val="0"/>
              <w:spacing w:before="15" w:after="15" w:line="276" w:lineRule="auto"/>
              <w:jc w:val="center"/>
              <w:rPr>
                <w:b/>
                <w:noProof/>
                <w:sz w:val="20"/>
                <w:szCs w:val="20"/>
              </w:rPr>
            </w:pPr>
            <w:r>
              <w:rPr>
                <w:b/>
                <w:noProof/>
                <w:sz w:val="20"/>
              </w:rPr>
              <w:t>Бюджетни кредити за поети задължения</w:t>
            </w:r>
          </w:p>
        </w:tc>
        <w:tc>
          <w:tcPr>
            <w:tcW w:w="1680" w:type="dxa"/>
            <w:gridSpan w:val="2"/>
            <w:shd w:val="clear" w:color="auto" w:fill="D9D9D9"/>
            <w:vAlign w:val="center"/>
          </w:tcPr>
          <w:p>
            <w:pPr>
              <w:widowControl w:val="0"/>
              <w:spacing w:before="15" w:after="15" w:line="276" w:lineRule="auto"/>
              <w:jc w:val="center"/>
              <w:rPr>
                <w:b/>
                <w:noProof/>
                <w:sz w:val="20"/>
                <w:szCs w:val="20"/>
              </w:rPr>
            </w:pPr>
            <w:r>
              <w:rPr>
                <w:b/>
                <w:noProof/>
                <w:sz w:val="20"/>
              </w:rPr>
              <w:t>Бюджетни кредити за плащания</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000" w:type="dxa"/>
            <w:gridSpan w:val="6"/>
            <w:shd w:val="clear" w:color="auto" w:fill="F2F2F2" w:themeFill="background1" w:themeFillShade="F2"/>
          </w:tcPr>
          <w:p>
            <w:pPr>
              <w:widowControl w:val="0"/>
              <w:spacing w:before="15" w:after="15" w:line="276" w:lineRule="auto"/>
              <w:rPr>
                <w:i/>
                <w:noProof/>
                <w:sz w:val="20"/>
                <w:szCs w:val="20"/>
              </w:rPr>
            </w:pPr>
            <w:r>
              <w:rPr>
                <w:i/>
                <w:noProof/>
                <w:sz w:val="20"/>
              </w:rPr>
              <w:t>Раздел III — Комисия</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200" w:type="dxa"/>
            <w:gridSpan w:val="2"/>
          </w:tcPr>
          <w:p>
            <w:pPr>
              <w:widowControl w:val="0"/>
              <w:spacing w:before="15" w:after="15" w:line="276" w:lineRule="auto"/>
              <w:ind w:right="-113"/>
              <w:jc w:val="both"/>
              <w:rPr>
                <w:noProof/>
                <w:sz w:val="20"/>
                <w:szCs w:val="20"/>
              </w:rPr>
            </w:pPr>
            <w:r>
              <w:rPr>
                <w:noProof/>
                <w:sz w:val="20"/>
              </w:rPr>
              <w:t>15 01 06 03</w:t>
            </w:r>
          </w:p>
        </w:tc>
        <w:tc>
          <w:tcPr>
            <w:tcW w:w="5503" w:type="dxa"/>
          </w:tcPr>
          <w:p>
            <w:pPr>
              <w:widowControl w:val="0"/>
              <w:tabs>
                <w:tab w:val="left" w:pos="1350"/>
              </w:tabs>
              <w:spacing w:before="15" w:after="15" w:line="276" w:lineRule="auto"/>
              <w:jc w:val="both"/>
              <w:rPr>
                <w:noProof/>
                <w:sz w:val="20"/>
                <w:szCs w:val="20"/>
              </w:rPr>
            </w:pPr>
            <w:r>
              <w:rPr>
                <w:noProof/>
                <w:sz w:val="20"/>
              </w:rPr>
              <w:t>Изпълнителна агенция за образование, аудиовизия и култура — вноска от Европейския корпус за солидарност</w:t>
            </w:r>
          </w:p>
        </w:tc>
        <w:tc>
          <w:tcPr>
            <w:tcW w:w="1617" w:type="dxa"/>
          </w:tcPr>
          <w:p>
            <w:pPr>
              <w:widowControl w:val="0"/>
              <w:spacing w:before="15" w:after="15" w:line="276" w:lineRule="auto"/>
              <w:jc w:val="right"/>
              <w:rPr>
                <w:noProof/>
                <w:sz w:val="20"/>
                <w:szCs w:val="20"/>
              </w:rPr>
            </w:pPr>
            <w:r>
              <w:rPr>
                <w:noProof/>
                <w:sz w:val="20"/>
              </w:rPr>
              <w:t>p.m.</w:t>
            </w:r>
          </w:p>
        </w:tc>
        <w:tc>
          <w:tcPr>
            <w:tcW w:w="1680" w:type="dxa"/>
            <w:gridSpan w:val="2"/>
          </w:tcPr>
          <w:p>
            <w:pPr>
              <w:widowControl w:val="0"/>
              <w:spacing w:before="15" w:after="15" w:line="276" w:lineRule="auto"/>
              <w:jc w:val="right"/>
              <w:rPr>
                <w:noProof/>
                <w:sz w:val="20"/>
                <w:szCs w:val="20"/>
              </w:rPr>
            </w:pPr>
            <w:r>
              <w:rPr>
                <w:noProof/>
                <w:sz w:val="20"/>
              </w:rPr>
              <w:t>p.m.</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6703" w:type="dxa"/>
            <w:gridSpan w:val="3"/>
            <w:shd w:val="clear" w:color="auto" w:fill="D9D9D9"/>
          </w:tcPr>
          <w:p>
            <w:pPr>
              <w:widowControl w:val="0"/>
              <w:tabs>
                <w:tab w:val="left" w:pos="975"/>
              </w:tabs>
              <w:spacing w:before="15" w:after="15"/>
              <w:jc w:val="both"/>
              <w:rPr>
                <w:b/>
                <w:noProof/>
                <w:sz w:val="20"/>
                <w:szCs w:val="20"/>
              </w:rPr>
            </w:pPr>
            <w:r>
              <w:rPr>
                <w:b/>
                <w:noProof/>
                <w:sz w:val="20"/>
              </w:rPr>
              <w:t>Общо</w:t>
            </w:r>
            <w:r>
              <w:rPr>
                <w:noProof/>
              </w:rPr>
              <w:tab/>
            </w:r>
          </w:p>
        </w:tc>
        <w:tc>
          <w:tcPr>
            <w:tcW w:w="1617" w:type="dxa"/>
            <w:shd w:val="clear" w:color="auto" w:fill="D9D9D9"/>
          </w:tcPr>
          <w:p>
            <w:pPr>
              <w:widowControl w:val="0"/>
              <w:spacing w:before="15" w:after="15"/>
              <w:jc w:val="right"/>
              <w:rPr>
                <w:b/>
                <w:noProof/>
                <w:sz w:val="20"/>
                <w:szCs w:val="20"/>
              </w:rPr>
            </w:pPr>
            <w:r>
              <w:rPr>
                <w:b/>
                <w:noProof/>
                <w:sz w:val="20"/>
              </w:rPr>
              <w:t>-</w:t>
            </w:r>
          </w:p>
        </w:tc>
        <w:tc>
          <w:tcPr>
            <w:tcW w:w="1680" w:type="dxa"/>
            <w:gridSpan w:val="2"/>
            <w:shd w:val="clear" w:color="auto" w:fill="D9D9D9"/>
          </w:tcPr>
          <w:p>
            <w:pPr>
              <w:widowControl w:val="0"/>
              <w:spacing w:before="15" w:after="15"/>
              <w:jc w:val="right"/>
              <w:rPr>
                <w:b/>
                <w:noProof/>
                <w:sz w:val="20"/>
                <w:szCs w:val="20"/>
              </w:rPr>
            </w:pPr>
            <w:r>
              <w:rPr>
                <w:b/>
                <w:noProof/>
                <w:sz w:val="20"/>
              </w:rPr>
              <w:t>-</w:t>
            </w:r>
          </w:p>
        </w:tc>
      </w:tr>
    </w:tbl>
    <w:p>
      <w:pPr>
        <w:pStyle w:val="ManualHeading1"/>
        <w:spacing w:before="240"/>
        <w:ind w:left="0" w:firstLine="0"/>
        <w:rPr>
          <w:noProof/>
        </w:rPr>
      </w:pPr>
      <w:bookmarkStart w:id="108" w:name="_Toc495584135"/>
      <w:bookmarkStart w:id="109" w:name="_Toc496530521"/>
      <w:r>
        <w:rPr>
          <w:noProof/>
        </w:rPr>
        <w:t>5.</w:t>
      </w:r>
      <w:r>
        <w:rPr>
          <w:noProof/>
        </w:rPr>
        <w:tab/>
        <w:t>Администрация</w:t>
      </w:r>
      <w:bookmarkEnd w:id="108"/>
      <w:bookmarkEnd w:id="109"/>
    </w:p>
    <w:p>
      <w:pPr>
        <w:pStyle w:val="ManualHeading2"/>
        <w:numPr>
          <w:ilvl w:val="0"/>
          <w:numId w:val="0"/>
        </w:numPr>
        <w:tabs>
          <w:tab w:val="left" w:pos="851"/>
        </w:tabs>
        <w:ind w:left="851" w:hanging="851"/>
        <w:rPr>
          <w:rFonts w:eastAsia="Calibri"/>
        </w:rPr>
      </w:pPr>
      <w:bookmarkStart w:id="110" w:name="_Toc495584136"/>
      <w:bookmarkStart w:id="111" w:name="_Toc496530522"/>
      <w:r>
        <w:t xml:space="preserve">5.1 </w:t>
      </w:r>
      <w:r>
        <w:tab/>
        <w:t>Европейска служба за борба с измамите (OLAF)</w:t>
      </w:r>
      <w:bookmarkEnd w:id="110"/>
      <w:bookmarkEnd w:id="111"/>
    </w:p>
    <w:p>
      <w:pPr>
        <w:spacing w:before="120" w:after="120"/>
        <w:jc w:val="both"/>
        <w:rPr>
          <w:noProof/>
        </w:rPr>
      </w:pPr>
      <w:r>
        <w:rPr>
          <w:noProof/>
        </w:rPr>
        <w:t>В проекторазчета си за 2018 финансова година Европейската служба за борба с измамите (OLAF) поиска преобразуване на една временна щатна бройка със степен AD15 в постоянна щатна бройка със степен AD15 в щатното си разписание, считано от 1 януари 2018 г.</w:t>
      </w:r>
    </w:p>
    <w:p>
      <w:pPr>
        <w:spacing w:before="120" w:after="120"/>
        <w:jc w:val="both"/>
        <w:rPr>
          <w:noProof/>
        </w:rPr>
      </w:pPr>
      <w:r>
        <w:rPr>
          <w:noProof/>
        </w:rPr>
        <w:t>Въпреки това, поради решенията на Комисията относно персонала, взети в контекста на процедурата за назначаване на нов генерален директор на OLAF, исканото преобразуване беше оттеглено, така че бройката остава временна.</w:t>
      </w:r>
    </w:p>
    <w:p>
      <w:pPr>
        <w:spacing w:before="120" w:after="120"/>
        <w:jc w:val="both"/>
        <w:rPr>
          <w:noProof/>
        </w:rPr>
      </w:pPr>
      <w:r>
        <w:rPr>
          <w:noProof/>
        </w:rPr>
        <w:t>Измененията няма да окажат влияние върху разходите на OLAF. Актуализираното щатно разписание е посочено в бюджетното приложение.</w:t>
      </w:r>
    </w:p>
    <w:p>
      <w:pPr>
        <w:pStyle w:val="ManualHeading2"/>
        <w:numPr>
          <w:ilvl w:val="0"/>
          <w:numId w:val="0"/>
        </w:numPr>
        <w:tabs>
          <w:tab w:val="left" w:pos="851"/>
        </w:tabs>
        <w:ind w:left="851" w:hanging="851"/>
        <w:rPr>
          <w:rFonts w:eastAsia="Calibri"/>
        </w:rPr>
      </w:pPr>
      <w:bookmarkStart w:id="112" w:name="_Toc495584137"/>
      <w:bookmarkStart w:id="113" w:name="_Toc496530523"/>
      <w:r>
        <w:t xml:space="preserve">5.2 </w:t>
      </w:r>
      <w:r>
        <w:tab/>
        <w:t>Служба за публикации (OP)</w:t>
      </w:r>
      <w:bookmarkEnd w:id="112"/>
      <w:bookmarkEnd w:id="113"/>
      <w:r>
        <w:t xml:space="preserve"> </w:t>
      </w:r>
    </w:p>
    <w:p>
      <w:pPr>
        <w:spacing w:before="120" w:after="120"/>
        <w:jc w:val="both"/>
        <w:rPr>
          <w:noProof/>
        </w:rPr>
      </w:pPr>
      <w:r>
        <w:rPr>
          <w:noProof/>
        </w:rPr>
        <w:t>В контекста на модернизирането на процесите на подпомагане и създаването на усъвършенствани методи за работа, Комисията създаде програма за цифрово преобразуване, особено в областта на консолидацията на местните центрове за данни, ИКТ оборудването и сигурността. В тази рамка и в тясно сътрудничество с генерална дирекция „Информатика“ (ГД „Информатика“) на 21 ноември 2016 г. Службата за публикации (OP) реши да стартира проект за консолидиране на ИТ в три основни области: мрежи и телекомуникации, цифрово работно място и офис автоматизация и центрове за данни.</w:t>
      </w:r>
    </w:p>
    <w:p>
      <w:pPr>
        <w:spacing w:before="120" w:after="120"/>
        <w:jc w:val="both"/>
        <w:rPr>
          <w:noProof/>
        </w:rPr>
      </w:pPr>
      <w:r>
        <w:rPr>
          <w:noProof/>
        </w:rPr>
        <w:t>Основната полза от консолидирането ще дойде от икономиите от мащаба, произтичащи от процеса на индустриализация.</w:t>
      </w:r>
    </w:p>
    <w:p>
      <w:pPr>
        <w:spacing w:before="120" w:after="120"/>
        <w:jc w:val="both"/>
        <w:rPr>
          <w:noProof/>
        </w:rPr>
      </w:pPr>
      <w:r>
        <w:rPr>
          <w:noProof/>
        </w:rPr>
        <w:t>За изпълнението на този проект ще бъде необходимо 14 щатни бройки (3 от групата за администратори и 11 от групата за асистенти), които понастоящем са заделени за OP в секторите на ИТ инфраструктурата и производството, да бъдат преместени в ГД „Информатика“ на Комисията. Тези щатни бройки са ресурсите, необходими на Комисията за осигуряване на непрекъснатост на обслужването за дейността на OP.</w:t>
      </w:r>
    </w:p>
    <w:p>
      <w:pPr>
        <w:spacing w:before="120" w:after="120"/>
        <w:jc w:val="both"/>
        <w:rPr>
          <w:noProof/>
        </w:rPr>
      </w:pPr>
      <w:r>
        <w:rPr>
          <w:noProof/>
        </w:rPr>
        <w:t>В този контекст на 30 май 2017 г. между OP и ГД „Информатика“ беше подписано споразумение, което обяснява защо не е било възможно прехвърлянията на щатните бройки да се включат в ПБ за 2018 г.</w:t>
      </w:r>
    </w:p>
    <w:p>
      <w:pPr>
        <w:spacing w:before="120" w:after="120"/>
        <w:jc w:val="both"/>
        <w:rPr>
          <w:noProof/>
        </w:rPr>
      </w:pPr>
      <w:r>
        <w:rPr>
          <w:noProof/>
        </w:rPr>
        <w:t>Поради това се предлага 14 щатни бройки и свързаните с тях бюджетни кредити за заплати да се преместят от OP в Комисията считано от 1 януари 2018 г.</w:t>
      </w:r>
    </w:p>
    <w:p>
      <w:pPr>
        <w:spacing w:before="120" w:after="120"/>
        <w:jc w:val="both"/>
        <w:rPr>
          <w:noProof/>
        </w:rPr>
      </w:pPr>
      <w:r>
        <w:rPr>
          <w:noProof/>
        </w:rPr>
        <w:t>Влиянието на това прехвърляне на бюджетни кредити е неутрално. Предложените актуализирани щатни разписания на (администрацията на) Комисията и на OP са посочени в бюджетното приложение.</w:t>
      </w:r>
    </w:p>
    <w:tbl>
      <w:tblPr>
        <w:tblW w:w="10000" w:type="dxa"/>
        <w:jc w:val="center"/>
        <w:tblLayout w:type="fixed"/>
        <w:tblCellMar>
          <w:left w:w="40" w:type="dxa"/>
          <w:right w:w="40" w:type="dxa"/>
        </w:tblCellMar>
        <w:tblLook w:val="0000" w:firstRow="0" w:lastRow="0" w:firstColumn="0" w:lastColumn="0" w:noHBand="0" w:noVBand="0"/>
      </w:tblPr>
      <w:tblGrid>
        <w:gridCol w:w="9"/>
        <w:gridCol w:w="1191"/>
        <w:gridCol w:w="5503"/>
        <w:gridCol w:w="1617"/>
        <w:gridCol w:w="1672"/>
        <w:gridCol w:w="8"/>
      </w:tblGrid>
      <w:tr>
        <w:trPr>
          <w:gridBefore w:val="1"/>
          <w:gridAfter w:val="1"/>
          <w:wBefore w:w="9" w:type="dxa"/>
          <w:wAfter w:w="8" w:type="dxa"/>
          <w:trHeight w:val="164"/>
          <w:tblHeader/>
          <w:jc w:val="center"/>
        </w:trPr>
        <w:tc>
          <w:tcPr>
            <w:tcW w:w="9983" w:type="dxa"/>
            <w:gridSpan w:val="4"/>
            <w:shd w:val="clear" w:color="auto" w:fill="FFFFFF"/>
            <w:vAlign w:val="center"/>
          </w:tcPr>
          <w:p>
            <w:pPr>
              <w:jc w:val="right"/>
              <w:rPr>
                <w:noProof/>
                <w:sz w:val="16"/>
                <w:szCs w:val="16"/>
              </w:rPr>
            </w:pPr>
            <w:r>
              <w:rPr>
                <w:i/>
                <w:noProof/>
                <w:sz w:val="16"/>
              </w:rPr>
              <w:t>(в евро)</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blHeader/>
        </w:trPr>
        <w:tc>
          <w:tcPr>
            <w:tcW w:w="1200" w:type="dxa"/>
            <w:gridSpan w:val="2"/>
            <w:shd w:val="clear" w:color="auto" w:fill="D9D9D9"/>
            <w:vAlign w:val="center"/>
          </w:tcPr>
          <w:p>
            <w:pPr>
              <w:widowControl w:val="0"/>
              <w:spacing w:before="15" w:after="15" w:line="276" w:lineRule="auto"/>
              <w:jc w:val="center"/>
              <w:rPr>
                <w:b/>
                <w:noProof/>
                <w:sz w:val="20"/>
                <w:szCs w:val="20"/>
              </w:rPr>
            </w:pPr>
            <w:r>
              <w:rPr>
                <w:b/>
                <w:noProof/>
                <w:sz w:val="20"/>
              </w:rPr>
              <w:t>Бюджетен ред</w:t>
            </w:r>
          </w:p>
        </w:tc>
        <w:tc>
          <w:tcPr>
            <w:tcW w:w="5503" w:type="dxa"/>
            <w:shd w:val="clear" w:color="auto" w:fill="D9D9D9"/>
            <w:vAlign w:val="center"/>
          </w:tcPr>
          <w:p>
            <w:pPr>
              <w:widowControl w:val="0"/>
              <w:spacing w:before="15" w:after="15" w:line="276" w:lineRule="auto"/>
              <w:jc w:val="center"/>
              <w:rPr>
                <w:b/>
                <w:noProof/>
                <w:sz w:val="20"/>
                <w:szCs w:val="20"/>
              </w:rPr>
            </w:pPr>
            <w:r>
              <w:rPr>
                <w:b/>
                <w:noProof/>
                <w:sz w:val="20"/>
              </w:rPr>
              <w:t>Наименование</w:t>
            </w:r>
          </w:p>
        </w:tc>
        <w:tc>
          <w:tcPr>
            <w:tcW w:w="1617" w:type="dxa"/>
            <w:shd w:val="clear" w:color="auto" w:fill="D9D9D9"/>
            <w:vAlign w:val="center"/>
          </w:tcPr>
          <w:p>
            <w:pPr>
              <w:widowControl w:val="0"/>
              <w:spacing w:before="15" w:after="15" w:line="276" w:lineRule="auto"/>
              <w:jc w:val="center"/>
              <w:rPr>
                <w:b/>
                <w:noProof/>
                <w:sz w:val="20"/>
                <w:szCs w:val="20"/>
              </w:rPr>
            </w:pPr>
            <w:r>
              <w:rPr>
                <w:b/>
                <w:noProof/>
                <w:sz w:val="20"/>
              </w:rPr>
              <w:t>Бюджетни кредити за поети задължения</w:t>
            </w:r>
          </w:p>
        </w:tc>
        <w:tc>
          <w:tcPr>
            <w:tcW w:w="1680" w:type="dxa"/>
            <w:gridSpan w:val="2"/>
            <w:shd w:val="clear" w:color="auto" w:fill="D9D9D9"/>
            <w:vAlign w:val="center"/>
          </w:tcPr>
          <w:p>
            <w:pPr>
              <w:widowControl w:val="0"/>
              <w:spacing w:before="15" w:after="15" w:line="276" w:lineRule="auto"/>
              <w:jc w:val="center"/>
              <w:rPr>
                <w:b/>
                <w:noProof/>
                <w:sz w:val="20"/>
                <w:szCs w:val="20"/>
              </w:rPr>
            </w:pPr>
            <w:r>
              <w:rPr>
                <w:b/>
                <w:noProof/>
                <w:sz w:val="20"/>
              </w:rPr>
              <w:t>Бюджетни кредити за плащания</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000" w:type="dxa"/>
            <w:gridSpan w:val="6"/>
            <w:shd w:val="clear" w:color="auto" w:fill="F2F2F2" w:themeFill="background1" w:themeFillShade="F2"/>
          </w:tcPr>
          <w:p>
            <w:pPr>
              <w:widowControl w:val="0"/>
              <w:spacing w:before="15" w:after="15" w:line="276" w:lineRule="auto"/>
              <w:rPr>
                <w:i/>
                <w:noProof/>
                <w:sz w:val="20"/>
                <w:szCs w:val="20"/>
              </w:rPr>
            </w:pPr>
            <w:r>
              <w:rPr>
                <w:i/>
                <w:noProof/>
                <w:sz w:val="20"/>
              </w:rPr>
              <w:t>Раздел III — Комисия</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200" w:type="dxa"/>
            <w:gridSpan w:val="2"/>
          </w:tcPr>
          <w:p>
            <w:pPr>
              <w:widowControl w:val="0"/>
              <w:spacing w:before="15" w:after="15" w:line="276" w:lineRule="auto"/>
              <w:ind w:right="-113"/>
              <w:jc w:val="center"/>
              <w:rPr>
                <w:noProof/>
                <w:sz w:val="16"/>
                <w:szCs w:val="16"/>
              </w:rPr>
            </w:pPr>
            <w:r>
              <w:rPr>
                <w:noProof/>
                <w:sz w:val="16"/>
              </w:rPr>
              <w:t>XX 01 01 01 01</w:t>
            </w:r>
          </w:p>
        </w:tc>
        <w:tc>
          <w:tcPr>
            <w:tcW w:w="5503" w:type="dxa"/>
          </w:tcPr>
          <w:p>
            <w:pPr>
              <w:widowControl w:val="0"/>
              <w:tabs>
                <w:tab w:val="left" w:pos="1350"/>
              </w:tabs>
              <w:spacing w:before="15" w:after="15" w:line="276" w:lineRule="auto"/>
              <w:jc w:val="both"/>
              <w:rPr>
                <w:noProof/>
                <w:sz w:val="20"/>
                <w:szCs w:val="20"/>
              </w:rPr>
            </w:pPr>
            <w:r>
              <w:rPr>
                <w:noProof/>
                <w:sz w:val="20"/>
              </w:rPr>
              <w:t>Възнаграждения и обезщетения</w:t>
            </w:r>
          </w:p>
        </w:tc>
        <w:tc>
          <w:tcPr>
            <w:tcW w:w="1617" w:type="dxa"/>
          </w:tcPr>
          <w:p>
            <w:pPr>
              <w:widowControl w:val="0"/>
              <w:spacing w:before="15" w:after="15" w:line="276" w:lineRule="auto"/>
              <w:jc w:val="right"/>
              <w:rPr>
                <w:noProof/>
                <w:sz w:val="20"/>
                <w:szCs w:val="20"/>
              </w:rPr>
            </w:pPr>
            <w:r>
              <w:rPr>
                <w:noProof/>
                <w:sz w:val="20"/>
              </w:rPr>
              <w:t>1 238 000</w:t>
            </w:r>
          </w:p>
        </w:tc>
        <w:tc>
          <w:tcPr>
            <w:tcW w:w="1680" w:type="dxa"/>
            <w:gridSpan w:val="2"/>
          </w:tcPr>
          <w:p>
            <w:pPr>
              <w:widowControl w:val="0"/>
              <w:spacing w:before="15" w:after="15" w:line="276" w:lineRule="auto"/>
              <w:jc w:val="right"/>
              <w:rPr>
                <w:noProof/>
                <w:sz w:val="20"/>
                <w:szCs w:val="20"/>
              </w:rPr>
            </w:pPr>
            <w:r>
              <w:rPr>
                <w:noProof/>
                <w:sz w:val="20"/>
              </w:rPr>
              <w:t>1 238 000</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200" w:type="dxa"/>
            <w:gridSpan w:val="2"/>
          </w:tcPr>
          <w:p>
            <w:pPr>
              <w:widowControl w:val="0"/>
              <w:spacing w:before="15" w:after="15" w:line="276" w:lineRule="auto"/>
              <w:ind w:right="-113"/>
              <w:jc w:val="center"/>
              <w:rPr>
                <w:noProof/>
                <w:sz w:val="16"/>
                <w:szCs w:val="16"/>
              </w:rPr>
            </w:pPr>
            <w:r>
              <w:rPr>
                <w:noProof/>
                <w:sz w:val="16"/>
              </w:rPr>
              <w:t>XX 01 01 01 02</w:t>
            </w:r>
          </w:p>
        </w:tc>
        <w:tc>
          <w:tcPr>
            <w:tcW w:w="5503" w:type="dxa"/>
          </w:tcPr>
          <w:p>
            <w:pPr>
              <w:widowControl w:val="0"/>
              <w:tabs>
                <w:tab w:val="left" w:pos="1350"/>
              </w:tabs>
              <w:spacing w:before="15" w:after="15" w:line="276" w:lineRule="auto"/>
              <w:jc w:val="both"/>
              <w:rPr>
                <w:noProof/>
                <w:sz w:val="20"/>
                <w:szCs w:val="20"/>
              </w:rPr>
            </w:pPr>
            <w:r>
              <w:rPr>
                <w:noProof/>
                <w:sz w:val="20"/>
              </w:rPr>
              <w:t>Разходи и обезщетения, свързани с набиране на персонал, преместване и прекратяване на трудовите правоотношения</w:t>
            </w:r>
          </w:p>
        </w:tc>
        <w:tc>
          <w:tcPr>
            <w:tcW w:w="1617" w:type="dxa"/>
          </w:tcPr>
          <w:p>
            <w:pPr>
              <w:widowControl w:val="0"/>
              <w:spacing w:before="15" w:after="15" w:line="276" w:lineRule="auto"/>
              <w:jc w:val="right"/>
              <w:rPr>
                <w:noProof/>
                <w:sz w:val="20"/>
                <w:szCs w:val="20"/>
              </w:rPr>
            </w:pPr>
            <w:r>
              <w:rPr>
                <w:noProof/>
                <w:sz w:val="20"/>
              </w:rPr>
              <w:t>1 000</w:t>
            </w:r>
          </w:p>
        </w:tc>
        <w:tc>
          <w:tcPr>
            <w:tcW w:w="1680" w:type="dxa"/>
            <w:gridSpan w:val="2"/>
          </w:tcPr>
          <w:p>
            <w:pPr>
              <w:widowControl w:val="0"/>
              <w:spacing w:before="15" w:after="15" w:line="276" w:lineRule="auto"/>
              <w:jc w:val="right"/>
              <w:rPr>
                <w:noProof/>
                <w:sz w:val="20"/>
                <w:szCs w:val="20"/>
              </w:rPr>
            </w:pPr>
            <w:r>
              <w:rPr>
                <w:noProof/>
                <w:sz w:val="20"/>
              </w:rPr>
              <w:t>1 000</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200" w:type="dxa"/>
            <w:gridSpan w:val="2"/>
          </w:tcPr>
          <w:p>
            <w:pPr>
              <w:widowControl w:val="0"/>
              <w:spacing w:before="15" w:after="15" w:line="276" w:lineRule="auto"/>
              <w:ind w:right="-113"/>
              <w:jc w:val="center"/>
              <w:rPr>
                <w:noProof/>
                <w:sz w:val="16"/>
                <w:szCs w:val="16"/>
              </w:rPr>
            </w:pPr>
            <w:r>
              <w:rPr>
                <w:noProof/>
                <w:sz w:val="16"/>
              </w:rPr>
              <w:t>XX 01 01 01 03</w:t>
            </w:r>
          </w:p>
        </w:tc>
        <w:tc>
          <w:tcPr>
            <w:tcW w:w="5503" w:type="dxa"/>
          </w:tcPr>
          <w:p>
            <w:pPr>
              <w:widowControl w:val="0"/>
              <w:tabs>
                <w:tab w:val="left" w:pos="1350"/>
              </w:tabs>
              <w:spacing w:before="15" w:after="15" w:line="276" w:lineRule="auto"/>
              <w:jc w:val="both"/>
              <w:rPr>
                <w:noProof/>
                <w:sz w:val="20"/>
                <w:szCs w:val="20"/>
              </w:rPr>
            </w:pPr>
            <w:r>
              <w:rPr>
                <w:noProof/>
                <w:sz w:val="20"/>
              </w:rPr>
              <w:t>Корекции на възнагражденията</w:t>
            </w:r>
          </w:p>
        </w:tc>
        <w:tc>
          <w:tcPr>
            <w:tcW w:w="1617" w:type="dxa"/>
          </w:tcPr>
          <w:p>
            <w:pPr>
              <w:widowControl w:val="0"/>
              <w:spacing w:before="15" w:after="15" w:line="276" w:lineRule="auto"/>
              <w:jc w:val="right"/>
              <w:rPr>
                <w:noProof/>
                <w:sz w:val="20"/>
                <w:szCs w:val="20"/>
              </w:rPr>
            </w:pPr>
            <w:r>
              <w:rPr>
                <w:noProof/>
                <w:sz w:val="20"/>
              </w:rPr>
              <w:t>12 000</w:t>
            </w:r>
          </w:p>
        </w:tc>
        <w:tc>
          <w:tcPr>
            <w:tcW w:w="1680" w:type="dxa"/>
            <w:gridSpan w:val="2"/>
          </w:tcPr>
          <w:p>
            <w:pPr>
              <w:widowControl w:val="0"/>
              <w:spacing w:before="15" w:after="15" w:line="276" w:lineRule="auto"/>
              <w:jc w:val="right"/>
              <w:rPr>
                <w:noProof/>
                <w:sz w:val="20"/>
                <w:szCs w:val="20"/>
              </w:rPr>
            </w:pPr>
            <w:r>
              <w:rPr>
                <w:noProof/>
                <w:sz w:val="20"/>
              </w:rPr>
              <w:t>12 000</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200" w:type="dxa"/>
            <w:gridSpan w:val="2"/>
          </w:tcPr>
          <w:p>
            <w:pPr>
              <w:widowControl w:val="0"/>
              <w:spacing w:before="15" w:after="15" w:line="276" w:lineRule="auto"/>
              <w:ind w:right="-113"/>
              <w:jc w:val="center"/>
              <w:rPr>
                <w:noProof/>
                <w:sz w:val="20"/>
                <w:szCs w:val="20"/>
              </w:rPr>
            </w:pPr>
            <w:r>
              <w:rPr>
                <w:noProof/>
                <w:sz w:val="20"/>
              </w:rPr>
              <w:t>26 01 09</w:t>
            </w:r>
          </w:p>
          <w:p>
            <w:pPr>
              <w:widowControl w:val="0"/>
              <w:spacing w:before="15" w:after="15" w:line="276" w:lineRule="auto"/>
              <w:ind w:right="-113"/>
              <w:jc w:val="center"/>
              <w:rPr>
                <w:i/>
                <w:noProof/>
                <w:sz w:val="20"/>
                <w:szCs w:val="20"/>
              </w:rPr>
            </w:pPr>
            <w:r>
              <w:rPr>
                <w:i/>
                <w:noProof/>
                <w:sz w:val="20"/>
              </w:rPr>
              <w:t>(A2 01 01)</w:t>
            </w:r>
          </w:p>
        </w:tc>
        <w:tc>
          <w:tcPr>
            <w:tcW w:w="5503" w:type="dxa"/>
          </w:tcPr>
          <w:p>
            <w:pPr>
              <w:widowControl w:val="0"/>
              <w:tabs>
                <w:tab w:val="left" w:pos="1350"/>
              </w:tabs>
              <w:spacing w:before="15" w:after="15" w:line="276" w:lineRule="auto"/>
              <w:jc w:val="both"/>
              <w:rPr>
                <w:noProof/>
                <w:sz w:val="20"/>
                <w:szCs w:val="20"/>
              </w:rPr>
            </w:pPr>
            <w:r>
              <w:rPr>
                <w:noProof/>
                <w:sz w:val="20"/>
              </w:rPr>
              <w:t>Служба за публикации</w:t>
            </w:r>
          </w:p>
        </w:tc>
        <w:tc>
          <w:tcPr>
            <w:tcW w:w="1617" w:type="dxa"/>
          </w:tcPr>
          <w:p>
            <w:pPr>
              <w:widowControl w:val="0"/>
              <w:spacing w:before="15" w:after="15" w:line="276" w:lineRule="auto"/>
              <w:jc w:val="right"/>
              <w:rPr>
                <w:noProof/>
                <w:sz w:val="20"/>
                <w:szCs w:val="20"/>
              </w:rPr>
            </w:pPr>
            <w:r>
              <w:rPr>
                <w:noProof/>
                <w:sz w:val="20"/>
              </w:rPr>
              <w:t>-1 251 000</w:t>
            </w:r>
          </w:p>
        </w:tc>
        <w:tc>
          <w:tcPr>
            <w:tcW w:w="1680" w:type="dxa"/>
            <w:gridSpan w:val="2"/>
          </w:tcPr>
          <w:p>
            <w:pPr>
              <w:widowControl w:val="0"/>
              <w:spacing w:before="15" w:after="15" w:line="276" w:lineRule="auto"/>
              <w:jc w:val="right"/>
              <w:rPr>
                <w:noProof/>
                <w:sz w:val="20"/>
                <w:szCs w:val="20"/>
              </w:rPr>
            </w:pPr>
            <w:r>
              <w:rPr>
                <w:noProof/>
                <w:sz w:val="20"/>
              </w:rPr>
              <w:t>-1 251 000</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6703" w:type="dxa"/>
            <w:gridSpan w:val="3"/>
            <w:shd w:val="clear" w:color="auto" w:fill="D9D9D9"/>
          </w:tcPr>
          <w:p>
            <w:pPr>
              <w:widowControl w:val="0"/>
              <w:tabs>
                <w:tab w:val="left" w:pos="975"/>
              </w:tabs>
              <w:spacing w:before="15" w:after="15"/>
              <w:jc w:val="both"/>
              <w:rPr>
                <w:b/>
                <w:noProof/>
                <w:sz w:val="20"/>
                <w:szCs w:val="20"/>
              </w:rPr>
            </w:pPr>
            <w:r>
              <w:rPr>
                <w:b/>
                <w:noProof/>
                <w:sz w:val="20"/>
              </w:rPr>
              <w:t>Общо</w:t>
            </w:r>
            <w:r>
              <w:rPr>
                <w:noProof/>
              </w:rPr>
              <w:tab/>
            </w:r>
          </w:p>
        </w:tc>
        <w:tc>
          <w:tcPr>
            <w:tcW w:w="1617" w:type="dxa"/>
            <w:shd w:val="clear" w:color="auto" w:fill="D9D9D9"/>
          </w:tcPr>
          <w:p>
            <w:pPr>
              <w:widowControl w:val="0"/>
              <w:spacing w:before="15" w:after="15"/>
              <w:jc w:val="right"/>
              <w:rPr>
                <w:b/>
                <w:noProof/>
                <w:sz w:val="20"/>
                <w:szCs w:val="20"/>
              </w:rPr>
            </w:pPr>
            <w:r>
              <w:rPr>
                <w:b/>
                <w:noProof/>
                <w:sz w:val="20"/>
              </w:rPr>
              <w:t>-</w:t>
            </w:r>
          </w:p>
        </w:tc>
        <w:tc>
          <w:tcPr>
            <w:tcW w:w="1680" w:type="dxa"/>
            <w:gridSpan w:val="2"/>
            <w:shd w:val="clear" w:color="auto" w:fill="D9D9D9"/>
          </w:tcPr>
          <w:p>
            <w:pPr>
              <w:widowControl w:val="0"/>
              <w:spacing w:before="15" w:after="15"/>
              <w:jc w:val="right"/>
              <w:rPr>
                <w:b/>
                <w:noProof/>
                <w:sz w:val="20"/>
                <w:szCs w:val="20"/>
              </w:rPr>
            </w:pPr>
            <w:r>
              <w:rPr>
                <w:b/>
                <w:noProof/>
                <w:sz w:val="20"/>
              </w:rPr>
              <w:t>-</w:t>
            </w:r>
          </w:p>
        </w:tc>
      </w:tr>
    </w:tbl>
    <w:p>
      <w:pPr>
        <w:pStyle w:val="ManualHeading2"/>
        <w:numPr>
          <w:ilvl w:val="0"/>
          <w:numId w:val="0"/>
        </w:numPr>
        <w:tabs>
          <w:tab w:val="left" w:pos="851"/>
        </w:tabs>
        <w:ind w:left="851" w:hanging="851"/>
        <w:rPr>
          <w:rFonts w:eastAsia="Calibri"/>
        </w:rPr>
      </w:pPr>
      <w:bookmarkStart w:id="114" w:name="_Toc495584138"/>
      <w:bookmarkStart w:id="115" w:name="_Toc496530524"/>
      <w:r>
        <w:t>5.3</w:t>
      </w:r>
      <w:r>
        <w:tab/>
        <w:t>Европейска служба за външна дейност (ЕСВД)</w:t>
      </w:r>
      <w:bookmarkEnd w:id="114"/>
      <w:bookmarkEnd w:id="115"/>
    </w:p>
    <w:p>
      <w:pPr>
        <w:keepNext/>
        <w:tabs>
          <w:tab w:val="num" w:pos="576"/>
          <w:tab w:val="left" w:pos="850"/>
        </w:tabs>
        <w:spacing w:before="240" w:after="120"/>
        <w:ind w:left="851" w:hanging="851"/>
        <w:jc w:val="both"/>
        <w:outlineLvl w:val="2"/>
        <w:rPr>
          <w:bCs/>
          <w:i/>
          <w:noProof/>
        </w:rPr>
      </w:pPr>
      <w:bookmarkStart w:id="116" w:name="_Toc495584139"/>
      <w:bookmarkStart w:id="117" w:name="_Toc496530525"/>
      <w:r>
        <w:rPr>
          <w:i/>
          <w:noProof/>
        </w:rPr>
        <w:t xml:space="preserve">5.3.1 </w:t>
      </w:r>
      <w:r>
        <w:rPr>
          <w:noProof/>
        </w:rPr>
        <w:tab/>
      </w:r>
      <w:r>
        <w:rPr>
          <w:noProof/>
        </w:rPr>
        <w:tab/>
      </w:r>
      <w:r>
        <w:rPr>
          <w:i/>
          <w:noProof/>
        </w:rPr>
        <w:t>Бъдещ ангажимент на ЕС с Афганистан след края на мандата на СПЕС, изпълняващ двойна функция в Афганистан</w:t>
      </w:r>
      <w:bookmarkEnd w:id="116"/>
      <w:bookmarkEnd w:id="117"/>
      <w:r>
        <w:rPr>
          <w:i/>
          <w:noProof/>
        </w:rPr>
        <w:t xml:space="preserve"> </w:t>
      </w:r>
    </w:p>
    <w:p>
      <w:pPr>
        <w:spacing w:before="120" w:after="120"/>
        <w:jc w:val="both"/>
        <w:rPr>
          <w:noProof/>
        </w:rPr>
      </w:pPr>
      <w:r>
        <w:rPr>
          <w:noProof/>
        </w:rPr>
        <w:t>Мандатът на специалния представител на Европейския съюз (СПЕС), изпълняващ двойна функция в Афганистан, приключи на 31 август 2017 г. На фона на силно засиления политически мандат на ръководителите на делегациите на ЕС за цялостно представляване на Съюза в трети държави след влизането в сила на Договора от Лисабон и като взе предвид становищата на Европейския парламент</w:t>
      </w:r>
      <w:r>
        <w:rPr>
          <w:noProof/>
          <w:vertAlign w:val="superscript"/>
        </w:rPr>
        <w:footnoteReference w:id="17"/>
      </w:r>
      <w:r>
        <w:rPr>
          <w:noProof/>
        </w:rPr>
        <w:t>, върховният представител реши да не предлага назначаването на друг СПЕС в Афганистан след изтичането на настоящия мандат. Вместо това, бъдещият ангажимент на ЕС в Афганистан ще бъде подкрепен от два субекта, които наследяват СПЕС:</w:t>
      </w:r>
    </w:p>
    <w:p>
      <w:pPr>
        <w:numPr>
          <w:ilvl w:val="0"/>
          <w:numId w:val="16"/>
        </w:numPr>
        <w:autoSpaceDE w:val="0"/>
        <w:autoSpaceDN w:val="0"/>
        <w:adjustRightInd w:val="0"/>
        <w:spacing w:before="120" w:after="120" w:line="276" w:lineRule="auto"/>
        <w:ind w:left="426" w:hanging="426"/>
        <w:jc w:val="both"/>
        <w:rPr>
          <w:rFonts w:eastAsia="Calibri"/>
          <w:noProof/>
        </w:rPr>
      </w:pPr>
      <w:r>
        <w:rPr>
          <w:noProof/>
        </w:rPr>
        <w:t>На 1 септември 2017 г. беше назначен специален пратеник на ЕС със седалище в Брюксел, който пое задачите на СПЕС в областта на регионалната и международната координация във връзка с процеса на установяване на мир, стабилизиране и помирение в Афганистан. Специалният пратеник ще се подпомага от двама политически съветници и един асистент.</w:t>
      </w:r>
    </w:p>
    <w:p>
      <w:pPr>
        <w:numPr>
          <w:ilvl w:val="0"/>
          <w:numId w:val="16"/>
        </w:numPr>
        <w:autoSpaceDE w:val="0"/>
        <w:autoSpaceDN w:val="0"/>
        <w:adjustRightInd w:val="0"/>
        <w:spacing w:before="120" w:after="120" w:line="276" w:lineRule="auto"/>
        <w:ind w:left="426" w:hanging="426"/>
        <w:jc w:val="both"/>
        <w:rPr>
          <w:rFonts w:eastAsia="Calibri"/>
          <w:noProof/>
        </w:rPr>
      </w:pPr>
      <w:r>
        <w:rPr>
          <w:noProof/>
        </w:rPr>
        <w:t xml:space="preserve">Делегацията на ЕС в Кабул ще бъде подсилена с нов отдел за политика, преса и информация (PPI). Това ще ѝ позволи да изпълнява напълно очакваната си роля, включително съпътстващата цялостна програма за реформи в Афганистан, изпълнението на мирните споразумения, подкрепата за икономическото развитие и използването на помощта на ЕС за развитие. </w:t>
      </w:r>
    </w:p>
    <w:p>
      <w:pPr>
        <w:spacing w:before="120" w:after="120"/>
        <w:jc w:val="both"/>
        <w:rPr>
          <w:noProof/>
        </w:rPr>
      </w:pPr>
      <w:r>
        <w:rPr>
          <w:noProof/>
        </w:rPr>
        <w:t>Тази концепция беше представена на Комитета по политика и сигурност на 13 юни 2017 г. без възражения от държавите — членки на ЕС.</w:t>
      </w:r>
    </w:p>
    <w:p>
      <w:pPr>
        <w:spacing w:before="120" w:after="120"/>
        <w:jc w:val="both"/>
        <w:rPr>
          <w:noProof/>
        </w:rPr>
      </w:pPr>
      <w:r>
        <w:rPr>
          <w:noProof/>
        </w:rPr>
        <w:t>Докато разходите за службата на специалния пратеник ще бъдат почти изцяло покрити от преразпределения в рамките на сегашния административен бюджет на ЕСВД, ще бъде необходимо увеличаване на бюджета на ЕСВД за покриване на допълнителните разходи, свързани със създаването на новия отдел за PPI в Делегацията на ЕС в Кабул, и на други административни разходи, свързани с инфраструктурата и сигурността, които в момента са обхванати от СПЕС.</w:t>
      </w:r>
    </w:p>
    <w:p>
      <w:pPr>
        <w:spacing w:before="120" w:after="120"/>
        <w:jc w:val="both"/>
        <w:rPr>
          <w:noProof/>
        </w:rPr>
      </w:pPr>
      <w:r>
        <w:rPr>
          <w:noProof/>
        </w:rPr>
        <w:t xml:space="preserve">Това увеличение на административния бюджет на ЕСВД (функция 5, раздел X от бюджета на ЕС) през 2018 г. ще възлезе на 4,5 млн. евро (разходи за цялата година). </w:t>
      </w:r>
    </w:p>
    <w:p>
      <w:pPr>
        <w:spacing w:before="120" w:after="120"/>
        <w:jc w:val="both"/>
        <w:rPr>
          <w:noProof/>
        </w:rPr>
      </w:pPr>
      <w:r>
        <w:rPr>
          <w:noProof/>
        </w:rPr>
        <w:t>Като цяло увеличението ще бъде компенсирано от икономии в общата външна политика и политика на сигурност (ОВППС, функция 4, раздел III от бюджета на ЕС), произтичащи от закриването на СПЕС в Афганистан, чийто приблизителен размер е 10,2 млн. евро. Предлага се остатъкът от 5,7 млн. евро да остане в бюджета на ОВППС, за да се вземат предвид всички други нови действия, които не могат да бъдат програмирани предварително.</w:t>
      </w:r>
    </w:p>
    <w:p>
      <w:pPr>
        <w:autoSpaceDE w:val="0"/>
        <w:autoSpaceDN w:val="0"/>
        <w:adjustRightInd w:val="0"/>
        <w:spacing w:after="240"/>
        <w:jc w:val="both"/>
        <w:rPr>
          <w:noProof/>
        </w:rPr>
      </w:pPr>
      <w:r>
        <w:rPr>
          <w:noProof/>
        </w:rPr>
        <w:t>Предложената промяна също така представлява административно опростяване, тъй като вече няма да е необходимо ЕСВД да поддържа сложна система от дублиращи записи за разходите, извършени от името на СПЕС в Афганистан.</w:t>
      </w:r>
    </w:p>
    <w:p>
      <w:pPr>
        <w:keepNext/>
        <w:tabs>
          <w:tab w:val="num" w:pos="576"/>
          <w:tab w:val="left" w:pos="850"/>
        </w:tabs>
        <w:spacing w:before="240" w:after="120"/>
        <w:ind w:left="851" w:hanging="851"/>
        <w:jc w:val="both"/>
        <w:outlineLvl w:val="2"/>
        <w:rPr>
          <w:bCs/>
          <w:i/>
          <w:noProof/>
        </w:rPr>
      </w:pPr>
      <w:bookmarkStart w:id="118" w:name="_Toc495584140"/>
      <w:bookmarkStart w:id="119" w:name="_Toc496530526"/>
      <w:r>
        <w:rPr>
          <w:i/>
          <w:noProof/>
        </w:rPr>
        <w:t>5.3.2</w:t>
      </w:r>
      <w:r>
        <w:rPr>
          <w:noProof/>
        </w:rPr>
        <w:tab/>
      </w:r>
      <w:r>
        <w:rPr>
          <w:noProof/>
        </w:rPr>
        <w:tab/>
      </w:r>
      <w:r>
        <w:rPr>
          <w:i/>
          <w:noProof/>
        </w:rPr>
        <w:t>Прехвърляне на определени задачи по мониторинг, насочване и консултации (МНК) от EULEX Косово към Службата на ЕС в Косово</w:t>
      </w:r>
      <w:bookmarkEnd w:id="118"/>
      <w:bookmarkEnd w:id="119"/>
    </w:p>
    <w:p>
      <w:pPr>
        <w:spacing w:before="120" w:after="120"/>
        <w:jc w:val="both"/>
        <w:rPr>
          <w:noProof/>
        </w:rPr>
      </w:pPr>
      <w:r>
        <w:rPr>
          <w:noProof/>
        </w:rPr>
        <w:t>В резултат на стратегическия преглед за 2015/2016 година и постепенното изтегляне на мисията EULEX в Косово, Съветът поиска от ЕСВД да подготви стратегия за преход.</w:t>
      </w:r>
    </w:p>
    <w:p>
      <w:pPr>
        <w:spacing w:before="120" w:after="120"/>
        <w:jc w:val="both"/>
        <w:rPr>
          <w:noProof/>
        </w:rPr>
      </w:pPr>
      <w:r>
        <w:rPr>
          <w:noProof/>
        </w:rPr>
        <w:t>На 13 март 2017 г. пред Комитета за гражданските аспекти на управлението на кризи (CivCom) беше представена Концепция за прехода за EULEX, в която се предлага прехвърлянето на определени задачи по МНК към службата на ЕС, поради което тя трябва да бъде подсилена с нови щатни бройки за стратегически консултанти в областта на върховенството на закона и административен персонал, финансирани от административния бюджет на ЕСВД.</w:t>
      </w:r>
    </w:p>
    <w:p>
      <w:pPr>
        <w:spacing w:before="120" w:after="120"/>
        <w:jc w:val="both"/>
        <w:rPr>
          <w:noProof/>
        </w:rPr>
      </w:pPr>
      <w:r>
        <w:rPr>
          <w:noProof/>
        </w:rPr>
        <w:t>На тази основа CivCom прие тази концепция на 24 април 2017 г., а Комитетът по политика и сигурност (КПС) я одобри на 28 април 2017 г. и прикани ЕСВД да подготви прехода.</w:t>
      </w:r>
    </w:p>
    <w:p>
      <w:pPr>
        <w:spacing w:before="120" w:after="120"/>
        <w:jc w:val="both"/>
        <w:rPr>
          <w:noProof/>
        </w:rPr>
      </w:pPr>
      <w:r>
        <w:rPr>
          <w:noProof/>
        </w:rPr>
        <w:t>Смята се, че за Службата на ЕС ще са необходими 12 нови щатни бройки (договорно наети служители, национални експерти и местни служители), които да изпълняват задачите и да поемат допълнителното административно натоварване. Тези нови щатни бройки ще доведат до увеличение на административния бюджет на ЕСВД с 0,5 млн. евро за съответните шест месеца и половина на 2018 г. Цялата сума на годишна база би била 0,8 млн. евро. Това може да послужи като отправна точка за бюджета за 2019 г. и следващите години.</w:t>
      </w:r>
    </w:p>
    <w:p>
      <w:pPr>
        <w:spacing w:before="120" w:after="120"/>
        <w:jc w:val="both"/>
        <w:rPr>
          <w:noProof/>
        </w:rPr>
      </w:pPr>
      <w:r>
        <w:rPr>
          <w:noProof/>
        </w:rPr>
        <w:t>При сегашните допускания съответното намаление на щатните бройки в мисията EULEX възлиза на 41, което води до очаквани спестявания за Общата външна политика и политика на сигурност в размер на 1,8 млн евро през 2018 г.</w:t>
      </w:r>
      <w:r>
        <w:rPr>
          <w:rStyle w:val="FootnoteReference"/>
          <w:noProof/>
        </w:rPr>
        <w:footnoteReference w:id="18"/>
      </w:r>
      <w:r>
        <w:rPr>
          <w:noProof/>
        </w:rPr>
        <w:t xml:space="preserve"> Предлага се остатъкът от 1,3 млн. евро да остане в бюджета на ОВППС, за да се вземат предвид всички други нови действия, които не могат да бъдат програмирани предварително.</w:t>
      </w:r>
    </w:p>
    <w:p>
      <w:pPr>
        <w:spacing w:before="120" w:after="120"/>
        <w:jc w:val="both"/>
        <w:rPr>
          <w:noProof/>
        </w:rPr>
      </w:pPr>
      <w:r>
        <w:rPr>
          <w:noProof/>
        </w:rPr>
        <w:t>Очаква се след приключването му прехвърлянето на задачите по МНК да доведе до по-нататъшно съкращаване на 37 допълнителни щатни бройки (24 международни и 13 местни), или на общо 78 щатни бройки, което обаче ще изисква финансиране на около 10 допълнителни бройки чрез увеличаване на административния бюджет на ЕСВД.</w:t>
      </w:r>
    </w:p>
    <w:p>
      <w:pPr>
        <w:keepNext/>
        <w:tabs>
          <w:tab w:val="num" w:pos="576"/>
          <w:tab w:val="left" w:pos="850"/>
        </w:tabs>
        <w:spacing w:before="120" w:after="120"/>
        <w:ind w:left="851" w:hanging="851"/>
        <w:jc w:val="both"/>
        <w:outlineLvl w:val="2"/>
        <w:rPr>
          <w:bCs/>
          <w:i/>
          <w:noProof/>
        </w:rPr>
      </w:pPr>
      <w:bookmarkStart w:id="120" w:name="_Toc495584141"/>
      <w:bookmarkStart w:id="121" w:name="_Toc496530527"/>
      <w:r>
        <w:rPr>
          <w:i/>
          <w:noProof/>
        </w:rPr>
        <w:t>5.3.3</w:t>
      </w:r>
      <w:r>
        <w:rPr>
          <w:noProof/>
        </w:rPr>
        <w:tab/>
      </w:r>
      <w:r>
        <w:rPr>
          <w:noProof/>
        </w:rPr>
        <w:tab/>
      </w:r>
      <w:r>
        <w:rPr>
          <w:i/>
          <w:noProof/>
        </w:rPr>
        <w:t>Специален бюджетен ред за финансова подкрепа за Европейски училища</w:t>
      </w:r>
      <w:bookmarkEnd w:id="120"/>
      <w:bookmarkEnd w:id="121"/>
    </w:p>
    <w:p>
      <w:pPr>
        <w:spacing w:before="120" w:after="120"/>
        <w:jc w:val="both"/>
        <w:rPr>
          <w:noProof/>
        </w:rPr>
      </w:pPr>
      <w:r>
        <w:rPr>
          <w:noProof/>
        </w:rPr>
        <w:t>От съображения за прозрачност и хармонизация с други институции се предлага да се създаде нова бюджетна позиция, която да покаже финансовата подкрепа на ЕСВД за Европейски училища от тип 2.</w:t>
      </w:r>
    </w:p>
    <w:p>
      <w:pPr>
        <w:spacing w:before="120" w:after="120"/>
        <w:jc w:val="both"/>
        <w:rPr>
          <w:noProof/>
        </w:rPr>
      </w:pPr>
      <w:r>
        <w:rPr>
          <w:noProof/>
        </w:rPr>
        <w:t>Разходите в размер на 20 000 евро годишно в момента се финансират от друга позиция, свързана с персонала, която ще бъде съответно намалена. Поради това тази операция е неутрална по отношение на бюджета.</w:t>
      </w:r>
    </w:p>
    <w:p>
      <w:pPr>
        <w:keepNext/>
        <w:tabs>
          <w:tab w:val="num" w:pos="576"/>
          <w:tab w:val="left" w:pos="850"/>
        </w:tabs>
        <w:spacing w:before="120" w:after="120"/>
        <w:ind w:left="851" w:hanging="851"/>
        <w:jc w:val="both"/>
        <w:outlineLvl w:val="2"/>
        <w:rPr>
          <w:bCs/>
          <w:i/>
          <w:noProof/>
        </w:rPr>
      </w:pPr>
      <w:bookmarkStart w:id="122" w:name="_Toc495584142"/>
      <w:bookmarkStart w:id="123" w:name="_Toc496530528"/>
      <w:r>
        <w:rPr>
          <w:i/>
          <w:noProof/>
        </w:rPr>
        <w:t>5.3.4</w:t>
      </w:r>
      <w:r>
        <w:rPr>
          <w:noProof/>
        </w:rPr>
        <w:tab/>
      </w:r>
      <w:r>
        <w:rPr>
          <w:noProof/>
        </w:rPr>
        <w:tab/>
      </w:r>
      <w:r>
        <w:rPr>
          <w:i/>
          <w:noProof/>
        </w:rPr>
        <w:t>Съчетано въздействие върху ПБ за 2018 г.</w:t>
      </w:r>
      <w:bookmarkEnd w:id="122"/>
      <w:bookmarkEnd w:id="123"/>
    </w:p>
    <w:tbl>
      <w:tblPr>
        <w:tblW w:w="10000" w:type="dxa"/>
        <w:jc w:val="center"/>
        <w:tblLayout w:type="fixed"/>
        <w:tblCellMar>
          <w:left w:w="40" w:type="dxa"/>
          <w:right w:w="40" w:type="dxa"/>
        </w:tblCellMar>
        <w:tblLook w:val="0000" w:firstRow="0" w:lastRow="0" w:firstColumn="0" w:lastColumn="0" w:noHBand="0" w:noVBand="0"/>
      </w:tblPr>
      <w:tblGrid>
        <w:gridCol w:w="9"/>
        <w:gridCol w:w="1191"/>
        <w:gridCol w:w="5503"/>
        <w:gridCol w:w="1617"/>
        <w:gridCol w:w="1672"/>
        <w:gridCol w:w="8"/>
      </w:tblGrid>
      <w:tr>
        <w:trPr>
          <w:gridBefore w:val="1"/>
          <w:gridAfter w:val="1"/>
          <w:wBefore w:w="9" w:type="dxa"/>
          <w:wAfter w:w="8" w:type="dxa"/>
          <w:trHeight w:val="164"/>
          <w:tblHeader/>
          <w:jc w:val="center"/>
        </w:trPr>
        <w:tc>
          <w:tcPr>
            <w:tcW w:w="9983" w:type="dxa"/>
            <w:gridSpan w:val="4"/>
            <w:shd w:val="clear" w:color="auto" w:fill="FFFFFF"/>
            <w:vAlign w:val="center"/>
          </w:tcPr>
          <w:p>
            <w:pPr>
              <w:jc w:val="right"/>
              <w:rPr>
                <w:noProof/>
                <w:sz w:val="16"/>
                <w:szCs w:val="16"/>
              </w:rPr>
            </w:pPr>
            <w:r>
              <w:rPr>
                <w:i/>
                <w:noProof/>
                <w:sz w:val="16"/>
              </w:rPr>
              <w:t>(в евро)</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blHeader/>
        </w:trPr>
        <w:tc>
          <w:tcPr>
            <w:tcW w:w="1200" w:type="dxa"/>
            <w:gridSpan w:val="2"/>
            <w:shd w:val="clear" w:color="auto" w:fill="D9D9D9"/>
            <w:vAlign w:val="center"/>
          </w:tcPr>
          <w:p>
            <w:pPr>
              <w:widowControl w:val="0"/>
              <w:spacing w:before="15" w:after="15" w:line="276" w:lineRule="auto"/>
              <w:jc w:val="center"/>
              <w:rPr>
                <w:b/>
                <w:noProof/>
                <w:sz w:val="20"/>
                <w:szCs w:val="20"/>
              </w:rPr>
            </w:pPr>
            <w:r>
              <w:rPr>
                <w:b/>
                <w:noProof/>
                <w:sz w:val="20"/>
              </w:rPr>
              <w:t>Бюджетен ред</w:t>
            </w:r>
          </w:p>
        </w:tc>
        <w:tc>
          <w:tcPr>
            <w:tcW w:w="5503" w:type="dxa"/>
            <w:shd w:val="clear" w:color="auto" w:fill="D9D9D9"/>
            <w:vAlign w:val="center"/>
          </w:tcPr>
          <w:p>
            <w:pPr>
              <w:widowControl w:val="0"/>
              <w:spacing w:before="15" w:after="15" w:line="276" w:lineRule="auto"/>
              <w:jc w:val="center"/>
              <w:rPr>
                <w:b/>
                <w:noProof/>
                <w:sz w:val="20"/>
                <w:szCs w:val="20"/>
              </w:rPr>
            </w:pPr>
            <w:r>
              <w:rPr>
                <w:b/>
                <w:noProof/>
                <w:sz w:val="20"/>
              </w:rPr>
              <w:t>Наименование</w:t>
            </w:r>
          </w:p>
        </w:tc>
        <w:tc>
          <w:tcPr>
            <w:tcW w:w="1617" w:type="dxa"/>
            <w:shd w:val="clear" w:color="auto" w:fill="D9D9D9"/>
            <w:vAlign w:val="center"/>
          </w:tcPr>
          <w:p>
            <w:pPr>
              <w:widowControl w:val="0"/>
              <w:spacing w:before="15" w:after="15" w:line="276" w:lineRule="auto"/>
              <w:jc w:val="center"/>
              <w:rPr>
                <w:b/>
                <w:noProof/>
                <w:sz w:val="20"/>
                <w:szCs w:val="20"/>
              </w:rPr>
            </w:pPr>
            <w:r>
              <w:rPr>
                <w:b/>
                <w:noProof/>
                <w:sz w:val="20"/>
              </w:rPr>
              <w:t>Бюджетни кредити за поети задължения</w:t>
            </w:r>
          </w:p>
        </w:tc>
        <w:tc>
          <w:tcPr>
            <w:tcW w:w="1680" w:type="dxa"/>
            <w:gridSpan w:val="2"/>
            <w:shd w:val="clear" w:color="auto" w:fill="D9D9D9"/>
            <w:vAlign w:val="center"/>
          </w:tcPr>
          <w:p>
            <w:pPr>
              <w:widowControl w:val="0"/>
              <w:spacing w:before="15" w:after="15" w:line="276" w:lineRule="auto"/>
              <w:jc w:val="center"/>
              <w:rPr>
                <w:b/>
                <w:noProof/>
                <w:sz w:val="20"/>
                <w:szCs w:val="20"/>
              </w:rPr>
            </w:pPr>
            <w:r>
              <w:rPr>
                <w:b/>
                <w:noProof/>
                <w:sz w:val="20"/>
              </w:rPr>
              <w:t>Бюджетни кредити за плащания</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000" w:type="dxa"/>
            <w:gridSpan w:val="6"/>
            <w:shd w:val="clear" w:color="auto" w:fill="F2F2F2" w:themeFill="background1" w:themeFillShade="F2"/>
          </w:tcPr>
          <w:p>
            <w:pPr>
              <w:widowControl w:val="0"/>
              <w:spacing w:before="15" w:after="15" w:line="276" w:lineRule="auto"/>
              <w:rPr>
                <w:i/>
                <w:noProof/>
                <w:sz w:val="20"/>
                <w:szCs w:val="20"/>
              </w:rPr>
            </w:pPr>
            <w:r>
              <w:rPr>
                <w:i/>
                <w:noProof/>
                <w:sz w:val="20"/>
              </w:rPr>
              <w:t>Раздел III — Комисия</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200" w:type="dxa"/>
            <w:gridSpan w:val="2"/>
            <w:vAlign w:val="center"/>
          </w:tcPr>
          <w:p>
            <w:pPr>
              <w:jc w:val="center"/>
              <w:rPr>
                <w:noProof/>
                <w:color w:val="000000"/>
                <w:sz w:val="20"/>
                <w:szCs w:val="20"/>
              </w:rPr>
            </w:pPr>
            <w:r>
              <w:rPr>
                <w:noProof/>
                <w:color w:val="000000"/>
                <w:sz w:val="20"/>
              </w:rPr>
              <w:t>19 03 01 02</w:t>
            </w:r>
          </w:p>
        </w:tc>
        <w:tc>
          <w:tcPr>
            <w:tcW w:w="5503" w:type="dxa"/>
          </w:tcPr>
          <w:p>
            <w:pPr>
              <w:widowControl w:val="0"/>
              <w:tabs>
                <w:tab w:val="left" w:pos="1350"/>
              </w:tabs>
              <w:spacing w:before="15" w:after="15" w:line="276" w:lineRule="auto"/>
              <w:jc w:val="both"/>
              <w:rPr>
                <w:noProof/>
                <w:sz w:val="20"/>
                <w:szCs w:val="20"/>
                <w:highlight w:val="yellow"/>
              </w:rPr>
            </w:pPr>
            <w:r>
              <w:rPr>
                <w:noProof/>
                <w:sz w:val="20"/>
              </w:rPr>
              <w:t>EULEX Косово</w:t>
            </w:r>
          </w:p>
        </w:tc>
        <w:tc>
          <w:tcPr>
            <w:tcW w:w="1617" w:type="dxa"/>
          </w:tcPr>
          <w:p>
            <w:pPr>
              <w:widowControl w:val="0"/>
              <w:spacing w:before="15" w:after="15" w:line="276" w:lineRule="auto"/>
              <w:jc w:val="right"/>
              <w:rPr>
                <w:noProof/>
                <w:sz w:val="20"/>
                <w:szCs w:val="20"/>
              </w:rPr>
            </w:pPr>
            <w:r>
              <w:rPr>
                <w:noProof/>
                <w:sz w:val="20"/>
              </w:rPr>
              <w:t>-1 821 000</w:t>
            </w:r>
          </w:p>
        </w:tc>
        <w:tc>
          <w:tcPr>
            <w:tcW w:w="1680" w:type="dxa"/>
            <w:gridSpan w:val="2"/>
          </w:tcPr>
          <w:p>
            <w:pPr>
              <w:widowControl w:val="0"/>
              <w:spacing w:before="15" w:after="15" w:line="276" w:lineRule="auto"/>
              <w:jc w:val="right"/>
              <w:rPr>
                <w:noProof/>
                <w:sz w:val="20"/>
                <w:szCs w:val="20"/>
              </w:rPr>
            </w:pPr>
            <w:r>
              <w:rPr>
                <w:noProof/>
                <w:sz w:val="20"/>
              </w:rPr>
              <w:t>-1 821 000</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200" w:type="dxa"/>
            <w:gridSpan w:val="2"/>
            <w:vAlign w:val="center"/>
          </w:tcPr>
          <w:p>
            <w:pPr>
              <w:tabs>
                <w:tab w:val="left" w:pos="821"/>
              </w:tabs>
              <w:jc w:val="center"/>
              <w:rPr>
                <w:noProof/>
                <w:color w:val="000000"/>
                <w:sz w:val="20"/>
                <w:szCs w:val="20"/>
              </w:rPr>
            </w:pPr>
            <w:r>
              <w:rPr>
                <w:noProof/>
                <w:color w:val="000000"/>
                <w:sz w:val="20"/>
              </w:rPr>
              <w:t>19 03 01 05</w:t>
            </w:r>
          </w:p>
        </w:tc>
        <w:tc>
          <w:tcPr>
            <w:tcW w:w="5503" w:type="dxa"/>
          </w:tcPr>
          <w:p>
            <w:pPr>
              <w:widowControl w:val="0"/>
              <w:tabs>
                <w:tab w:val="left" w:pos="1350"/>
              </w:tabs>
              <w:spacing w:before="15" w:after="15" w:line="276" w:lineRule="auto"/>
              <w:jc w:val="both"/>
              <w:rPr>
                <w:noProof/>
                <w:sz w:val="20"/>
                <w:szCs w:val="20"/>
                <w:highlight w:val="yellow"/>
              </w:rPr>
            </w:pPr>
            <w:r>
              <w:rPr>
                <w:noProof/>
                <w:sz w:val="20"/>
              </w:rPr>
              <w:t>Спешни мерки</w:t>
            </w:r>
          </w:p>
        </w:tc>
        <w:tc>
          <w:tcPr>
            <w:tcW w:w="1617" w:type="dxa"/>
            <w:vAlign w:val="center"/>
          </w:tcPr>
          <w:p>
            <w:pPr>
              <w:jc w:val="right"/>
              <w:rPr>
                <w:noProof/>
                <w:color w:val="000000"/>
                <w:sz w:val="20"/>
                <w:szCs w:val="20"/>
              </w:rPr>
            </w:pPr>
            <w:r>
              <w:rPr>
                <w:noProof/>
                <w:color w:val="000000"/>
                <w:sz w:val="20"/>
              </w:rPr>
              <w:t>7 001 000</w:t>
            </w:r>
          </w:p>
        </w:tc>
        <w:tc>
          <w:tcPr>
            <w:tcW w:w="1680" w:type="dxa"/>
            <w:gridSpan w:val="2"/>
            <w:vAlign w:val="center"/>
          </w:tcPr>
          <w:p>
            <w:pPr>
              <w:jc w:val="right"/>
              <w:rPr>
                <w:noProof/>
                <w:color w:val="000000"/>
                <w:sz w:val="20"/>
                <w:szCs w:val="20"/>
              </w:rPr>
            </w:pPr>
            <w:r>
              <w:rPr>
                <w:noProof/>
                <w:color w:val="000000"/>
                <w:sz w:val="20"/>
              </w:rPr>
              <w:t>7 001 000</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200" w:type="dxa"/>
            <w:gridSpan w:val="2"/>
            <w:vAlign w:val="center"/>
          </w:tcPr>
          <w:p>
            <w:pPr>
              <w:jc w:val="center"/>
              <w:rPr>
                <w:noProof/>
                <w:color w:val="000000"/>
                <w:sz w:val="20"/>
                <w:szCs w:val="20"/>
              </w:rPr>
            </w:pPr>
            <w:r>
              <w:rPr>
                <w:noProof/>
                <w:color w:val="000000"/>
                <w:sz w:val="20"/>
              </w:rPr>
              <w:t>19 03 01 07</w:t>
            </w:r>
          </w:p>
        </w:tc>
        <w:tc>
          <w:tcPr>
            <w:tcW w:w="5503" w:type="dxa"/>
          </w:tcPr>
          <w:p>
            <w:pPr>
              <w:widowControl w:val="0"/>
              <w:tabs>
                <w:tab w:val="left" w:pos="1350"/>
              </w:tabs>
              <w:spacing w:before="15" w:after="15" w:line="276" w:lineRule="auto"/>
              <w:jc w:val="both"/>
              <w:rPr>
                <w:noProof/>
                <w:sz w:val="20"/>
                <w:szCs w:val="20"/>
                <w:highlight w:val="yellow"/>
              </w:rPr>
            </w:pPr>
            <w:r>
              <w:rPr>
                <w:noProof/>
                <w:sz w:val="20"/>
              </w:rPr>
              <w:t>Специални представители на Европейския съюз</w:t>
            </w:r>
          </w:p>
        </w:tc>
        <w:tc>
          <w:tcPr>
            <w:tcW w:w="1617" w:type="dxa"/>
            <w:vAlign w:val="center"/>
          </w:tcPr>
          <w:p>
            <w:pPr>
              <w:jc w:val="right"/>
              <w:rPr>
                <w:noProof/>
                <w:color w:val="000000"/>
                <w:sz w:val="20"/>
                <w:szCs w:val="20"/>
              </w:rPr>
            </w:pPr>
            <w:r>
              <w:rPr>
                <w:noProof/>
                <w:color w:val="000000"/>
                <w:sz w:val="20"/>
              </w:rPr>
              <w:t xml:space="preserve">-10 200 000 </w:t>
            </w:r>
          </w:p>
        </w:tc>
        <w:tc>
          <w:tcPr>
            <w:tcW w:w="1680" w:type="dxa"/>
            <w:gridSpan w:val="2"/>
            <w:vAlign w:val="center"/>
          </w:tcPr>
          <w:p>
            <w:pPr>
              <w:jc w:val="right"/>
              <w:rPr>
                <w:noProof/>
                <w:color w:val="000000"/>
                <w:sz w:val="20"/>
                <w:szCs w:val="20"/>
              </w:rPr>
            </w:pPr>
            <w:r>
              <w:rPr>
                <w:noProof/>
                <w:color w:val="000000"/>
                <w:sz w:val="20"/>
              </w:rPr>
              <w:t xml:space="preserve">-10 200 000 </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6703" w:type="dxa"/>
            <w:gridSpan w:val="3"/>
            <w:vAlign w:val="center"/>
          </w:tcPr>
          <w:p>
            <w:pPr>
              <w:widowControl w:val="0"/>
              <w:tabs>
                <w:tab w:val="left" w:pos="1350"/>
              </w:tabs>
              <w:spacing w:before="15" w:after="15" w:line="276" w:lineRule="auto"/>
              <w:jc w:val="both"/>
              <w:rPr>
                <w:noProof/>
                <w:sz w:val="20"/>
                <w:szCs w:val="20"/>
                <w:highlight w:val="yellow"/>
              </w:rPr>
            </w:pPr>
            <w:r>
              <w:rPr>
                <w:b/>
                <w:noProof/>
                <w:sz w:val="20"/>
              </w:rPr>
              <w:t>Общо раздел III</w:t>
            </w:r>
          </w:p>
        </w:tc>
        <w:tc>
          <w:tcPr>
            <w:tcW w:w="1617" w:type="dxa"/>
            <w:vAlign w:val="center"/>
          </w:tcPr>
          <w:p>
            <w:pPr>
              <w:jc w:val="right"/>
              <w:rPr>
                <w:noProof/>
                <w:color w:val="000000"/>
                <w:sz w:val="20"/>
                <w:szCs w:val="20"/>
              </w:rPr>
            </w:pPr>
            <w:r>
              <w:rPr>
                <w:b/>
                <w:noProof/>
                <w:sz w:val="20"/>
              </w:rPr>
              <w:t>-5 020 000</w:t>
            </w:r>
          </w:p>
        </w:tc>
        <w:tc>
          <w:tcPr>
            <w:tcW w:w="1680" w:type="dxa"/>
            <w:gridSpan w:val="2"/>
            <w:vAlign w:val="center"/>
          </w:tcPr>
          <w:p>
            <w:pPr>
              <w:jc w:val="right"/>
              <w:rPr>
                <w:noProof/>
                <w:color w:val="000000"/>
                <w:sz w:val="20"/>
                <w:szCs w:val="20"/>
              </w:rPr>
            </w:pPr>
            <w:r>
              <w:rPr>
                <w:b/>
                <w:noProof/>
                <w:sz w:val="20"/>
              </w:rPr>
              <w:t>-5 020 000</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000" w:type="dxa"/>
            <w:gridSpan w:val="6"/>
            <w:shd w:val="clear" w:color="auto" w:fill="F2F2F2" w:themeFill="background1" w:themeFillShade="F2"/>
          </w:tcPr>
          <w:p>
            <w:pPr>
              <w:widowControl w:val="0"/>
              <w:spacing w:before="15" w:after="15" w:line="276" w:lineRule="auto"/>
              <w:rPr>
                <w:i/>
                <w:noProof/>
                <w:sz w:val="20"/>
                <w:szCs w:val="20"/>
              </w:rPr>
            </w:pPr>
            <w:r>
              <w:rPr>
                <w:i/>
                <w:noProof/>
                <w:sz w:val="20"/>
              </w:rPr>
              <w:t>Раздел X — Европейска служба за външна дейност</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200" w:type="dxa"/>
            <w:gridSpan w:val="2"/>
            <w:vAlign w:val="center"/>
          </w:tcPr>
          <w:p>
            <w:pPr>
              <w:jc w:val="center"/>
              <w:rPr>
                <w:noProof/>
                <w:color w:val="000000"/>
                <w:sz w:val="20"/>
                <w:szCs w:val="20"/>
              </w:rPr>
            </w:pPr>
            <w:r>
              <w:rPr>
                <w:noProof/>
                <w:color w:val="000000"/>
                <w:sz w:val="20"/>
              </w:rPr>
              <w:t>1 1 0 2</w:t>
            </w:r>
          </w:p>
        </w:tc>
        <w:tc>
          <w:tcPr>
            <w:tcW w:w="5503" w:type="dxa"/>
          </w:tcPr>
          <w:p>
            <w:pPr>
              <w:widowControl w:val="0"/>
              <w:tabs>
                <w:tab w:val="left" w:pos="1350"/>
              </w:tabs>
              <w:spacing w:before="15" w:after="15" w:line="276" w:lineRule="auto"/>
              <w:jc w:val="both"/>
              <w:rPr>
                <w:noProof/>
                <w:sz w:val="20"/>
                <w:szCs w:val="20"/>
                <w:highlight w:val="yellow"/>
              </w:rPr>
            </w:pPr>
            <w:r>
              <w:rPr>
                <w:noProof/>
                <w:sz w:val="20"/>
              </w:rPr>
              <w:t>Права според Правилника за длъжностните лица, свързани с личното положение на служителя</w:t>
            </w:r>
          </w:p>
        </w:tc>
        <w:tc>
          <w:tcPr>
            <w:tcW w:w="1617" w:type="dxa"/>
            <w:vAlign w:val="center"/>
          </w:tcPr>
          <w:p>
            <w:pPr>
              <w:jc w:val="right"/>
              <w:rPr>
                <w:noProof/>
                <w:color w:val="000000"/>
                <w:sz w:val="20"/>
                <w:szCs w:val="20"/>
              </w:rPr>
            </w:pPr>
            <w:r>
              <w:rPr>
                <w:noProof/>
                <w:color w:val="000000"/>
                <w:sz w:val="20"/>
              </w:rPr>
              <w:t xml:space="preserve">-20 000 </w:t>
            </w:r>
          </w:p>
        </w:tc>
        <w:tc>
          <w:tcPr>
            <w:tcW w:w="1680" w:type="dxa"/>
            <w:gridSpan w:val="2"/>
            <w:vAlign w:val="center"/>
          </w:tcPr>
          <w:p>
            <w:pPr>
              <w:jc w:val="right"/>
              <w:rPr>
                <w:noProof/>
                <w:color w:val="000000"/>
                <w:sz w:val="20"/>
                <w:szCs w:val="20"/>
              </w:rPr>
            </w:pPr>
            <w:r>
              <w:rPr>
                <w:noProof/>
                <w:color w:val="000000"/>
                <w:sz w:val="20"/>
              </w:rPr>
              <w:t xml:space="preserve">-20 000 </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200" w:type="dxa"/>
            <w:gridSpan w:val="2"/>
            <w:vAlign w:val="center"/>
          </w:tcPr>
          <w:p>
            <w:pPr>
              <w:jc w:val="center"/>
              <w:rPr>
                <w:noProof/>
                <w:color w:val="000000"/>
                <w:sz w:val="20"/>
                <w:szCs w:val="20"/>
              </w:rPr>
            </w:pPr>
            <w:r>
              <w:rPr>
                <w:noProof/>
                <w:color w:val="000000"/>
                <w:sz w:val="20"/>
              </w:rPr>
              <w:t>1 4 0</w:t>
            </w:r>
          </w:p>
        </w:tc>
        <w:tc>
          <w:tcPr>
            <w:tcW w:w="5503" w:type="dxa"/>
          </w:tcPr>
          <w:p>
            <w:pPr>
              <w:widowControl w:val="0"/>
              <w:tabs>
                <w:tab w:val="left" w:pos="1350"/>
              </w:tabs>
              <w:spacing w:before="15" w:after="15" w:line="276" w:lineRule="auto"/>
              <w:jc w:val="both"/>
              <w:rPr>
                <w:noProof/>
                <w:sz w:val="20"/>
                <w:szCs w:val="20"/>
                <w:highlight w:val="yellow"/>
              </w:rPr>
            </w:pPr>
            <w:r>
              <w:rPr>
                <w:noProof/>
                <w:sz w:val="20"/>
              </w:rPr>
              <w:t>Командировки</w:t>
            </w:r>
          </w:p>
        </w:tc>
        <w:tc>
          <w:tcPr>
            <w:tcW w:w="1617" w:type="dxa"/>
            <w:vAlign w:val="center"/>
          </w:tcPr>
          <w:p>
            <w:pPr>
              <w:jc w:val="right"/>
              <w:rPr>
                <w:noProof/>
                <w:color w:val="000000"/>
                <w:sz w:val="20"/>
                <w:szCs w:val="20"/>
              </w:rPr>
            </w:pPr>
            <w:r>
              <w:rPr>
                <w:noProof/>
                <w:color w:val="000000"/>
                <w:sz w:val="20"/>
              </w:rPr>
              <w:t xml:space="preserve">75 000 </w:t>
            </w:r>
          </w:p>
        </w:tc>
        <w:tc>
          <w:tcPr>
            <w:tcW w:w="1680" w:type="dxa"/>
            <w:gridSpan w:val="2"/>
            <w:vAlign w:val="center"/>
          </w:tcPr>
          <w:p>
            <w:pPr>
              <w:jc w:val="right"/>
              <w:rPr>
                <w:noProof/>
                <w:color w:val="000000"/>
                <w:sz w:val="20"/>
                <w:szCs w:val="20"/>
              </w:rPr>
            </w:pPr>
            <w:r>
              <w:rPr>
                <w:noProof/>
                <w:color w:val="000000"/>
                <w:sz w:val="20"/>
              </w:rPr>
              <w:t xml:space="preserve">75 000 </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200" w:type="dxa"/>
            <w:gridSpan w:val="2"/>
            <w:vAlign w:val="center"/>
          </w:tcPr>
          <w:p>
            <w:pPr>
              <w:jc w:val="center"/>
              <w:rPr>
                <w:noProof/>
                <w:color w:val="000000"/>
                <w:sz w:val="20"/>
                <w:szCs w:val="20"/>
              </w:rPr>
            </w:pPr>
            <w:r>
              <w:rPr>
                <w:noProof/>
                <w:color w:val="000000"/>
                <w:sz w:val="20"/>
              </w:rPr>
              <w:t>1 5 0 4</w:t>
            </w:r>
          </w:p>
        </w:tc>
        <w:tc>
          <w:tcPr>
            <w:tcW w:w="5503" w:type="dxa"/>
          </w:tcPr>
          <w:p>
            <w:pPr>
              <w:widowControl w:val="0"/>
              <w:tabs>
                <w:tab w:val="left" w:pos="1350"/>
              </w:tabs>
              <w:spacing w:before="15" w:after="15" w:line="276" w:lineRule="auto"/>
              <w:jc w:val="both"/>
              <w:rPr>
                <w:noProof/>
                <w:sz w:val="20"/>
                <w:szCs w:val="20"/>
                <w:highlight w:val="yellow"/>
              </w:rPr>
            </w:pPr>
            <w:r>
              <w:rPr>
                <w:noProof/>
                <w:sz w:val="20"/>
              </w:rPr>
              <w:t>Финансова подкрепа за акредитирани Европейски училища от тип ІІ</w:t>
            </w:r>
          </w:p>
        </w:tc>
        <w:tc>
          <w:tcPr>
            <w:tcW w:w="1617" w:type="dxa"/>
            <w:vAlign w:val="center"/>
          </w:tcPr>
          <w:p>
            <w:pPr>
              <w:jc w:val="right"/>
              <w:rPr>
                <w:noProof/>
                <w:color w:val="000000"/>
                <w:sz w:val="20"/>
                <w:szCs w:val="20"/>
              </w:rPr>
            </w:pPr>
            <w:r>
              <w:rPr>
                <w:noProof/>
                <w:color w:val="000000"/>
                <w:sz w:val="20"/>
              </w:rPr>
              <w:t xml:space="preserve">20 000 </w:t>
            </w:r>
          </w:p>
        </w:tc>
        <w:tc>
          <w:tcPr>
            <w:tcW w:w="1680" w:type="dxa"/>
            <w:gridSpan w:val="2"/>
            <w:vAlign w:val="center"/>
          </w:tcPr>
          <w:p>
            <w:pPr>
              <w:jc w:val="right"/>
              <w:rPr>
                <w:noProof/>
                <w:color w:val="000000"/>
                <w:sz w:val="20"/>
                <w:szCs w:val="20"/>
              </w:rPr>
            </w:pPr>
            <w:r>
              <w:rPr>
                <w:noProof/>
                <w:color w:val="000000"/>
                <w:sz w:val="20"/>
              </w:rPr>
              <w:t xml:space="preserve">20 000 </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200" w:type="dxa"/>
            <w:gridSpan w:val="2"/>
            <w:vAlign w:val="center"/>
          </w:tcPr>
          <w:p>
            <w:pPr>
              <w:jc w:val="center"/>
              <w:rPr>
                <w:noProof/>
                <w:color w:val="000000"/>
                <w:sz w:val="20"/>
                <w:szCs w:val="20"/>
              </w:rPr>
            </w:pPr>
            <w:r>
              <w:rPr>
                <w:noProof/>
                <w:color w:val="000000"/>
                <w:sz w:val="20"/>
              </w:rPr>
              <w:t>3 0 0 1</w:t>
            </w:r>
          </w:p>
        </w:tc>
        <w:tc>
          <w:tcPr>
            <w:tcW w:w="5503" w:type="dxa"/>
          </w:tcPr>
          <w:p>
            <w:pPr>
              <w:widowControl w:val="0"/>
              <w:tabs>
                <w:tab w:val="left" w:pos="1350"/>
              </w:tabs>
              <w:spacing w:before="15" w:after="15" w:line="276" w:lineRule="auto"/>
              <w:jc w:val="both"/>
              <w:rPr>
                <w:noProof/>
                <w:sz w:val="20"/>
                <w:szCs w:val="20"/>
                <w:highlight w:val="yellow"/>
              </w:rPr>
            </w:pPr>
            <w:r>
              <w:rPr>
                <w:noProof/>
                <w:sz w:val="20"/>
              </w:rPr>
              <w:t>Външен персонал и външни услуги</w:t>
            </w:r>
          </w:p>
        </w:tc>
        <w:tc>
          <w:tcPr>
            <w:tcW w:w="1617" w:type="dxa"/>
            <w:vAlign w:val="center"/>
          </w:tcPr>
          <w:p>
            <w:pPr>
              <w:jc w:val="right"/>
              <w:rPr>
                <w:noProof/>
                <w:color w:val="000000"/>
                <w:sz w:val="20"/>
                <w:szCs w:val="20"/>
              </w:rPr>
            </w:pPr>
            <w:r>
              <w:rPr>
                <w:noProof/>
                <w:color w:val="000000"/>
                <w:sz w:val="20"/>
              </w:rPr>
              <w:t xml:space="preserve">1 023 000 </w:t>
            </w:r>
          </w:p>
        </w:tc>
        <w:tc>
          <w:tcPr>
            <w:tcW w:w="1680" w:type="dxa"/>
            <w:gridSpan w:val="2"/>
            <w:vAlign w:val="center"/>
          </w:tcPr>
          <w:p>
            <w:pPr>
              <w:jc w:val="right"/>
              <w:rPr>
                <w:noProof/>
                <w:color w:val="000000"/>
                <w:sz w:val="20"/>
                <w:szCs w:val="20"/>
              </w:rPr>
            </w:pPr>
            <w:r>
              <w:rPr>
                <w:noProof/>
                <w:color w:val="000000"/>
                <w:sz w:val="20"/>
              </w:rPr>
              <w:t xml:space="preserve">1 023 000 </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200" w:type="dxa"/>
            <w:gridSpan w:val="2"/>
            <w:vAlign w:val="center"/>
          </w:tcPr>
          <w:p>
            <w:pPr>
              <w:jc w:val="center"/>
              <w:rPr>
                <w:noProof/>
                <w:color w:val="000000"/>
                <w:sz w:val="20"/>
                <w:szCs w:val="20"/>
              </w:rPr>
            </w:pPr>
            <w:r>
              <w:rPr>
                <w:noProof/>
                <w:color w:val="000000"/>
                <w:sz w:val="20"/>
              </w:rPr>
              <w:t>3 0 0 2</w:t>
            </w:r>
          </w:p>
        </w:tc>
        <w:tc>
          <w:tcPr>
            <w:tcW w:w="5503" w:type="dxa"/>
          </w:tcPr>
          <w:p>
            <w:pPr>
              <w:widowControl w:val="0"/>
              <w:tabs>
                <w:tab w:val="left" w:pos="1350"/>
              </w:tabs>
              <w:spacing w:before="15" w:after="15" w:line="276" w:lineRule="auto"/>
              <w:jc w:val="both"/>
              <w:rPr>
                <w:noProof/>
                <w:sz w:val="20"/>
                <w:szCs w:val="20"/>
                <w:highlight w:val="yellow"/>
              </w:rPr>
            </w:pPr>
            <w:r>
              <w:rPr>
                <w:noProof/>
                <w:sz w:val="20"/>
              </w:rPr>
              <w:t>Други разходи, свързани с персонала</w:t>
            </w:r>
          </w:p>
        </w:tc>
        <w:tc>
          <w:tcPr>
            <w:tcW w:w="1617" w:type="dxa"/>
            <w:vAlign w:val="center"/>
          </w:tcPr>
          <w:p>
            <w:pPr>
              <w:jc w:val="right"/>
              <w:rPr>
                <w:noProof/>
                <w:color w:val="000000"/>
                <w:sz w:val="20"/>
                <w:szCs w:val="20"/>
              </w:rPr>
            </w:pPr>
            <w:r>
              <w:rPr>
                <w:noProof/>
                <w:color w:val="000000"/>
                <w:sz w:val="20"/>
              </w:rPr>
              <w:t xml:space="preserve">212 000 </w:t>
            </w:r>
          </w:p>
        </w:tc>
        <w:tc>
          <w:tcPr>
            <w:tcW w:w="1680" w:type="dxa"/>
            <w:gridSpan w:val="2"/>
            <w:vAlign w:val="center"/>
          </w:tcPr>
          <w:p>
            <w:pPr>
              <w:jc w:val="right"/>
              <w:rPr>
                <w:noProof/>
                <w:color w:val="000000"/>
                <w:sz w:val="20"/>
                <w:szCs w:val="20"/>
              </w:rPr>
            </w:pPr>
            <w:r>
              <w:rPr>
                <w:noProof/>
                <w:color w:val="000000"/>
                <w:sz w:val="20"/>
              </w:rPr>
              <w:t xml:space="preserve">212 000 </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200" w:type="dxa"/>
            <w:gridSpan w:val="2"/>
            <w:vAlign w:val="center"/>
          </w:tcPr>
          <w:p>
            <w:pPr>
              <w:jc w:val="center"/>
              <w:rPr>
                <w:noProof/>
                <w:color w:val="000000"/>
                <w:sz w:val="20"/>
                <w:szCs w:val="20"/>
              </w:rPr>
            </w:pPr>
            <w:r>
              <w:rPr>
                <w:noProof/>
                <w:color w:val="000000"/>
                <w:sz w:val="20"/>
              </w:rPr>
              <w:t>3 0 0 3</w:t>
            </w:r>
          </w:p>
        </w:tc>
        <w:tc>
          <w:tcPr>
            <w:tcW w:w="5503" w:type="dxa"/>
          </w:tcPr>
          <w:p>
            <w:pPr>
              <w:widowControl w:val="0"/>
              <w:tabs>
                <w:tab w:val="left" w:pos="1350"/>
              </w:tabs>
              <w:spacing w:before="15" w:after="15" w:line="276" w:lineRule="auto"/>
              <w:jc w:val="both"/>
              <w:rPr>
                <w:noProof/>
                <w:sz w:val="20"/>
                <w:szCs w:val="20"/>
                <w:highlight w:val="yellow"/>
              </w:rPr>
            </w:pPr>
            <w:r>
              <w:rPr>
                <w:noProof/>
                <w:sz w:val="20"/>
              </w:rPr>
              <w:t>Сгради и разходи, свързани с тях</w:t>
            </w:r>
          </w:p>
        </w:tc>
        <w:tc>
          <w:tcPr>
            <w:tcW w:w="1617" w:type="dxa"/>
            <w:vAlign w:val="center"/>
          </w:tcPr>
          <w:p>
            <w:pPr>
              <w:jc w:val="right"/>
              <w:rPr>
                <w:noProof/>
                <w:color w:val="000000"/>
                <w:sz w:val="20"/>
                <w:szCs w:val="20"/>
              </w:rPr>
            </w:pPr>
            <w:r>
              <w:rPr>
                <w:noProof/>
                <w:color w:val="000000"/>
                <w:sz w:val="20"/>
              </w:rPr>
              <w:t xml:space="preserve">3 635 000 </w:t>
            </w:r>
          </w:p>
        </w:tc>
        <w:tc>
          <w:tcPr>
            <w:tcW w:w="1680" w:type="dxa"/>
            <w:gridSpan w:val="2"/>
            <w:vAlign w:val="center"/>
          </w:tcPr>
          <w:p>
            <w:pPr>
              <w:jc w:val="right"/>
              <w:rPr>
                <w:noProof/>
                <w:color w:val="000000"/>
                <w:sz w:val="20"/>
                <w:szCs w:val="20"/>
              </w:rPr>
            </w:pPr>
            <w:r>
              <w:rPr>
                <w:noProof/>
                <w:color w:val="000000"/>
                <w:sz w:val="20"/>
              </w:rPr>
              <w:t xml:space="preserve">3 635 000 </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200" w:type="dxa"/>
            <w:gridSpan w:val="2"/>
            <w:vAlign w:val="center"/>
          </w:tcPr>
          <w:p>
            <w:pPr>
              <w:jc w:val="center"/>
              <w:rPr>
                <w:noProof/>
                <w:color w:val="000000"/>
                <w:sz w:val="20"/>
                <w:szCs w:val="20"/>
              </w:rPr>
            </w:pPr>
            <w:r>
              <w:rPr>
                <w:noProof/>
                <w:color w:val="000000"/>
                <w:sz w:val="20"/>
              </w:rPr>
              <w:t>3 0 0 4</w:t>
            </w:r>
          </w:p>
        </w:tc>
        <w:tc>
          <w:tcPr>
            <w:tcW w:w="5503" w:type="dxa"/>
          </w:tcPr>
          <w:p>
            <w:pPr>
              <w:widowControl w:val="0"/>
              <w:tabs>
                <w:tab w:val="left" w:pos="1350"/>
              </w:tabs>
              <w:spacing w:before="15" w:after="15" w:line="276" w:lineRule="auto"/>
              <w:jc w:val="both"/>
              <w:rPr>
                <w:noProof/>
                <w:sz w:val="20"/>
                <w:szCs w:val="20"/>
                <w:highlight w:val="yellow"/>
              </w:rPr>
            </w:pPr>
            <w:r>
              <w:rPr>
                <w:noProof/>
                <w:sz w:val="20"/>
              </w:rPr>
              <w:t>Други административни разходи</w:t>
            </w:r>
          </w:p>
        </w:tc>
        <w:tc>
          <w:tcPr>
            <w:tcW w:w="1617" w:type="dxa"/>
            <w:vAlign w:val="center"/>
          </w:tcPr>
          <w:p>
            <w:pPr>
              <w:jc w:val="right"/>
              <w:rPr>
                <w:noProof/>
                <w:color w:val="000000"/>
                <w:sz w:val="20"/>
                <w:szCs w:val="20"/>
              </w:rPr>
            </w:pPr>
            <w:r>
              <w:rPr>
                <w:noProof/>
                <w:color w:val="000000"/>
                <w:sz w:val="20"/>
              </w:rPr>
              <w:t xml:space="preserve">75 000 </w:t>
            </w:r>
          </w:p>
        </w:tc>
        <w:tc>
          <w:tcPr>
            <w:tcW w:w="1680" w:type="dxa"/>
            <w:gridSpan w:val="2"/>
            <w:vAlign w:val="center"/>
          </w:tcPr>
          <w:p>
            <w:pPr>
              <w:jc w:val="right"/>
              <w:rPr>
                <w:noProof/>
                <w:color w:val="000000"/>
                <w:sz w:val="20"/>
                <w:szCs w:val="20"/>
              </w:rPr>
            </w:pPr>
            <w:r>
              <w:rPr>
                <w:noProof/>
                <w:color w:val="000000"/>
                <w:sz w:val="20"/>
              </w:rPr>
              <w:t xml:space="preserve">75 000 </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6703" w:type="dxa"/>
            <w:gridSpan w:val="3"/>
            <w:vAlign w:val="center"/>
          </w:tcPr>
          <w:p>
            <w:pPr>
              <w:widowControl w:val="0"/>
              <w:tabs>
                <w:tab w:val="left" w:pos="1350"/>
              </w:tabs>
              <w:spacing w:before="15" w:after="15" w:line="276" w:lineRule="auto"/>
              <w:jc w:val="both"/>
              <w:rPr>
                <w:noProof/>
                <w:sz w:val="20"/>
                <w:szCs w:val="20"/>
                <w:highlight w:val="yellow"/>
              </w:rPr>
            </w:pPr>
            <w:r>
              <w:rPr>
                <w:b/>
                <w:noProof/>
                <w:sz w:val="20"/>
              </w:rPr>
              <w:t>Общо раздел X</w:t>
            </w:r>
          </w:p>
        </w:tc>
        <w:tc>
          <w:tcPr>
            <w:tcW w:w="1617" w:type="dxa"/>
            <w:vAlign w:val="center"/>
          </w:tcPr>
          <w:p>
            <w:pPr>
              <w:jc w:val="right"/>
              <w:rPr>
                <w:noProof/>
                <w:color w:val="000000"/>
                <w:sz w:val="20"/>
                <w:szCs w:val="20"/>
              </w:rPr>
            </w:pPr>
            <w:r>
              <w:rPr>
                <w:b/>
                <w:noProof/>
                <w:sz w:val="20"/>
              </w:rPr>
              <w:t>5 020 000</w:t>
            </w:r>
          </w:p>
        </w:tc>
        <w:tc>
          <w:tcPr>
            <w:tcW w:w="1680" w:type="dxa"/>
            <w:gridSpan w:val="2"/>
            <w:vAlign w:val="center"/>
          </w:tcPr>
          <w:p>
            <w:pPr>
              <w:jc w:val="right"/>
              <w:rPr>
                <w:noProof/>
                <w:color w:val="000000"/>
                <w:sz w:val="20"/>
                <w:szCs w:val="20"/>
              </w:rPr>
            </w:pPr>
            <w:r>
              <w:rPr>
                <w:b/>
                <w:noProof/>
                <w:sz w:val="20"/>
              </w:rPr>
              <w:t>5 020 000</w:t>
            </w:r>
          </w:p>
        </w:tc>
      </w:tr>
      <w:tr>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6703" w:type="dxa"/>
            <w:gridSpan w:val="3"/>
            <w:shd w:val="clear" w:color="auto" w:fill="D9D9D9"/>
          </w:tcPr>
          <w:p>
            <w:pPr>
              <w:widowControl w:val="0"/>
              <w:tabs>
                <w:tab w:val="left" w:pos="975"/>
              </w:tabs>
              <w:spacing w:before="15" w:after="15"/>
              <w:jc w:val="both"/>
              <w:rPr>
                <w:b/>
                <w:noProof/>
                <w:sz w:val="20"/>
                <w:szCs w:val="20"/>
              </w:rPr>
            </w:pPr>
            <w:r>
              <w:rPr>
                <w:b/>
                <w:noProof/>
                <w:sz w:val="20"/>
              </w:rPr>
              <w:t>Общо</w:t>
            </w:r>
          </w:p>
        </w:tc>
        <w:tc>
          <w:tcPr>
            <w:tcW w:w="1617" w:type="dxa"/>
            <w:shd w:val="clear" w:color="auto" w:fill="D9D9D9"/>
          </w:tcPr>
          <w:p>
            <w:pPr>
              <w:widowControl w:val="0"/>
              <w:spacing w:before="15" w:after="15"/>
              <w:jc w:val="right"/>
              <w:rPr>
                <w:b/>
                <w:noProof/>
                <w:sz w:val="20"/>
                <w:szCs w:val="20"/>
              </w:rPr>
            </w:pPr>
            <w:r>
              <w:rPr>
                <w:b/>
                <w:noProof/>
                <w:sz w:val="20"/>
              </w:rPr>
              <w:t>-</w:t>
            </w:r>
          </w:p>
        </w:tc>
        <w:tc>
          <w:tcPr>
            <w:tcW w:w="1680" w:type="dxa"/>
            <w:gridSpan w:val="2"/>
            <w:shd w:val="clear" w:color="auto" w:fill="D9D9D9"/>
          </w:tcPr>
          <w:p>
            <w:pPr>
              <w:widowControl w:val="0"/>
              <w:spacing w:before="15" w:after="15"/>
              <w:jc w:val="right"/>
              <w:rPr>
                <w:b/>
                <w:noProof/>
                <w:sz w:val="20"/>
                <w:szCs w:val="20"/>
              </w:rPr>
            </w:pPr>
            <w:r>
              <w:rPr>
                <w:b/>
                <w:noProof/>
                <w:sz w:val="20"/>
              </w:rPr>
              <w:t>-</w:t>
            </w:r>
          </w:p>
        </w:tc>
      </w:tr>
    </w:tbl>
    <w:p>
      <w:pPr>
        <w:pStyle w:val="ManualHeading1"/>
        <w:spacing w:before="120" w:after="0"/>
        <w:ind w:left="0" w:firstLine="0"/>
        <w:rPr>
          <w:noProof/>
        </w:rPr>
      </w:pPr>
      <w:bookmarkStart w:id="124" w:name="_Toc495584143"/>
      <w:bookmarkStart w:id="125" w:name="_Toc496530529"/>
      <w:r>
        <w:rPr>
          <w:noProof/>
        </w:rPr>
        <w:t>6.</w:t>
      </w:r>
      <w:r>
        <w:rPr>
          <w:noProof/>
        </w:rPr>
        <w:tab/>
        <w:t>Обобщаваща таблица по функции от МФР</w:t>
      </w:r>
      <w:bookmarkEnd w:id="124"/>
      <w:bookmarkEnd w:id="125"/>
    </w:p>
    <w:p>
      <w:pPr>
        <w:pStyle w:val="Text1"/>
        <w:rPr>
          <w:noProof/>
        </w:rPr>
      </w:pPr>
    </w:p>
    <w:tbl>
      <w:tblPr>
        <w:tblW w:w="10900" w:type="dxa"/>
        <w:jc w:val="center"/>
        <w:tblInd w:w="93" w:type="dxa"/>
        <w:tblLook w:val="04A0" w:firstRow="1" w:lastRow="0" w:firstColumn="1" w:lastColumn="0" w:noHBand="0" w:noVBand="1"/>
      </w:tblPr>
      <w:tblGrid>
        <w:gridCol w:w="359"/>
        <w:gridCol w:w="2755"/>
        <w:gridCol w:w="1352"/>
        <w:gridCol w:w="1352"/>
        <w:gridCol w:w="1189"/>
        <w:gridCol w:w="1189"/>
        <w:gridCol w:w="1352"/>
        <w:gridCol w:w="1352"/>
      </w:tblGrid>
      <w:tr>
        <w:trPr>
          <w:trHeight w:val="210"/>
          <w:jc w:val="center"/>
        </w:trPr>
        <w:tc>
          <w:tcPr>
            <w:tcW w:w="3060" w:type="dxa"/>
            <w:gridSpan w:val="2"/>
            <w:vMerge w:val="restart"/>
            <w:tcBorders>
              <w:top w:val="single" w:sz="4" w:space="0" w:color="auto"/>
              <w:left w:val="single" w:sz="4" w:space="0" w:color="auto"/>
              <w:bottom w:val="nil"/>
              <w:right w:val="single" w:sz="4" w:space="0" w:color="000000"/>
            </w:tcBorders>
            <w:shd w:val="clear" w:color="000000" w:fill="D9D9D9"/>
            <w:vAlign w:val="center"/>
            <w:hideMark/>
          </w:tcPr>
          <w:p>
            <w:pPr>
              <w:jc w:val="center"/>
              <w:rPr>
                <w:b/>
                <w:bCs/>
                <w:noProof/>
                <w:color w:val="000000"/>
                <w:sz w:val="14"/>
                <w:szCs w:val="14"/>
              </w:rPr>
            </w:pPr>
            <w:r>
              <w:rPr>
                <w:b/>
                <w:noProof/>
                <w:color w:val="000000"/>
                <w:sz w:val="14"/>
              </w:rPr>
              <w:t>Бюджетен ред</w:t>
            </w:r>
          </w:p>
        </w:tc>
        <w:tc>
          <w:tcPr>
            <w:tcW w:w="2720" w:type="dxa"/>
            <w:gridSpan w:val="2"/>
            <w:tcBorders>
              <w:top w:val="single" w:sz="4" w:space="0" w:color="auto"/>
              <w:left w:val="nil"/>
              <w:bottom w:val="nil"/>
              <w:right w:val="single" w:sz="4" w:space="0" w:color="000000"/>
            </w:tcBorders>
            <w:shd w:val="clear" w:color="000000" w:fill="D9D9D9"/>
            <w:vAlign w:val="center"/>
            <w:hideMark/>
          </w:tcPr>
          <w:p>
            <w:pPr>
              <w:jc w:val="center"/>
              <w:rPr>
                <w:b/>
                <w:bCs/>
                <w:noProof/>
                <w:color w:val="000000"/>
                <w:sz w:val="14"/>
                <w:szCs w:val="14"/>
              </w:rPr>
            </w:pPr>
            <w:r>
              <w:rPr>
                <w:b/>
                <w:noProof/>
                <w:color w:val="000000"/>
                <w:sz w:val="14"/>
              </w:rPr>
              <w:t>Проектобюджет за 2018 г.</w:t>
            </w:r>
          </w:p>
        </w:tc>
        <w:tc>
          <w:tcPr>
            <w:tcW w:w="2400" w:type="dxa"/>
            <w:gridSpan w:val="2"/>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pPr>
              <w:jc w:val="center"/>
              <w:rPr>
                <w:b/>
                <w:bCs/>
                <w:noProof/>
                <w:color w:val="000000"/>
                <w:sz w:val="14"/>
                <w:szCs w:val="14"/>
              </w:rPr>
            </w:pPr>
            <w:r>
              <w:rPr>
                <w:b/>
                <w:noProof/>
                <w:color w:val="000000"/>
                <w:sz w:val="14"/>
              </w:rPr>
              <w:t>Писмо за внасяне на корекции 1/2018</w:t>
            </w:r>
          </w:p>
        </w:tc>
        <w:tc>
          <w:tcPr>
            <w:tcW w:w="2720" w:type="dxa"/>
            <w:gridSpan w:val="2"/>
            <w:tcBorders>
              <w:top w:val="single" w:sz="4" w:space="0" w:color="auto"/>
              <w:left w:val="nil"/>
              <w:bottom w:val="nil"/>
              <w:right w:val="single" w:sz="4" w:space="0" w:color="000000"/>
            </w:tcBorders>
            <w:shd w:val="clear" w:color="000000" w:fill="D9D9D9"/>
            <w:vAlign w:val="center"/>
            <w:hideMark/>
          </w:tcPr>
          <w:p>
            <w:pPr>
              <w:jc w:val="center"/>
              <w:rPr>
                <w:b/>
                <w:bCs/>
                <w:noProof/>
                <w:color w:val="000000"/>
                <w:sz w:val="14"/>
                <w:szCs w:val="14"/>
              </w:rPr>
            </w:pPr>
            <w:r>
              <w:rPr>
                <w:b/>
                <w:noProof/>
                <w:color w:val="000000"/>
                <w:sz w:val="14"/>
              </w:rPr>
              <w:t>Проектобюджет за 2018 г.</w:t>
            </w:r>
          </w:p>
        </w:tc>
      </w:tr>
      <w:tr>
        <w:trPr>
          <w:trHeight w:val="210"/>
          <w:jc w:val="center"/>
        </w:trPr>
        <w:tc>
          <w:tcPr>
            <w:tcW w:w="3060" w:type="dxa"/>
            <w:gridSpan w:val="2"/>
            <w:vMerge/>
            <w:tcBorders>
              <w:top w:val="single" w:sz="4" w:space="0" w:color="auto"/>
              <w:left w:val="single" w:sz="4" w:space="0" w:color="auto"/>
              <w:bottom w:val="nil"/>
              <w:right w:val="single" w:sz="4" w:space="0" w:color="000000"/>
            </w:tcBorders>
            <w:vAlign w:val="center"/>
            <w:hideMark/>
          </w:tcPr>
          <w:p>
            <w:pPr>
              <w:rPr>
                <w:b/>
                <w:bCs/>
                <w:noProof/>
                <w:color w:val="000000"/>
                <w:sz w:val="14"/>
                <w:szCs w:val="14"/>
              </w:rPr>
            </w:pPr>
          </w:p>
        </w:tc>
        <w:tc>
          <w:tcPr>
            <w:tcW w:w="2720" w:type="dxa"/>
            <w:gridSpan w:val="2"/>
            <w:tcBorders>
              <w:top w:val="nil"/>
              <w:left w:val="nil"/>
              <w:bottom w:val="single" w:sz="4" w:space="0" w:color="auto"/>
              <w:right w:val="single" w:sz="4" w:space="0" w:color="000000"/>
            </w:tcBorders>
            <w:shd w:val="clear" w:color="000000" w:fill="D9D9D9"/>
            <w:vAlign w:val="center"/>
            <w:hideMark/>
          </w:tcPr>
          <w:p>
            <w:pPr>
              <w:jc w:val="center"/>
              <w:rPr>
                <w:b/>
                <w:bCs/>
                <w:noProof/>
                <w:color w:val="000000"/>
                <w:sz w:val="14"/>
                <w:szCs w:val="14"/>
              </w:rPr>
            </w:pPr>
            <w:r>
              <w:rPr>
                <w:b/>
                <w:noProof/>
                <w:color w:val="000000"/>
                <w:sz w:val="14"/>
              </w:rPr>
              <w:t> </w:t>
            </w:r>
          </w:p>
        </w:tc>
        <w:tc>
          <w:tcPr>
            <w:tcW w:w="2400" w:type="dxa"/>
            <w:gridSpan w:val="2"/>
            <w:vMerge/>
            <w:tcBorders>
              <w:top w:val="single" w:sz="4" w:space="0" w:color="auto"/>
              <w:left w:val="single" w:sz="4" w:space="0" w:color="auto"/>
              <w:bottom w:val="single" w:sz="4" w:space="0" w:color="000000"/>
              <w:right w:val="single" w:sz="4" w:space="0" w:color="000000"/>
            </w:tcBorders>
            <w:vAlign w:val="center"/>
            <w:hideMark/>
          </w:tcPr>
          <w:p>
            <w:pPr>
              <w:rPr>
                <w:b/>
                <w:bCs/>
                <w:noProof/>
                <w:color w:val="000000"/>
                <w:sz w:val="14"/>
                <w:szCs w:val="14"/>
              </w:rPr>
            </w:pPr>
          </w:p>
        </w:tc>
        <w:tc>
          <w:tcPr>
            <w:tcW w:w="2720" w:type="dxa"/>
            <w:gridSpan w:val="2"/>
            <w:tcBorders>
              <w:top w:val="nil"/>
              <w:left w:val="nil"/>
              <w:bottom w:val="single" w:sz="4" w:space="0" w:color="auto"/>
              <w:right w:val="single" w:sz="4" w:space="0" w:color="000000"/>
            </w:tcBorders>
            <w:shd w:val="clear" w:color="000000" w:fill="D9D9D9"/>
            <w:vAlign w:val="center"/>
            <w:hideMark/>
          </w:tcPr>
          <w:p>
            <w:pPr>
              <w:jc w:val="center"/>
              <w:rPr>
                <w:b/>
                <w:bCs/>
                <w:noProof/>
                <w:color w:val="000000"/>
                <w:sz w:val="14"/>
                <w:szCs w:val="14"/>
              </w:rPr>
            </w:pPr>
            <w:r>
              <w:rPr>
                <w:b/>
                <w:noProof/>
                <w:color w:val="000000"/>
                <w:sz w:val="14"/>
              </w:rPr>
              <w:t>(вкл. AL1/2018)</w:t>
            </w:r>
          </w:p>
        </w:tc>
      </w:tr>
      <w:tr>
        <w:trPr>
          <w:trHeight w:val="210"/>
          <w:jc w:val="center"/>
        </w:trPr>
        <w:tc>
          <w:tcPr>
            <w:tcW w:w="3060" w:type="dxa"/>
            <w:gridSpan w:val="2"/>
            <w:vMerge/>
            <w:tcBorders>
              <w:top w:val="single" w:sz="4" w:space="0" w:color="auto"/>
              <w:left w:val="single" w:sz="4" w:space="0" w:color="auto"/>
              <w:bottom w:val="nil"/>
              <w:right w:val="single" w:sz="4" w:space="0" w:color="000000"/>
            </w:tcBorders>
            <w:vAlign w:val="center"/>
            <w:hideMark/>
          </w:tcPr>
          <w:p>
            <w:pPr>
              <w:rPr>
                <w:b/>
                <w:bCs/>
                <w:noProof/>
                <w:color w:val="000000"/>
                <w:sz w:val="14"/>
                <w:szCs w:val="14"/>
              </w:rPr>
            </w:pPr>
          </w:p>
        </w:tc>
        <w:tc>
          <w:tcPr>
            <w:tcW w:w="1360" w:type="dxa"/>
            <w:tcBorders>
              <w:top w:val="nil"/>
              <w:left w:val="nil"/>
              <w:bottom w:val="nil"/>
              <w:right w:val="single" w:sz="4" w:space="0" w:color="auto"/>
            </w:tcBorders>
            <w:shd w:val="clear" w:color="000000" w:fill="D9D9D9"/>
            <w:vAlign w:val="center"/>
            <w:hideMark/>
          </w:tcPr>
          <w:p>
            <w:pPr>
              <w:jc w:val="center"/>
              <w:rPr>
                <w:b/>
                <w:bCs/>
                <w:noProof/>
                <w:color w:val="000000"/>
                <w:sz w:val="14"/>
                <w:szCs w:val="14"/>
              </w:rPr>
            </w:pPr>
            <w:r>
              <w:rPr>
                <w:b/>
                <w:noProof/>
                <w:color w:val="000000"/>
                <w:sz w:val="14"/>
              </w:rPr>
              <w:t>БКПЗ</w:t>
            </w:r>
          </w:p>
        </w:tc>
        <w:tc>
          <w:tcPr>
            <w:tcW w:w="1360" w:type="dxa"/>
            <w:tcBorders>
              <w:top w:val="nil"/>
              <w:left w:val="nil"/>
              <w:bottom w:val="single" w:sz="4" w:space="0" w:color="auto"/>
              <w:right w:val="single" w:sz="4" w:space="0" w:color="auto"/>
            </w:tcBorders>
            <w:shd w:val="clear" w:color="000000" w:fill="D9D9D9"/>
            <w:vAlign w:val="center"/>
            <w:hideMark/>
          </w:tcPr>
          <w:p>
            <w:pPr>
              <w:jc w:val="center"/>
              <w:rPr>
                <w:b/>
                <w:bCs/>
                <w:noProof/>
                <w:color w:val="000000"/>
                <w:sz w:val="14"/>
                <w:szCs w:val="14"/>
              </w:rPr>
            </w:pPr>
            <w:r>
              <w:rPr>
                <w:b/>
                <w:noProof/>
                <w:color w:val="000000"/>
                <w:sz w:val="14"/>
              </w:rPr>
              <w:t>БКП</w:t>
            </w:r>
          </w:p>
        </w:tc>
        <w:tc>
          <w:tcPr>
            <w:tcW w:w="1200" w:type="dxa"/>
            <w:tcBorders>
              <w:top w:val="nil"/>
              <w:left w:val="nil"/>
              <w:bottom w:val="single" w:sz="4" w:space="0" w:color="auto"/>
              <w:right w:val="single" w:sz="4" w:space="0" w:color="auto"/>
            </w:tcBorders>
            <w:shd w:val="clear" w:color="000000" w:fill="D9D9D9"/>
            <w:vAlign w:val="center"/>
            <w:hideMark/>
          </w:tcPr>
          <w:p>
            <w:pPr>
              <w:jc w:val="center"/>
              <w:rPr>
                <w:b/>
                <w:bCs/>
                <w:noProof/>
                <w:color w:val="000000"/>
                <w:sz w:val="14"/>
                <w:szCs w:val="14"/>
              </w:rPr>
            </w:pPr>
            <w:r>
              <w:rPr>
                <w:b/>
                <w:noProof/>
                <w:color w:val="000000"/>
                <w:sz w:val="14"/>
              </w:rPr>
              <w:t>БКПЗ</w:t>
            </w:r>
          </w:p>
        </w:tc>
        <w:tc>
          <w:tcPr>
            <w:tcW w:w="1200" w:type="dxa"/>
            <w:tcBorders>
              <w:top w:val="nil"/>
              <w:left w:val="nil"/>
              <w:bottom w:val="single" w:sz="4" w:space="0" w:color="auto"/>
              <w:right w:val="single" w:sz="4" w:space="0" w:color="auto"/>
            </w:tcBorders>
            <w:shd w:val="clear" w:color="000000" w:fill="D9D9D9"/>
            <w:vAlign w:val="center"/>
            <w:hideMark/>
          </w:tcPr>
          <w:p>
            <w:pPr>
              <w:jc w:val="center"/>
              <w:rPr>
                <w:b/>
                <w:bCs/>
                <w:noProof/>
                <w:color w:val="000000"/>
                <w:sz w:val="14"/>
                <w:szCs w:val="14"/>
              </w:rPr>
            </w:pPr>
            <w:r>
              <w:rPr>
                <w:b/>
                <w:noProof/>
                <w:color w:val="000000"/>
                <w:sz w:val="14"/>
              </w:rPr>
              <w:t>БКП</w:t>
            </w:r>
          </w:p>
        </w:tc>
        <w:tc>
          <w:tcPr>
            <w:tcW w:w="1360" w:type="dxa"/>
            <w:tcBorders>
              <w:top w:val="nil"/>
              <w:left w:val="nil"/>
              <w:bottom w:val="single" w:sz="4" w:space="0" w:color="auto"/>
              <w:right w:val="single" w:sz="4" w:space="0" w:color="auto"/>
            </w:tcBorders>
            <w:shd w:val="clear" w:color="000000" w:fill="D9D9D9"/>
            <w:vAlign w:val="center"/>
            <w:hideMark/>
          </w:tcPr>
          <w:p>
            <w:pPr>
              <w:jc w:val="center"/>
              <w:rPr>
                <w:b/>
                <w:bCs/>
                <w:noProof/>
                <w:color w:val="000000"/>
                <w:sz w:val="14"/>
                <w:szCs w:val="14"/>
              </w:rPr>
            </w:pPr>
            <w:r>
              <w:rPr>
                <w:b/>
                <w:noProof/>
                <w:color w:val="000000"/>
                <w:sz w:val="14"/>
              </w:rPr>
              <w:t>БКПЗ</w:t>
            </w:r>
          </w:p>
        </w:tc>
        <w:tc>
          <w:tcPr>
            <w:tcW w:w="1360" w:type="dxa"/>
            <w:tcBorders>
              <w:top w:val="nil"/>
              <w:left w:val="nil"/>
              <w:bottom w:val="single" w:sz="4" w:space="0" w:color="auto"/>
              <w:right w:val="single" w:sz="4" w:space="0" w:color="auto"/>
            </w:tcBorders>
            <w:shd w:val="clear" w:color="000000" w:fill="D9D9D9"/>
            <w:vAlign w:val="center"/>
            <w:hideMark/>
          </w:tcPr>
          <w:p>
            <w:pPr>
              <w:jc w:val="center"/>
              <w:rPr>
                <w:b/>
                <w:bCs/>
                <w:noProof/>
                <w:color w:val="000000"/>
                <w:sz w:val="14"/>
                <w:szCs w:val="14"/>
              </w:rPr>
            </w:pPr>
            <w:r>
              <w:rPr>
                <w:b/>
                <w:noProof/>
                <w:color w:val="000000"/>
                <w:sz w:val="14"/>
              </w:rPr>
              <w:t>БКП</w:t>
            </w:r>
          </w:p>
        </w:tc>
      </w:tr>
      <w:tr>
        <w:trPr>
          <w:trHeight w:val="225"/>
          <w:jc w:val="center"/>
        </w:trPr>
        <w:tc>
          <w:tcPr>
            <w:tcW w:w="260" w:type="dxa"/>
            <w:tcBorders>
              <w:top w:val="single" w:sz="4" w:space="0" w:color="auto"/>
              <w:left w:val="single" w:sz="4" w:space="0" w:color="auto"/>
              <w:bottom w:val="dotted" w:sz="4" w:space="0" w:color="auto"/>
              <w:right w:val="nil"/>
            </w:tcBorders>
            <w:shd w:val="clear" w:color="auto" w:fill="auto"/>
            <w:vAlign w:val="center"/>
            <w:hideMark/>
          </w:tcPr>
          <w:p>
            <w:pPr>
              <w:rPr>
                <w:b/>
                <w:bCs/>
                <w:noProof/>
                <w:color w:val="000000"/>
                <w:sz w:val="14"/>
                <w:szCs w:val="14"/>
              </w:rPr>
            </w:pPr>
            <w:r>
              <w:rPr>
                <w:b/>
                <w:noProof/>
                <w:color w:val="000000"/>
                <w:sz w:val="14"/>
              </w:rPr>
              <w:t>1.</w:t>
            </w:r>
          </w:p>
        </w:tc>
        <w:tc>
          <w:tcPr>
            <w:tcW w:w="2800" w:type="dxa"/>
            <w:tcBorders>
              <w:top w:val="single" w:sz="4" w:space="0" w:color="auto"/>
              <w:left w:val="nil"/>
              <w:bottom w:val="dotted" w:sz="4" w:space="0" w:color="auto"/>
              <w:right w:val="single" w:sz="4" w:space="0" w:color="auto"/>
            </w:tcBorders>
            <w:shd w:val="clear" w:color="auto" w:fill="auto"/>
            <w:vAlign w:val="center"/>
            <w:hideMark/>
          </w:tcPr>
          <w:p>
            <w:pPr>
              <w:rPr>
                <w:b/>
                <w:bCs/>
                <w:noProof/>
                <w:color w:val="000000"/>
                <w:sz w:val="14"/>
                <w:szCs w:val="14"/>
              </w:rPr>
            </w:pPr>
            <w:r>
              <w:rPr>
                <w:b/>
                <w:noProof/>
                <w:color w:val="000000"/>
                <w:sz w:val="14"/>
              </w:rPr>
              <w:t>Интелигентен и приобщаващ растеж</w:t>
            </w:r>
          </w:p>
        </w:tc>
        <w:tc>
          <w:tcPr>
            <w:tcW w:w="1360" w:type="dxa"/>
            <w:tcBorders>
              <w:top w:val="single" w:sz="4" w:space="0" w:color="auto"/>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noProof/>
                <w:color w:val="000000"/>
                <w:sz w:val="14"/>
              </w:rPr>
              <w:t>77 249 180 217</w:t>
            </w:r>
          </w:p>
        </w:tc>
        <w:tc>
          <w:tcPr>
            <w:tcW w:w="136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noProof/>
                <w:color w:val="000000"/>
                <w:sz w:val="14"/>
              </w:rPr>
              <w:t>66 845 867 101</w:t>
            </w:r>
          </w:p>
        </w:tc>
        <w:tc>
          <w:tcPr>
            <w:tcW w:w="120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noProof/>
                <w:color w:val="000000"/>
                <w:sz w:val="14"/>
              </w:rPr>
              <w:t xml:space="preserve"> 4 310 555</w:t>
            </w:r>
          </w:p>
        </w:tc>
        <w:tc>
          <w:tcPr>
            <w:tcW w:w="120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noProof/>
                <w:color w:val="000000"/>
                <w:sz w:val="14"/>
              </w:rPr>
              <w:t xml:space="preserve"> 4 310 555</w:t>
            </w:r>
          </w:p>
        </w:tc>
        <w:tc>
          <w:tcPr>
            <w:tcW w:w="136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noProof/>
                <w:color w:val="000000"/>
                <w:sz w:val="14"/>
              </w:rPr>
              <w:t>77 253 490 772</w:t>
            </w:r>
          </w:p>
        </w:tc>
        <w:tc>
          <w:tcPr>
            <w:tcW w:w="136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noProof/>
                <w:color w:val="000000"/>
                <w:sz w:val="14"/>
              </w:rPr>
              <w:t>66 850 177 656</w:t>
            </w:r>
          </w:p>
        </w:tc>
      </w:tr>
      <w:tr>
        <w:trPr>
          <w:trHeight w:val="225"/>
          <w:jc w:val="center"/>
        </w:trPr>
        <w:tc>
          <w:tcPr>
            <w:tcW w:w="30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noProof/>
                <w:color w:val="000000"/>
                <w:sz w:val="14"/>
              </w:rPr>
              <w:t>От които в общия марж за поетите задължения</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xml:space="preserve"> 891 685 985</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xml:space="preserve">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xml:space="preserve"> 891 685 985</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r>
      <w:tr>
        <w:trPr>
          <w:trHeight w:val="225"/>
          <w:jc w:val="center"/>
        </w:trPr>
        <w:tc>
          <w:tcPr>
            <w:tcW w:w="30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noProof/>
                <w:color w:val="000000"/>
                <w:sz w:val="14"/>
              </w:rPr>
              <w:t xml:space="preserve">Таван </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76 420 000 000</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xml:space="preserve">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76 420 000 000</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r>
      <w:tr>
        <w:trPr>
          <w:trHeight w:val="225"/>
          <w:jc w:val="center"/>
        </w:trPr>
        <w:tc>
          <w:tcPr>
            <w:tcW w:w="30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noProof/>
                <w:color w:val="000000"/>
                <w:sz w:val="14"/>
              </w:rPr>
              <w:t>Марж</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xml:space="preserve"> 62 505 768</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xml:space="preserve"> 58 195 213</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r>
      <w:tr>
        <w:trPr>
          <w:trHeight w:val="225"/>
          <w:jc w:val="center"/>
        </w:trPr>
        <w:tc>
          <w:tcPr>
            <w:tcW w:w="260" w:type="dxa"/>
            <w:tcBorders>
              <w:top w:val="nil"/>
              <w:left w:val="single" w:sz="4" w:space="0" w:color="auto"/>
              <w:bottom w:val="dotted" w:sz="4" w:space="0" w:color="auto"/>
              <w:right w:val="nil"/>
            </w:tcBorders>
            <w:shd w:val="clear" w:color="auto" w:fill="auto"/>
            <w:vAlign w:val="center"/>
            <w:hideMark/>
          </w:tcPr>
          <w:p>
            <w:pPr>
              <w:rPr>
                <w:noProof/>
                <w:color w:val="000000"/>
                <w:sz w:val="14"/>
                <w:szCs w:val="14"/>
              </w:rPr>
            </w:pPr>
            <w:r>
              <w:rPr>
                <w:noProof/>
                <w:color w:val="000000"/>
                <w:sz w:val="14"/>
              </w:rPr>
              <w:t>1а</w:t>
            </w:r>
          </w:p>
        </w:tc>
        <w:tc>
          <w:tcPr>
            <w:tcW w:w="2800" w:type="dxa"/>
            <w:tcBorders>
              <w:top w:val="nil"/>
              <w:left w:val="nil"/>
              <w:bottom w:val="dotted" w:sz="4" w:space="0" w:color="auto"/>
              <w:right w:val="single" w:sz="4" w:space="0" w:color="auto"/>
            </w:tcBorders>
            <w:shd w:val="clear" w:color="auto" w:fill="auto"/>
            <w:vAlign w:val="center"/>
            <w:hideMark/>
          </w:tcPr>
          <w:p>
            <w:pPr>
              <w:rPr>
                <w:noProof/>
                <w:color w:val="000000"/>
                <w:sz w:val="14"/>
                <w:szCs w:val="14"/>
              </w:rPr>
            </w:pPr>
            <w:r>
              <w:rPr>
                <w:noProof/>
                <w:color w:val="000000"/>
                <w:sz w:val="14"/>
              </w:rPr>
              <w:t>Конкурентоспособност за растеж и заетост</w:t>
            </w:r>
          </w:p>
        </w:tc>
        <w:tc>
          <w:tcPr>
            <w:tcW w:w="136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rPr>
              <w:t>21 841 301 956</w:t>
            </w:r>
          </w:p>
        </w:tc>
        <w:tc>
          <w:tcPr>
            <w:tcW w:w="136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rPr>
              <w:t>20 082 398 844</w:t>
            </w:r>
          </w:p>
        </w:tc>
        <w:tc>
          <w:tcPr>
            <w:tcW w:w="120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rPr>
              <w:t xml:space="preserve"> 4 310 555</w:t>
            </w:r>
          </w:p>
        </w:tc>
        <w:tc>
          <w:tcPr>
            <w:tcW w:w="120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rPr>
              <w:t xml:space="preserve"> 4 310 555</w:t>
            </w:r>
          </w:p>
        </w:tc>
        <w:tc>
          <w:tcPr>
            <w:tcW w:w="136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rPr>
              <w:t>21 845 612 511</w:t>
            </w:r>
          </w:p>
        </w:tc>
        <w:tc>
          <w:tcPr>
            <w:tcW w:w="136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rPr>
              <w:t>20 086 709 399</w:t>
            </w:r>
          </w:p>
        </w:tc>
      </w:tr>
      <w:tr>
        <w:trPr>
          <w:trHeight w:val="225"/>
          <w:jc w:val="center"/>
        </w:trPr>
        <w:tc>
          <w:tcPr>
            <w:tcW w:w="30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noProof/>
                <w:color w:val="000000"/>
                <w:sz w:val="14"/>
              </w:rPr>
              <w:t>От които в общия марж за поетите задължения</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xml:space="preserve"> 658 352 652</w:t>
            </w:r>
          </w:p>
        </w:tc>
        <w:tc>
          <w:tcPr>
            <w:tcW w:w="136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rPr>
              <w:t xml:space="preserve"> 658 352 652</w:t>
            </w:r>
          </w:p>
        </w:tc>
        <w:tc>
          <w:tcPr>
            <w:tcW w:w="136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rPr>
              <w:t> </w:t>
            </w:r>
          </w:p>
        </w:tc>
      </w:tr>
      <w:tr>
        <w:trPr>
          <w:trHeight w:val="225"/>
          <w:jc w:val="center"/>
        </w:trPr>
        <w:tc>
          <w:tcPr>
            <w:tcW w:w="30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noProof/>
                <w:color w:val="000000"/>
                <w:sz w:val="14"/>
              </w:rPr>
              <w:t>Таван</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21 239 000 000</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21 239 000 000</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r>
      <w:tr>
        <w:trPr>
          <w:trHeight w:val="225"/>
          <w:jc w:val="center"/>
        </w:trPr>
        <w:tc>
          <w:tcPr>
            <w:tcW w:w="30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noProof/>
                <w:color w:val="000000"/>
                <w:sz w:val="14"/>
              </w:rPr>
              <w:t>Марж</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xml:space="preserve"> 56 050 696</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xml:space="preserve"> 51 740 141</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r>
      <w:tr>
        <w:trPr>
          <w:trHeight w:val="225"/>
          <w:jc w:val="center"/>
        </w:trPr>
        <w:tc>
          <w:tcPr>
            <w:tcW w:w="260" w:type="dxa"/>
            <w:tcBorders>
              <w:top w:val="nil"/>
              <w:left w:val="single" w:sz="4" w:space="0" w:color="auto"/>
              <w:bottom w:val="dotted" w:sz="4" w:space="0" w:color="auto"/>
              <w:right w:val="nil"/>
            </w:tcBorders>
            <w:shd w:val="clear" w:color="auto" w:fill="auto"/>
            <w:vAlign w:val="center"/>
            <w:hideMark/>
          </w:tcPr>
          <w:p>
            <w:pPr>
              <w:rPr>
                <w:noProof/>
                <w:color w:val="000000"/>
                <w:sz w:val="14"/>
                <w:szCs w:val="14"/>
              </w:rPr>
            </w:pPr>
            <w:r>
              <w:rPr>
                <w:noProof/>
                <w:color w:val="000000"/>
                <w:sz w:val="14"/>
              </w:rPr>
              <w:t xml:space="preserve">1б </w:t>
            </w:r>
          </w:p>
        </w:tc>
        <w:tc>
          <w:tcPr>
            <w:tcW w:w="2800" w:type="dxa"/>
            <w:tcBorders>
              <w:top w:val="nil"/>
              <w:left w:val="nil"/>
              <w:bottom w:val="dotted" w:sz="4" w:space="0" w:color="auto"/>
              <w:right w:val="single" w:sz="4" w:space="0" w:color="auto"/>
            </w:tcBorders>
            <w:shd w:val="clear" w:color="auto" w:fill="auto"/>
            <w:vAlign w:val="center"/>
            <w:hideMark/>
          </w:tcPr>
          <w:p>
            <w:pPr>
              <w:rPr>
                <w:noProof/>
                <w:color w:val="000000"/>
                <w:sz w:val="14"/>
                <w:szCs w:val="14"/>
              </w:rPr>
            </w:pPr>
            <w:r>
              <w:rPr>
                <w:noProof/>
                <w:color w:val="000000"/>
                <w:sz w:val="14"/>
              </w:rPr>
              <w:t>Икономическо, социално и териториално сближаване</w:t>
            </w:r>
          </w:p>
        </w:tc>
        <w:tc>
          <w:tcPr>
            <w:tcW w:w="136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rPr>
              <w:t>55 407 878 261</w:t>
            </w:r>
          </w:p>
        </w:tc>
        <w:tc>
          <w:tcPr>
            <w:tcW w:w="136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rPr>
              <w:t>46 763 468 257</w:t>
            </w:r>
          </w:p>
        </w:tc>
        <w:tc>
          <w:tcPr>
            <w:tcW w:w="120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rPr>
              <w:t>55 407 878 261</w:t>
            </w:r>
          </w:p>
        </w:tc>
        <w:tc>
          <w:tcPr>
            <w:tcW w:w="136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rPr>
              <w:t>46 763 468 257</w:t>
            </w:r>
          </w:p>
        </w:tc>
      </w:tr>
      <w:tr>
        <w:trPr>
          <w:trHeight w:val="225"/>
          <w:jc w:val="center"/>
        </w:trPr>
        <w:tc>
          <w:tcPr>
            <w:tcW w:w="30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noProof/>
                <w:color w:val="000000"/>
                <w:sz w:val="14"/>
              </w:rPr>
              <w:t>От които в общия марж за поетите задължения</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xml:space="preserve"> 233 333 333</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xml:space="preserve"> 233 333 333</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r>
      <w:tr>
        <w:trPr>
          <w:trHeight w:val="225"/>
          <w:jc w:val="center"/>
        </w:trPr>
        <w:tc>
          <w:tcPr>
            <w:tcW w:w="30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noProof/>
                <w:color w:val="000000"/>
                <w:sz w:val="14"/>
              </w:rPr>
              <w:t>Таван</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55 181 000 000</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55 181 000 000</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r>
      <w:tr>
        <w:trPr>
          <w:trHeight w:val="225"/>
          <w:jc w:val="center"/>
        </w:trPr>
        <w:tc>
          <w:tcPr>
            <w:tcW w:w="30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noProof/>
                <w:color w:val="000000"/>
                <w:sz w:val="14"/>
              </w:rPr>
              <w:t>Марж</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xml:space="preserve"> 6 455 072</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xml:space="preserve"> 6 455 072</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r>
      <w:tr>
        <w:trPr>
          <w:trHeight w:val="225"/>
          <w:jc w:val="center"/>
        </w:trPr>
        <w:tc>
          <w:tcPr>
            <w:tcW w:w="260" w:type="dxa"/>
            <w:tcBorders>
              <w:top w:val="nil"/>
              <w:left w:val="single" w:sz="4" w:space="0" w:color="auto"/>
              <w:bottom w:val="dotted" w:sz="4" w:space="0" w:color="auto"/>
              <w:right w:val="nil"/>
            </w:tcBorders>
            <w:shd w:val="clear" w:color="auto" w:fill="auto"/>
            <w:vAlign w:val="center"/>
            <w:hideMark/>
          </w:tcPr>
          <w:p>
            <w:pPr>
              <w:rPr>
                <w:b/>
                <w:bCs/>
                <w:noProof/>
                <w:color w:val="000000"/>
                <w:sz w:val="14"/>
                <w:szCs w:val="14"/>
              </w:rPr>
            </w:pPr>
            <w:r>
              <w:rPr>
                <w:b/>
                <w:noProof/>
                <w:color w:val="000000"/>
                <w:sz w:val="14"/>
              </w:rPr>
              <w:t>2.</w:t>
            </w:r>
          </w:p>
        </w:tc>
        <w:tc>
          <w:tcPr>
            <w:tcW w:w="2800" w:type="dxa"/>
            <w:tcBorders>
              <w:top w:val="nil"/>
              <w:left w:val="nil"/>
              <w:bottom w:val="dotted" w:sz="4" w:space="0" w:color="auto"/>
              <w:right w:val="single" w:sz="4" w:space="0" w:color="auto"/>
            </w:tcBorders>
            <w:shd w:val="clear" w:color="auto" w:fill="auto"/>
            <w:vAlign w:val="center"/>
            <w:hideMark/>
          </w:tcPr>
          <w:p>
            <w:pPr>
              <w:rPr>
                <w:b/>
                <w:bCs/>
                <w:noProof/>
                <w:color w:val="000000"/>
                <w:sz w:val="14"/>
                <w:szCs w:val="14"/>
              </w:rPr>
            </w:pPr>
            <w:r>
              <w:rPr>
                <w:b/>
                <w:noProof/>
                <w:color w:val="000000"/>
                <w:sz w:val="14"/>
              </w:rPr>
              <w:t>Устойчив растеж: природни ресурси</w:t>
            </w:r>
          </w:p>
        </w:tc>
        <w:tc>
          <w:tcPr>
            <w:tcW w:w="136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noProof/>
                <w:color w:val="000000"/>
                <w:sz w:val="14"/>
              </w:rPr>
              <w:t>59 553 523 122</w:t>
            </w:r>
          </w:p>
        </w:tc>
        <w:tc>
          <w:tcPr>
            <w:tcW w:w="136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noProof/>
                <w:color w:val="000000"/>
                <w:sz w:val="14"/>
              </w:rPr>
              <w:t>56 359 793 633</w:t>
            </w:r>
          </w:p>
        </w:tc>
        <w:tc>
          <w:tcPr>
            <w:tcW w:w="120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noProof/>
                <w:color w:val="000000"/>
                <w:sz w:val="14"/>
              </w:rPr>
              <w:t>-53 900 000</w:t>
            </w:r>
          </w:p>
        </w:tc>
        <w:tc>
          <w:tcPr>
            <w:tcW w:w="120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noProof/>
                <w:color w:val="000000"/>
                <w:sz w:val="14"/>
              </w:rPr>
              <w:t>-53 900 000</w:t>
            </w:r>
          </w:p>
        </w:tc>
        <w:tc>
          <w:tcPr>
            <w:tcW w:w="136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noProof/>
                <w:color w:val="000000"/>
                <w:sz w:val="14"/>
              </w:rPr>
              <w:t>59 499 623 122</w:t>
            </w:r>
          </w:p>
        </w:tc>
        <w:tc>
          <w:tcPr>
            <w:tcW w:w="136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noProof/>
                <w:color w:val="000000"/>
                <w:sz w:val="14"/>
              </w:rPr>
              <w:t>56 305 893 633</w:t>
            </w:r>
          </w:p>
        </w:tc>
      </w:tr>
      <w:tr>
        <w:trPr>
          <w:trHeight w:val="225"/>
          <w:jc w:val="center"/>
        </w:trPr>
        <w:tc>
          <w:tcPr>
            <w:tcW w:w="30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noProof/>
                <w:color w:val="000000"/>
                <w:sz w:val="14"/>
              </w:rPr>
              <w:t>Таван</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60 267 000 000</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60 267 000 000</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r>
      <w:tr>
        <w:trPr>
          <w:trHeight w:val="225"/>
          <w:jc w:val="center"/>
        </w:trPr>
        <w:tc>
          <w:tcPr>
            <w:tcW w:w="30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noProof/>
                <w:color w:val="000000"/>
                <w:sz w:val="14"/>
              </w:rPr>
              <w:t>Марж</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xml:space="preserve"> 713 476 878</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xml:space="preserve"> 767 376 878</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r>
      <w:tr>
        <w:trPr>
          <w:trHeight w:val="345"/>
          <w:jc w:val="center"/>
        </w:trPr>
        <w:tc>
          <w:tcPr>
            <w:tcW w:w="30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rPr>
                <w:noProof/>
                <w:color w:val="000000"/>
                <w:sz w:val="14"/>
                <w:szCs w:val="14"/>
              </w:rPr>
            </w:pPr>
            <w:r>
              <w:rPr>
                <w:noProof/>
                <w:color w:val="000000"/>
                <w:sz w:val="14"/>
              </w:rPr>
              <w:t>От които: Европейски фонд за гарантиране на земеделието (ЕФГЗ) — Разходи, свързани с пазара, и директни плащания</w:t>
            </w:r>
          </w:p>
        </w:tc>
        <w:tc>
          <w:tcPr>
            <w:tcW w:w="136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rPr>
              <w:t>43 518 316 899</w:t>
            </w:r>
          </w:p>
        </w:tc>
        <w:tc>
          <w:tcPr>
            <w:tcW w:w="136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rPr>
              <w:t>43 472 477 466</w:t>
            </w:r>
          </w:p>
        </w:tc>
        <w:tc>
          <w:tcPr>
            <w:tcW w:w="120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rPr>
              <w:t>-53 900 000</w:t>
            </w:r>
          </w:p>
        </w:tc>
        <w:tc>
          <w:tcPr>
            <w:tcW w:w="120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rPr>
              <w:t>-53 900 000</w:t>
            </w:r>
          </w:p>
        </w:tc>
        <w:tc>
          <w:tcPr>
            <w:tcW w:w="136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rPr>
              <w:t>43 464 416 899</w:t>
            </w:r>
          </w:p>
        </w:tc>
        <w:tc>
          <w:tcPr>
            <w:tcW w:w="1360" w:type="dxa"/>
            <w:tcBorders>
              <w:top w:val="nil"/>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rPr>
              <w:t>43 418 577 466</w:t>
            </w:r>
          </w:p>
        </w:tc>
      </w:tr>
      <w:tr>
        <w:trPr>
          <w:trHeight w:val="225"/>
          <w:jc w:val="center"/>
        </w:trPr>
        <w:tc>
          <w:tcPr>
            <w:tcW w:w="30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noProof/>
                <w:color w:val="000000"/>
                <w:sz w:val="14"/>
              </w:rPr>
              <w:t>Подтаван</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44 163 000 000</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44 163 000 000</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r>
      <w:tr>
        <w:trPr>
          <w:trHeight w:val="225"/>
          <w:jc w:val="center"/>
        </w:trPr>
        <w:tc>
          <w:tcPr>
            <w:tcW w:w="260" w:type="dxa"/>
            <w:tcBorders>
              <w:top w:val="nil"/>
              <w:left w:val="single" w:sz="4" w:space="0" w:color="auto"/>
              <w:bottom w:val="dotted" w:sz="4" w:space="0" w:color="auto"/>
              <w:right w:val="nil"/>
            </w:tcBorders>
            <w:shd w:val="clear" w:color="auto" w:fill="auto"/>
            <w:vAlign w:val="center"/>
            <w:hideMark/>
          </w:tcPr>
          <w:p>
            <w:pPr>
              <w:rPr>
                <w:b/>
                <w:bCs/>
                <w:noProof/>
                <w:color w:val="000000"/>
                <w:sz w:val="14"/>
                <w:szCs w:val="14"/>
              </w:rPr>
            </w:pPr>
            <w:r>
              <w:rPr>
                <w:b/>
                <w:noProof/>
                <w:color w:val="000000"/>
                <w:sz w:val="14"/>
              </w:rPr>
              <w:t>3.</w:t>
            </w:r>
          </w:p>
        </w:tc>
        <w:tc>
          <w:tcPr>
            <w:tcW w:w="2800" w:type="dxa"/>
            <w:tcBorders>
              <w:top w:val="nil"/>
              <w:left w:val="nil"/>
              <w:bottom w:val="dotted" w:sz="4" w:space="0" w:color="auto"/>
              <w:right w:val="single" w:sz="4" w:space="0" w:color="auto"/>
            </w:tcBorders>
            <w:shd w:val="clear" w:color="auto" w:fill="auto"/>
            <w:vAlign w:val="center"/>
            <w:hideMark/>
          </w:tcPr>
          <w:p>
            <w:pPr>
              <w:rPr>
                <w:b/>
                <w:bCs/>
                <w:noProof/>
                <w:color w:val="000000"/>
                <w:sz w:val="14"/>
                <w:szCs w:val="14"/>
              </w:rPr>
            </w:pPr>
            <w:r>
              <w:rPr>
                <w:b/>
                <w:noProof/>
                <w:color w:val="000000"/>
                <w:sz w:val="14"/>
              </w:rPr>
              <w:t>Сигурност и гражданство</w:t>
            </w:r>
          </w:p>
        </w:tc>
        <w:tc>
          <w:tcPr>
            <w:tcW w:w="136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noProof/>
                <w:color w:val="000000"/>
                <w:sz w:val="14"/>
              </w:rPr>
              <w:t>3 473 056 199</w:t>
            </w:r>
          </w:p>
        </w:tc>
        <w:tc>
          <w:tcPr>
            <w:tcW w:w="136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noProof/>
                <w:color w:val="000000"/>
                <w:sz w:val="14"/>
              </w:rPr>
              <w:t>2 963 847 175</w:t>
            </w:r>
          </w:p>
        </w:tc>
        <w:tc>
          <w:tcPr>
            <w:tcW w:w="120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noProof/>
                <w:color w:val="000000"/>
                <w:sz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noProof/>
                <w:color w:val="000000"/>
                <w:sz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noProof/>
                <w:color w:val="000000"/>
                <w:sz w:val="14"/>
              </w:rPr>
              <w:t>3 473 056 199</w:t>
            </w:r>
          </w:p>
        </w:tc>
        <w:tc>
          <w:tcPr>
            <w:tcW w:w="136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noProof/>
                <w:color w:val="000000"/>
                <w:sz w:val="14"/>
              </w:rPr>
              <w:t>2 963 847 175</w:t>
            </w:r>
          </w:p>
        </w:tc>
      </w:tr>
      <w:tr>
        <w:trPr>
          <w:trHeight w:val="225"/>
          <w:jc w:val="center"/>
        </w:trPr>
        <w:tc>
          <w:tcPr>
            <w:tcW w:w="30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noProof/>
                <w:color w:val="000000"/>
                <w:sz w:val="14"/>
              </w:rPr>
              <w:t>От които по Инструмента за гъвкавост</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xml:space="preserve"> 817 056 199</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xml:space="preserve"> 817 056 199</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r>
      <w:tr>
        <w:trPr>
          <w:trHeight w:val="225"/>
          <w:jc w:val="center"/>
        </w:trPr>
        <w:tc>
          <w:tcPr>
            <w:tcW w:w="30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noProof/>
                <w:color w:val="000000"/>
                <w:sz w:val="14"/>
              </w:rPr>
              <w:t>Таван</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2 656 000 000</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2 656 000 000</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r>
      <w:tr>
        <w:trPr>
          <w:trHeight w:val="225"/>
          <w:jc w:val="center"/>
        </w:trPr>
        <w:tc>
          <w:tcPr>
            <w:tcW w:w="30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noProof/>
                <w:color w:val="000000"/>
                <w:sz w:val="14"/>
              </w:rPr>
              <w:t>Марж</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r>
      <w:tr>
        <w:trPr>
          <w:trHeight w:val="225"/>
          <w:jc w:val="center"/>
        </w:trPr>
        <w:tc>
          <w:tcPr>
            <w:tcW w:w="260" w:type="dxa"/>
            <w:tcBorders>
              <w:top w:val="nil"/>
              <w:left w:val="single" w:sz="4" w:space="0" w:color="auto"/>
              <w:bottom w:val="dotted" w:sz="4" w:space="0" w:color="auto"/>
              <w:right w:val="nil"/>
            </w:tcBorders>
            <w:shd w:val="clear" w:color="auto" w:fill="auto"/>
            <w:vAlign w:val="center"/>
            <w:hideMark/>
          </w:tcPr>
          <w:p>
            <w:pPr>
              <w:rPr>
                <w:b/>
                <w:bCs/>
                <w:noProof/>
                <w:color w:val="000000"/>
                <w:sz w:val="14"/>
                <w:szCs w:val="14"/>
              </w:rPr>
            </w:pPr>
            <w:r>
              <w:rPr>
                <w:b/>
                <w:noProof/>
                <w:color w:val="000000"/>
                <w:sz w:val="14"/>
              </w:rPr>
              <w:t>4.</w:t>
            </w:r>
          </w:p>
        </w:tc>
        <w:tc>
          <w:tcPr>
            <w:tcW w:w="2800" w:type="dxa"/>
            <w:tcBorders>
              <w:top w:val="nil"/>
              <w:left w:val="nil"/>
              <w:bottom w:val="dotted" w:sz="4" w:space="0" w:color="auto"/>
              <w:right w:val="single" w:sz="4" w:space="0" w:color="auto"/>
            </w:tcBorders>
            <w:shd w:val="clear" w:color="auto" w:fill="auto"/>
            <w:vAlign w:val="center"/>
            <w:hideMark/>
          </w:tcPr>
          <w:p>
            <w:pPr>
              <w:rPr>
                <w:b/>
                <w:bCs/>
                <w:noProof/>
                <w:color w:val="000000"/>
                <w:sz w:val="14"/>
                <w:szCs w:val="14"/>
              </w:rPr>
            </w:pPr>
            <w:r>
              <w:rPr>
                <w:b/>
                <w:noProof/>
                <w:color w:val="000000"/>
                <w:sz w:val="14"/>
              </w:rPr>
              <w:t>Глобална Европа</w:t>
            </w:r>
          </w:p>
        </w:tc>
        <w:tc>
          <w:tcPr>
            <w:tcW w:w="136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noProof/>
                <w:color w:val="000000"/>
                <w:sz w:val="14"/>
              </w:rPr>
              <w:t>9 593 045 411</w:t>
            </w:r>
          </w:p>
        </w:tc>
        <w:tc>
          <w:tcPr>
            <w:tcW w:w="136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noProof/>
                <w:color w:val="000000"/>
                <w:sz w:val="14"/>
              </w:rPr>
              <w:t>8 951 045 154</w:t>
            </w:r>
          </w:p>
        </w:tc>
        <w:tc>
          <w:tcPr>
            <w:tcW w:w="120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noProof/>
                <w:color w:val="000000"/>
                <w:sz w:val="14"/>
              </w:rPr>
              <w:t>-5 020 000</w:t>
            </w:r>
          </w:p>
        </w:tc>
        <w:tc>
          <w:tcPr>
            <w:tcW w:w="120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noProof/>
                <w:color w:val="000000"/>
                <w:sz w:val="14"/>
              </w:rPr>
              <w:t>-5 020 000</w:t>
            </w:r>
          </w:p>
        </w:tc>
        <w:tc>
          <w:tcPr>
            <w:tcW w:w="136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noProof/>
                <w:color w:val="000000"/>
                <w:sz w:val="14"/>
              </w:rPr>
              <w:t>9 588 025 411</w:t>
            </w:r>
          </w:p>
        </w:tc>
        <w:tc>
          <w:tcPr>
            <w:tcW w:w="136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noProof/>
                <w:color w:val="000000"/>
                <w:sz w:val="14"/>
              </w:rPr>
              <w:t>8 946 025 154</w:t>
            </w:r>
          </w:p>
        </w:tc>
      </w:tr>
      <w:tr>
        <w:trPr>
          <w:trHeight w:val="225"/>
          <w:jc w:val="center"/>
        </w:trPr>
        <w:tc>
          <w:tcPr>
            <w:tcW w:w="30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noProof/>
                <w:color w:val="000000"/>
                <w:sz w:val="14"/>
              </w:rPr>
              <w:t>Таван</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9 825 000 000</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9 825 000 000</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r>
      <w:tr>
        <w:trPr>
          <w:trHeight w:val="225"/>
          <w:jc w:val="center"/>
        </w:trPr>
        <w:tc>
          <w:tcPr>
            <w:tcW w:w="30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noProof/>
                <w:color w:val="000000"/>
                <w:sz w:val="14"/>
              </w:rPr>
              <w:t>Марж</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xml:space="preserve"> 231 954 589</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xml:space="preserve"> 236 974 589</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r>
      <w:tr>
        <w:trPr>
          <w:trHeight w:val="225"/>
          <w:jc w:val="center"/>
        </w:trPr>
        <w:tc>
          <w:tcPr>
            <w:tcW w:w="260" w:type="dxa"/>
            <w:tcBorders>
              <w:top w:val="nil"/>
              <w:left w:val="single" w:sz="4" w:space="0" w:color="auto"/>
              <w:bottom w:val="dotted" w:sz="4" w:space="0" w:color="auto"/>
              <w:right w:val="nil"/>
            </w:tcBorders>
            <w:shd w:val="clear" w:color="auto" w:fill="auto"/>
            <w:vAlign w:val="center"/>
            <w:hideMark/>
          </w:tcPr>
          <w:p>
            <w:pPr>
              <w:rPr>
                <w:b/>
                <w:bCs/>
                <w:noProof/>
                <w:color w:val="000000"/>
                <w:sz w:val="14"/>
                <w:szCs w:val="14"/>
              </w:rPr>
            </w:pPr>
            <w:r>
              <w:rPr>
                <w:b/>
                <w:noProof/>
                <w:color w:val="000000"/>
                <w:sz w:val="14"/>
              </w:rPr>
              <w:t>5.</w:t>
            </w:r>
          </w:p>
        </w:tc>
        <w:tc>
          <w:tcPr>
            <w:tcW w:w="2800" w:type="dxa"/>
            <w:tcBorders>
              <w:top w:val="nil"/>
              <w:left w:val="nil"/>
              <w:bottom w:val="dotted" w:sz="4" w:space="0" w:color="auto"/>
              <w:right w:val="single" w:sz="4" w:space="0" w:color="auto"/>
            </w:tcBorders>
            <w:shd w:val="clear" w:color="auto" w:fill="auto"/>
            <w:vAlign w:val="center"/>
            <w:hideMark/>
          </w:tcPr>
          <w:p>
            <w:pPr>
              <w:rPr>
                <w:b/>
                <w:bCs/>
                <w:noProof/>
                <w:color w:val="000000"/>
                <w:sz w:val="14"/>
                <w:szCs w:val="14"/>
              </w:rPr>
            </w:pPr>
            <w:r>
              <w:rPr>
                <w:b/>
                <w:noProof/>
                <w:color w:val="000000"/>
                <w:sz w:val="14"/>
              </w:rPr>
              <w:t>Администрация</w:t>
            </w:r>
          </w:p>
        </w:tc>
        <w:tc>
          <w:tcPr>
            <w:tcW w:w="136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noProof/>
                <w:color w:val="000000"/>
                <w:sz w:val="14"/>
              </w:rPr>
              <w:t>9 682 398 486</w:t>
            </w:r>
          </w:p>
        </w:tc>
        <w:tc>
          <w:tcPr>
            <w:tcW w:w="136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noProof/>
                <w:color w:val="000000"/>
                <w:sz w:val="14"/>
              </w:rPr>
              <w:t>9 684 953 486</w:t>
            </w:r>
          </w:p>
        </w:tc>
        <w:tc>
          <w:tcPr>
            <w:tcW w:w="120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noProof/>
                <w:color w:val="000000"/>
                <w:sz w:val="14"/>
              </w:rPr>
              <w:t xml:space="preserve"> 5 020 000</w:t>
            </w:r>
          </w:p>
        </w:tc>
        <w:tc>
          <w:tcPr>
            <w:tcW w:w="120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noProof/>
                <w:color w:val="000000"/>
                <w:sz w:val="14"/>
              </w:rPr>
              <w:t xml:space="preserve"> 5 020 000</w:t>
            </w:r>
          </w:p>
        </w:tc>
        <w:tc>
          <w:tcPr>
            <w:tcW w:w="136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noProof/>
                <w:color w:val="000000"/>
                <w:sz w:val="14"/>
              </w:rPr>
              <w:t>9 687 418 486</w:t>
            </w:r>
          </w:p>
        </w:tc>
        <w:tc>
          <w:tcPr>
            <w:tcW w:w="1360"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4"/>
                <w:szCs w:val="14"/>
              </w:rPr>
            </w:pPr>
            <w:r>
              <w:rPr>
                <w:b/>
                <w:noProof/>
                <w:color w:val="000000"/>
                <w:sz w:val="14"/>
              </w:rPr>
              <w:t>9 689 973 486</w:t>
            </w:r>
          </w:p>
        </w:tc>
      </w:tr>
      <w:tr>
        <w:trPr>
          <w:trHeight w:val="225"/>
          <w:jc w:val="center"/>
        </w:trPr>
        <w:tc>
          <w:tcPr>
            <w:tcW w:w="30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noProof/>
                <w:color w:val="000000"/>
                <w:sz w:val="14"/>
              </w:rPr>
              <w:t>Таван</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10 346 000 000</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10 346 000 000</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r>
      <w:tr>
        <w:trPr>
          <w:trHeight w:val="225"/>
          <w:jc w:val="center"/>
        </w:trPr>
        <w:tc>
          <w:tcPr>
            <w:tcW w:w="30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noProof/>
                <w:color w:val="000000"/>
                <w:sz w:val="14"/>
              </w:rPr>
              <w:t>От които компенсирани от маржа за непредвидени обстоятелства</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-570 000 000</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-570 000 000</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r>
      <w:tr>
        <w:trPr>
          <w:trHeight w:val="225"/>
          <w:jc w:val="center"/>
        </w:trPr>
        <w:tc>
          <w:tcPr>
            <w:tcW w:w="30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noProof/>
                <w:color w:val="000000"/>
                <w:sz w:val="14"/>
              </w:rPr>
              <w:t>Марж</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xml:space="preserve"> 93 601 514</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xml:space="preserve"> 88 581 514</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r>
      <w:tr>
        <w:trPr>
          <w:trHeight w:val="360"/>
          <w:jc w:val="center"/>
        </w:trPr>
        <w:tc>
          <w:tcPr>
            <w:tcW w:w="30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rPr>
                <w:noProof/>
                <w:color w:val="000000"/>
                <w:sz w:val="14"/>
                <w:szCs w:val="14"/>
              </w:rPr>
            </w:pPr>
            <w:r>
              <w:rPr>
                <w:noProof/>
                <w:color w:val="000000"/>
                <w:sz w:val="14"/>
              </w:rPr>
              <w:t>От които: Административни разходи на институциите</w:t>
            </w:r>
          </w:p>
        </w:tc>
        <w:tc>
          <w:tcPr>
            <w:tcW w:w="1360" w:type="dxa"/>
            <w:tcBorders>
              <w:top w:val="single" w:sz="4" w:space="0" w:color="auto"/>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rPr>
              <w:t>7 591 229 286</w:t>
            </w:r>
          </w:p>
        </w:tc>
        <w:tc>
          <w:tcPr>
            <w:tcW w:w="1360" w:type="dxa"/>
            <w:tcBorders>
              <w:top w:val="single" w:sz="4" w:space="0" w:color="auto"/>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rPr>
              <w:t>7 593 784 286</w:t>
            </w:r>
          </w:p>
        </w:tc>
        <w:tc>
          <w:tcPr>
            <w:tcW w:w="1200" w:type="dxa"/>
            <w:tcBorders>
              <w:top w:val="single" w:sz="4" w:space="0" w:color="auto"/>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rPr>
              <w:t xml:space="preserve"> 5 020 000</w:t>
            </w:r>
          </w:p>
        </w:tc>
        <w:tc>
          <w:tcPr>
            <w:tcW w:w="1200" w:type="dxa"/>
            <w:tcBorders>
              <w:top w:val="single" w:sz="4" w:space="0" w:color="auto"/>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rPr>
              <w:t xml:space="preserve"> 5 020 000</w:t>
            </w:r>
          </w:p>
        </w:tc>
        <w:tc>
          <w:tcPr>
            <w:tcW w:w="1360" w:type="dxa"/>
            <w:tcBorders>
              <w:top w:val="single" w:sz="4" w:space="0" w:color="auto"/>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rPr>
              <w:t>7 596 249 286</w:t>
            </w:r>
          </w:p>
        </w:tc>
        <w:tc>
          <w:tcPr>
            <w:tcW w:w="1360" w:type="dxa"/>
            <w:tcBorders>
              <w:top w:val="single" w:sz="4" w:space="0" w:color="auto"/>
              <w:left w:val="nil"/>
              <w:bottom w:val="dotted" w:sz="4" w:space="0" w:color="auto"/>
              <w:right w:val="single" w:sz="4" w:space="0" w:color="auto"/>
            </w:tcBorders>
            <w:shd w:val="clear" w:color="auto" w:fill="auto"/>
            <w:vAlign w:val="center"/>
            <w:hideMark/>
          </w:tcPr>
          <w:p>
            <w:pPr>
              <w:jc w:val="right"/>
              <w:rPr>
                <w:noProof/>
                <w:color w:val="000000"/>
                <w:sz w:val="14"/>
                <w:szCs w:val="14"/>
              </w:rPr>
            </w:pPr>
            <w:r>
              <w:rPr>
                <w:noProof/>
                <w:color w:val="000000"/>
                <w:sz w:val="14"/>
              </w:rPr>
              <w:t>7 598 804 286</w:t>
            </w:r>
          </w:p>
        </w:tc>
      </w:tr>
      <w:tr>
        <w:trPr>
          <w:trHeight w:val="225"/>
          <w:jc w:val="center"/>
        </w:trPr>
        <w:tc>
          <w:tcPr>
            <w:tcW w:w="30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noProof/>
                <w:color w:val="000000"/>
                <w:sz w:val="14"/>
              </w:rPr>
              <w:t>Подтаван</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8 360 000 000</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8 360 000 000</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r>
      <w:tr>
        <w:trPr>
          <w:trHeight w:val="225"/>
          <w:jc w:val="center"/>
        </w:trPr>
        <w:tc>
          <w:tcPr>
            <w:tcW w:w="30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noProof/>
                <w:color w:val="000000"/>
                <w:sz w:val="14"/>
              </w:rPr>
              <w:t>От които компенсирани от маржа за непредвидени обстоятелства</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-570 000 000</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-570 000 000</w:t>
            </w:r>
          </w:p>
        </w:tc>
        <w:tc>
          <w:tcPr>
            <w:tcW w:w="1360" w:type="dxa"/>
            <w:tcBorders>
              <w:top w:val="nil"/>
              <w:left w:val="nil"/>
              <w:bottom w:val="dotted"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r>
      <w:tr>
        <w:trPr>
          <w:trHeight w:val="225"/>
          <w:jc w:val="center"/>
        </w:trPr>
        <w:tc>
          <w:tcPr>
            <w:tcW w:w="3060"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jc w:val="right"/>
              <w:rPr>
                <w:i/>
                <w:iCs/>
                <w:noProof/>
                <w:color w:val="000000"/>
                <w:sz w:val="14"/>
                <w:szCs w:val="14"/>
              </w:rPr>
            </w:pPr>
            <w:r>
              <w:rPr>
                <w:i/>
                <w:noProof/>
                <w:color w:val="000000"/>
                <w:sz w:val="14"/>
              </w:rPr>
              <w:t>Марж</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xml:space="preserve"> 198 770 714</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20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xml:space="preserve"> 193 750 714</w:t>
            </w:r>
          </w:p>
        </w:tc>
        <w:tc>
          <w:tcPr>
            <w:tcW w:w="1360" w:type="dxa"/>
            <w:tcBorders>
              <w:top w:val="nil"/>
              <w:left w:val="nil"/>
              <w:bottom w:val="single" w:sz="4" w:space="0" w:color="auto"/>
              <w:right w:val="single" w:sz="4" w:space="0" w:color="auto"/>
            </w:tcBorders>
            <w:shd w:val="clear" w:color="auto" w:fill="auto"/>
            <w:vAlign w:val="center"/>
            <w:hideMark/>
          </w:tcPr>
          <w:p>
            <w:pPr>
              <w:jc w:val="right"/>
              <w:rPr>
                <w:i/>
                <w:iCs/>
                <w:noProof/>
                <w:color w:val="000000"/>
                <w:sz w:val="14"/>
                <w:szCs w:val="14"/>
              </w:rPr>
            </w:pPr>
            <w:r>
              <w:rPr>
                <w:i/>
                <w:noProof/>
                <w:color w:val="000000"/>
                <w:sz w:val="14"/>
              </w:rPr>
              <w:t> </w:t>
            </w:r>
          </w:p>
        </w:tc>
      </w:tr>
      <w:tr>
        <w:trPr>
          <w:trHeight w:val="225"/>
          <w:jc w:val="center"/>
        </w:trPr>
        <w:tc>
          <w:tcPr>
            <w:tcW w:w="3060" w:type="dxa"/>
            <w:gridSpan w:val="2"/>
            <w:tcBorders>
              <w:top w:val="single" w:sz="4" w:space="0" w:color="auto"/>
              <w:left w:val="single" w:sz="4" w:space="0" w:color="auto"/>
              <w:bottom w:val="dotted" w:sz="4" w:space="0" w:color="auto"/>
              <w:right w:val="single" w:sz="4" w:space="0" w:color="000000"/>
            </w:tcBorders>
            <w:shd w:val="clear" w:color="000000" w:fill="D9D9D9"/>
            <w:vAlign w:val="center"/>
            <w:hideMark/>
          </w:tcPr>
          <w:p>
            <w:pPr>
              <w:jc w:val="right"/>
              <w:rPr>
                <w:b/>
                <w:bCs/>
                <w:noProof/>
                <w:color w:val="000000"/>
                <w:sz w:val="14"/>
                <w:szCs w:val="14"/>
              </w:rPr>
            </w:pPr>
            <w:r>
              <w:rPr>
                <w:b/>
                <w:noProof/>
                <w:color w:val="000000"/>
                <w:sz w:val="14"/>
              </w:rPr>
              <w:t>Общо</w:t>
            </w:r>
          </w:p>
        </w:tc>
        <w:tc>
          <w:tcPr>
            <w:tcW w:w="1360" w:type="dxa"/>
            <w:tcBorders>
              <w:top w:val="single" w:sz="4" w:space="0" w:color="auto"/>
              <w:left w:val="nil"/>
              <w:bottom w:val="dotted" w:sz="4" w:space="0" w:color="auto"/>
              <w:right w:val="single" w:sz="4" w:space="0" w:color="auto"/>
            </w:tcBorders>
            <w:shd w:val="clear" w:color="000000" w:fill="D9D9D9"/>
            <w:vAlign w:val="center"/>
            <w:hideMark/>
          </w:tcPr>
          <w:p>
            <w:pPr>
              <w:jc w:val="right"/>
              <w:rPr>
                <w:b/>
                <w:bCs/>
                <w:noProof/>
                <w:color w:val="000000"/>
                <w:sz w:val="14"/>
                <w:szCs w:val="14"/>
              </w:rPr>
            </w:pPr>
            <w:r>
              <w:rPr>
                <w:b/>
                <w:noProof/>
                <w:color w:val="000000"/>
                <w:sz w:val="14"/>
              </w:rPr>
              <w:t>159 551 203 435</w:t>
            </w:r>
          </w:p>
        </w:tc>
        <w:tc>
          <w:tcPr>
            <w:tcW w:w="1360" w:type="dxa"/>
            <w:tcBorders>
              <w:top w:val="single" w:sz="4" w:space="0" w:color="auto"/>
              <w:left w:val="nil"/>
              <w:bottom w:val="dotted" w:sz="4" w:space="0" w:color="auto"/>
              <w:right w:val="single" w:sz="4" w:space="0" w:color="auto"/>
            </w:tcBorders>
            <w:shd w:val="clear" w:color="000000" w:fill="D9D9D9"/>
            <w:vAlign w:val="center"/>
            <w:hideMark/>
          </w:tcPr>
          <w:p>
            <w:pPr>
              <w:jc w:val="right"/>
              <w:rPr>
                <w:b/>
                <w:bCs/>
                <w:noProof/>
                <w:color w:val="000000"/>
                <w:sz w:val="14"/>
                <w:szCs w:val="14"/>
              </w:rPr>
            </w:pPr>
            <w:r>
              <w:rPr>
                <w:b/>
                <w:noProof/>
                <w:color w:val="000000"/>
                <w:sz w:val="14"/>
              </w:rPr>
              <w:t>144 805 506 549</w:t>
            </w:r>
          </w:p>
        </w:tc>
        <w:tc>
          <w:tcPr>
            <w:tcW w:w="1200" w:type="dxa"/>
            <w:tcBorders>
              <w:top w:val="single" w:sz="4" w:space="0" w:color="auto"/>
              <w:left w:val="nil"/>
              <w:bottom w:val="dotted" w:sz="4" w:space="0" w:color="auto"/>
              <w:right w:val="single" w:sz="4" w:space="0" w:color="auto"/>
            </w:tcBorders>
            <w:shd w:val="clear" w:color="000000" w:fill="D9D9D9"/>
            <w:vAlign w:val="center"/>
            <w:hideMark/>
          </w:tcPr>
          <w:p>
            <w:pPr>
              <w:jc w:val="right"/>
              <w:rPr>
                <w:b/>
                <w:bCs/>
                <w:noProof/>
                <w:color w:val="000000"/>
                <w:sz w:val="14"/>
                <w:szCs w:val="14"/>
              </w:rPr>
            </w:pPr>
            <w:r>
              <w:rPr>
                <w:b/>
                <w:noProof/>
                <w:color w:val="000000"/>
                <w:sz w:val="14"/>
              </w:rPr>
              <w:t>-49 589 445</w:t>
            </w:r>
          </w:p>
        </w:tc>
        <w:tc>
          <w:tcPr>
            <w:tcW w:w="1200" w:type="dxa"/>
            <w:tcBorders>
              <w:top w:val="single" w:sz="4" w:space="0" w:color="auto"/>
              <w:left w:val="nil"/>
              <w:bottom w:val="dotted" w:sz="4" w:space="0" w:color="auto"/>
              <w:right w:val="single" w:sz="4" w:space="0" w:color="auto"/>
            </w:tcBorders>
            <w:shd w:val="clear" w:color="000000" w:fill="D9D9D9"/>
            <w:vAlign w:val="center"/>
            <w:hideMark/>
          </w:tcPr>
          <w:p>
            <w:pPr>
              <w:jc w:val="right"/>
              <w:rPr>
                <w:b/>
                <w:bCs/>
                <w:noProof/>
                <w:color w:val="000000"/>
                <w:sz w:val="14"/>
                <w:szCs w:val="14"/>
              </w:rPr>
            </w:pPr>
            <w:r>
              <w:rPr>
                <w:b/>
                <w:noProof/>
                <w:color w:val="000000"/>
                <w:sz w:val="14"/>
              </w:rPr>
              <w:t>-49 589 445</w:t>
            </w:r>
          </w:p>
        </w:tc>
        <w:tc>
          <w:tcPr>
            <w:tcW w:w="1360" w:type="dxa"/>
            <w:tcBorders>
              <w:top w:val="single" w:sz="4" w:space="0" w:color="auto"/>
              <w:left w:val="nil"/>
              <w:bottom w:val="dotted" w:sz="4" w:space="0" w:color="auto"/>
              <w:right w:val="single" w:sz="4" w:space="0" w:color="auto"/>
            </w:tcBorders>
            <w:shd w:val="clear" w:color="000000" w:fill="D9D9D9"/>
            <w:vAlign w:val="center"/>
            <w:hideMark/>
          </w:tcPr>
          <w:p>
            <w:pPr>
              <w:jc w:val="right"/>
              <w:rPr>
                <w:b/>
                <w:bCs/>
                <w:noProof/>
                <w:color w:val="000000"/>
                <w:sz w:val="14"/>
                <w:szCs w:val="14"/>
              </w:rPr>
            </w:pPr>
            <w:r>
              <w:rPr>
                <w:b/>
                <w:noProof/>
                <w:color w:val="000000"/>
                <w:sz w:val="14"/>
              </w:rPr>
              <w:t>159 501 613 990</w:t>
            </w:r>
          </w:p>
        </w:tc>
        <w:tc>
          <w:tcPr>
            <w:tcW w:w="1360" w:type="dxa"/>
            <w:tcBorders>
              <w:top w:val="single" w:sz="4" w:space="0" w:color="auto"/>
              <w:left w:val="nil"/>
              <w:bottom w:val="dotted" w:sz="4" w:space="0" w:color="auto"/>
              <w:right w:val="single" w:sz="4" w:space="0" w:color="auto"/>
            </w:tcBorders>
            <w:shd w:val="clear" w:color="000000" w:fill="D9D9D9"/>
            <w:vAlign w:val="center"/>
            <w:hideMark/>
          </w:tcPr>
          <w:p>
            <w:pPr>
              <w:jc w:val="right"/>
              <w:rPr>
                <w:b/>
                <w:bCs/>
                <w:noProof/>
                <w:color w:val="000000"/>
                <w:sz w:val="14"/>
                <w:szCs w:val="14"/>
              </w:rPr>
            </w:pPr>
            <w:r>
              <w:rPr>
                <w:b/>
                <w:noProof/>
                <w:color w:val="000000"/>
                <w:sz w:val="14"/>
              </w:rPr>
              <w:t>144 755 917 104</w:t>
            </w:r>
          </w:p>
        </w:tc>
      </w:tr>
      <w:tr>
        <w:trPr>
          <w:trHeight w:val="225"/>
          <w:jc w:val="center"/>
        </w:trPr>
        <w:tc>
          <w:tcPr>
            <w:tcW w:w="3060" w:type="dxa"/>
            <w:gridSpan w:val="2"/>
            <w:tcBorders>
              <w:top w:val="dotted" w:sz="4" w:space="0" w:color="auto"/>
              <w:left w:val="single" w:sz="4" w:space="0" w:color="auto"/>
              <w:bottom w:val="dotted" w:sz="4" w:space="0" w:color="auto"/>
              <w:right w:val="single" w:sz="4" w:space="0" w:color="000000"/>
            </w:tcBorders>
            <w:shd w:val="clear" w:color="000000" w:fill="D9D9D9"/>
            <w:vAlign w:val="center"/>
            <w:hideMark/>
          </w:tcPr>
          <w:p>
            <w:pPr>
              <w:jc w:val="right"/>
              <w:rPr>
                <w:b/>
                <w:bCs/>
                <w:i/>
                <w:iCs/>
                <w:noProof/>
                <w:color w:val="000000"/>
                <w:sz w:val="14"/>
                <w:szCs w:val="14"/>
              </w:rPr>
            </w:pPr>
            <w:r>
              <w:rPr>
                <w:b/>
                <w:i/>
                <w:noProof/>
                <w:color w:val="000000"/>
                <w:sz w:val="14"/>
              </w:rPr>
              <w:t>От които по Инструмента за гъвкавост</w:t>
            </w:r>
          </w:p>
        </w:tc>
        <w:tc>
          <w:tcPr>
            <w:tcW w:w="136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i/>
                <w:noProof/>
                <w:color w:val="000000"/>
                <w:sz w:val="14"/>
              </w:rPr>
              <w:t xml:space="preserve"> 817 056 199</w:t>
            </w:r>
          </w:p>
        </w:tc>
        <w:tc>
          <w:tcPr>
            <w:tcW w:w="136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i/>
                <w:noProof/>
                <w:color w:val="000000"/>
                <w:sz w:val="14"/>
              </w:rPr>
              <w:t xml:space="preserve"> 667 152 692</w:t>
            </w:r>
          </w:p>
        </w:tc>
        <w:tc>
          <w:tcPr>
            <w:tcW w:w="120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i/>
                <w:noProof/>
                <w:color w:val="000000"/>
                <w:sz w:val="14"/>
              </w:rPr>
              <w:t xml:space="preserve">   </w:t>
            </w:r>
          </w:p>
        </w:tc>
        <w:tc>
          <w:tcPr>
            <w:tcW w:w="120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i/>
                <w:noProof/>
                <w:color w:val="000000"/>
                <w:sz w:val="14"/>
              </w:rPr>
              <w:t> </w:t>
            </w:r>
          </w:p>
        </w:tc>
        <w:tc>
          <w:tcPr>
            <w:tcW w:w="136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i/>
                <w:noProof/>
                <w:color w:val="000000"/>
                <w:sz w:val="14"/>
              </w:rPr>
              <w:t xml:space="preserve"> 817 056 199</w:t>
            </w:r>
          </w:p>
        </w:tc>
        <w:tc>
          <w:tcPr>
            <w:tcW w:w="136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i/>
                <w:noProof/>
                <w:color w:val="000000"/>
                <w:sz w:val="14"/>
              </w:rPr>
              <w:t xml:space="preserve"> 667 152 692</w:t>
            </w:r>
          </w:p>
        </w:tc>
      </w:tr>
      <w:tr>
        <w:trPr>
          <w:trHeight w:val="225"/>
          <w:jc w:val="center"/>
        </w:trPr>
        <w:tc>
          <w:tcPr>
            <w:tcW w:w="3060" w:type="dxa"/>
            <w:gridSpan w:val="2"/>
            <w:tcBorders>
              <w:top w:val="dotted" w:sz="4" w:space="0" w:color="auto"/>
              <w:left w:val="single" w:sz="4" w:space="0" w:color="auto"/>
              <w:bottom w:val="dotted" w:sz="4" w:space="0" w:color="auto"/>
              <w:right w:val="single" w:sz="4" w:space="0" w:color="000000"/>
            </w:tcBorders>
            <w:shd w:val="clear" w:color="000000" w:fill="D9D9D9"/>
            <w:vAlign w:val="center"/>
            <w:hideMark/>
          </w:tcPr>
          <w:p>
            <w:pPr>
              <w:jc w:val="right"/>
              <w:rPr>
                <w:b/>
                <w:bCs/>
                <w:i/>
                <w:iCs/>
                <w:noProof/>
                <w:color w:val="000000"/>
                <w:sz w:val="14"/>
                <w:szCs w:val="14"/>
              </w:rPr>
            </w:pPr>
            <w:r>
              <w:rPr>
                <w:b/>
                <w:i/>
                <w:noProof/>
                <w:color w:val="000000"/>
                <w:sz w:val="14"/>
              </w:rPr>
              <w:t>От които в общия марж за поетите задължения</w:t>
            </w:r>
          </w:p>
        </w:tc>
        <w:tc>
          <w:tcPr>
            <w:tcW w:w="136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i/>
                <w:noProof/>
                <w:color w:val="000000"/>
                <w:sz w:val="14"/>
              </w:rPr>
              <w:t xml:space="preserve"> 891 685 985</w:t>
            </w:r>
          </w:p>
        </w:tc>
        <w:tc>
          <w:tcPr>
            <w:tcW w:w="136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i/>
                <w:noProof/>
                <w:color w:val="000000"/>
                <w:sz w:val="14"/>
              </w:rPr>
              <w:t> </w:t>
            </w:r>
          </w:p>
        </w:tc>
        <w:tc>
          <w:tcPr>
            <w:tcW w:w="120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i/>
                <w:noProof/>
                <w:color w:val="000000"/>
                <w:sz w:val="14"/>
              </w:rPr>
              <w:t xml:space="preserve">   </w:t>
            </w:r>
          </w:p>
        </w:tc>
        <w:tc>
          <w:tcPr>
            <w:tcW w:w="120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i/>
                <w:noProof/>
                <w:color w:val="000000"/>
                <w:sz w:val="14"/>
              </w:rPr>
              <w:t> </w:t>
            </w:r>
          </w:p>
        </w:tc>
        <w:tc>
          <w:tcPr>
            <w:tcW w:w="136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i/>
                <w:noProof/>
                <w:color w:val="000000"/>
                <w:sz w:val="14"/>
              </w:rPr>
              <w:t xml:space="preserve"> 891 685 985</w:t>
            </w:r>
          </w:p>
        </w:tc>
        <w:tc>
          <w:tcPr>
            <w:tcW w:w="136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i/>
                <w:noProof/>
                <w:color w:val="000000"/>
                <w:sz w:val="14"/>
              </w:rPr>
              <w:t> </w:t>
            </w:r>
          </w:p>
        </w:tc>
      </w:tr>
      <w:tr>
        <w:trPr>
          <w:trHeight w:val="225"/>
          <w:jc w:val="center"/>
        </w:trPr>
        <w:tc>
          <w:tcPr>
            <w:tcW w:w="3060" w:type="dxa"/>
            <w:gridSpan w:val="2"/>
            <w:tcBorders>
              <w:top w:val="dotted" w:sz="4" w:space="0" w:color="auto"/>
              <w:left w:val="single" w:sz="4" w:space="0" w:color="auto"/>
              <w:bottom w:val="dotted" w:sz="4" w:space="0" w:color="auto"/>
              <w:right w:val="single" w:sz="4" w:space="0" w:color="000000"/>
            </w:tcBorders>
            <w:shd w:val="clear" w:color="000000" w:fill="D9D9D9"/>
            <w:vAlign w:val="center"/>
            <w:hideMark/>
          </w:tcPr>
          <w:p>
            <w:pPr>
              <w:jc w:val="right"/>
              <w:rPr>
                <w:b/>
                <w:bCs/>
                <w:i/>
                <w:iCs/>
                <w:noProof/>
                <w:color w:val="000000"/>
                <w:sz w:val="14"/>
                <w:szCs w:val="14"/>
              </w:rPr>
            </w:pPr>
            <w:r>
              <w:rPr>
                <w:b/>
                <w:i/>
                <w:noProof/>
                <w:color w:val="000000"/>
                <w:sz w:val="14"/>
              </w:rPr>
              <w:t>Таван</w:t>
            </w:r>
          </w:p>
        </w:tc>
        <w:tc>
          <w:tcPr>
            <w:tcW w:w="136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i/>
                <w:noProof/>
                <w:color w:val="000000"/>
                <w:sz w:val="14"/>
              </w:rPr>
              <w:t>159 514 000 000</w:t>
            </w:r>
          </w:p>
        </w:tc>
        <w:tc>
          <w:tcPr>
            <w:tcW w:w="136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i/>
                <w:noProof/>
                <w:color w:val="000000"/>
                <w:sz w:val="14"/>
              </w:rPr>
              <w:t>154 565 000 000</w:t>
            </w:r>
          </w:p>
        </w:tc>
        <w:tc>
          <w:tcPr>
            <w:tcW w:w="120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i/>
                <w:noProof/>
                <w:color w:val="000000"/>
                <w:sz w:val="14"/>
              </w:rPr>
              <w:t xml:space="preserve">   </w:t>
            </w:r>
          </w:p>
        </w:tc>
        <w:tc>
          <w:tcPr>
            <w:tcW w:w="120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i/>
                <w:noProof/>
                <w:color w:val="000000"/>
                <w:sz w:val="14"/>
              </w:rPr>
              <w:t> </w:t>
            </w:r>
          </w:p>
        </w:tc>
        <w:tc>
          <w:tcPr>
            <w:tcW w:w="136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i/>
                <w:noProof/>
                <w:color w:val="000000"/>
                <w:sz w:val="14"/>
              </w:rPr>
              <w:t>159 514 000 000</w:t>
            </w:r>
          </w:p>
        </w:tc>
        <w:tc>
          <w:tcPr>
            <w:tcW w:w="136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i/>
                <w:noProof/>
                <w:color w:val="000000"/>
                <w:sz w:val="14"/>
              </w:rPr>
              <w:t>154 565 000 000</w:t>
            </w:r>
          </w:p>
        </w:tc>
      </w:tr>
      <w:tr>
        <w:trPr>
          <w:trHeight w:val="225"/>
          <w:jc w:val="center"/>
        </w:trPr>
        <w:tc>
          <w:tcPr>
            <w:tcW w:w="3060" w:type="dxa"/>
            <w:gridSpan w:val="2"/>
            <w:tcBorders>
              <w:top w:val="dotted" w:sz="4" w:space="0" w:color="auto"/>
              <w:left w:val="single" w:sz="4" w:space="0" w:color="auto"/>
              <w:bottom w:val="dotted" w:sz="4" w:space="0" w:color="auto"/>
              <w:right w:val="single" w:sz="4" w:space="0" w:color="000000"/>
            </w:tcBorders>
            <w:shd w:val="clear" w:color="000000" w:fill="D9D9D9"/>
            <w:vAlign w:val="center"/>
            <w:hideMark/>
          </w:tcPr>
          <w:p>
            <w:pPr>
              <w:jc w:val="right"/>
              <w:rPr>
                <w:b/>
                <w:bCs/>
                <w:i/>
                <w:iCs/>
                <w:noProof/>
                <w:color w:val="000000"/>
                <w:sz w:val="14"/>
                <w:szCs w:val="14"/>
              </w:rPr>
            </w:pPr>
            <w:r>
              <w:rPr>
                <w:b/>
                <w:i/>
                <w:noProof/>
                <w:color w:val="000000"/>
                <w:sz w:val="14"/>
              </w:rPr>
              <w:t>От които компенсирани от маржа за непредвидени обстоятелства</w:t>
            </w:r>
          </w:p>
        </w:tc>
        <w:tc>
          <w:tcPr>
            <w:tcW w:w="136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i/>
                <w:noProof/>
                <w:color w:val="000000"/>
                <w:sz w:val="14"/>
              </w:rPr>
              <w:t>-570 000 000</w:t>
            </w:r>
          </w:p>
        </w:tc>
        <w:tc>
          <w:tcPr>
            <w:tcW w:w="136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i/>
                <w:noProof/>
                <w:color w:val="000000"/>
                <w:sz w:val="14"/>
              </w:rPr>
              <w:t> </w:t>
            </w:r>
          </w:p>
        </w:tc>
        <w:tc>
          <w:tcPr>
            <w:tcW w:w="120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i/>
                <w:noProof/>
                <w:color w:val="000000"/>
                <w:sz w:val="14"/>
              </w:rPr>
              <w:t xml:space="preserve">   </w:t>
            </w:r>
          </w:p>
        </w:tc>
        <w:tc>
          <w:tcPr>
            <w:tcW w:w="120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i/>
                <w:noProof/>
                <w:color w:val="000000"/>
                <w:sz w:val="14"/>
              </w:rPr>
              <w:t> </w:t>
            </w:r>
          </w:p>
        </w:tc>
        <w:tc>
          <w:tcPr>
            <w:tcW w:w="136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i/>
                <w:noProof/>
                <w:color w:val="000000"/>
                <w:sz w:val="14"/>
              </w:rPr>
              <w:t>-570 000 000</w:t>
            </w:r>
          </w:p>
        </w:tc>
        <w:tc>
          <w:tcPr>
            <w:tcW w:w="1360" w:type="dxa"/>
            <w:tcBorders>
              <w:top w:val="nil"/>
              <w:left w:val="nil"/>
              <w:bottom w:val="dotted" w:sz="4" w:space="0" w:color="auto"/>
              <w:right w:val="single" w:sz="4" w:space="0" w:color="auto"/>
            </w:tcBorders>
            <w:shd w:val="clear" w:color="000000" w:fill="D9D9D9"/>
            <w:vAlign w:val="center"/>
            <w:hideMark/>
          </w:tcPr>
          <w:p>
            <w:pPr>
              <w:jc w:val="right"/>
              <w:rPr>
                <w:b/>
                <w:bCs/>
                <w:i/>
                <w:iCs/>
                <w:noProof/>
                <w:color w:val="000000"/>
                <w:sz w:val="14"/>
                <w:szCs w:val="14"/>
              </w:rPr>
            </w:pPr>
            <w:r>
              <w:rPr>
                <w:b/>
                <w:i/>
                <w:noProof/>
                <w:color w:val="000000"/>
                <w:sz w:val="14"/>
              </w:rPr>
              <w:t> </w:t>
            </w:r>
          </w:p>
        </w:tc>
      </w:tr>
      <w:tr>
        <w:trPr>
          <w:trHeight w:val="225"/>
          <w:jc w:val="center"/>
        </w:trPr>
        <w:tc>
          <w:tcPr>
            <w:tcW w:w="3060" w:type="dxa"/>
            <w:gridSpan w:val="2"/>
            <w:tcBorders>
              <w:top w:val="dotted" w:sz="4" w:space="0" w:color="auto"/>
              <w:left w:val="single" w:sz="4" w:space="0" w:color="auto"/>
              <w:bottom w:val="nil"/>
              <w:right w:val="single" w:sz="4" w:space="0" w:color="000000"/>
            </w:tcBorders>
            <w:shd w:val="clear" w:color="000000" w:fill="D9D9D9"/>
            <w:vAlign w:val="center"/>
            <w:hideMark/>
          </w:tcPr>
          <w:p>
            <w:pPr>
              <w:jc w:val="right"/>
              <w:rPr>
                <w:b/>
                <w:bCs/>
                <w:i/>
                <w:iCs/>
                <w:noProof/>
                <w:color w:val="000000"/>
                <w:sz w:val="14"/>
                <w:szCs w:val="14"/>
              </w:rPr>
            </w:pPr>
            <w:r>
              <w:rPr>
                <w:b/>
                <w:i/>
                <w:noProof/>
                <w:color w:val="000000"/>
                <w:sz w:val="14"/>
              </w:rPr>
              <w:t>Марж</w:t>
            </w:r>
          </w:p>
        </w:tc>
        <w:tc>
          <w:tcPr>
            <w:tcW w:w="1360" w:type="dxa"/>
            <w:tcBorders>
              <w:top w:val="nil"/>
              <w:left w:val="nil"/>
              <w:bottom w:val="single" w:sz="4" w:space="0" w:color="auto"/>
              <w:right w:val="single" w:sz="4" w:space="0" w:color="auto"/>
            </w:tcBorders>
            <w:shd w:val="clear" w:color="000000" w:fill="D9D9D9"/>
            <w:vAlign w:val="center"/>
            <w:hideMark/>
          </w:tcPr>
          <w:p>
            <w:pPr>
              <w:jc w:val="right"/>
              <w:rPr>
                <w:b/>
                <w:bCs/>
                <w:i/>
                <w:iCs/>
                <w:noProof/>
                <w:color w:val="000000"/>
                <w:sz w:val="14"/>
                <w:szCs w:val="14"/>
              </w:rPr>
            </w:pPr>
            <w:r>
              <w:rPr>
                <w:b/>
                <w:i/>
                <w:noProof/>
                <w:color w:val="000000"/>
                <w:sz w:val="14"/>
              </w:rPr>
              <w:t>1 101 538 749</w:t>
            </w:r>
          </w:p>
        </w:tc>
        <w:tc>
          <w:tcPr>
            <w:tcW w:w="1360" w:type="dxa"/>
            <w:tcBorders>
              <w:top w:val="nil"/>
              <w:left w:val="nil"/>
              <w:bottom w:val="single" w:sz="4" w:space="0" w:color="auto"/>
              <w:right w:val="single" w:sz="4" w:space="0" w:color="auto"/>
            </w:tcBorders>
            <w:shd w:val="clear" w:color="000000" w:fill="D9D9D9"/>
            <w:vAlign w:val="center"/>
            <w:hideMark/>
          </w:tcPr>
          <w:p>
            <w:pPr>
              <w:jc w:val="right"/>
              <w:rPr>
                <w:b/>
                <w:bCs/>
                <w:i/>
                <w:iCs/>
                <w:noProof/>
                <w:color w:val="000000"/>
                <w:sz w:val="14"/>
                <w:szCs w:val="14"/>
              </w:rPr>
            </w:pPr>
            <w:r>
              <w:rPr>
                <w:b/>
                <w:i/>
                <w:noProof/>
                <w:color w:val="000000"/>
                <w:sz w:val="14"/>
              </w:rPr>
              <w:t>10 426 646 143</w:t>
            </w:r>
          </w:p>
        </w:tc>
        <w:tc>
          <w:tcPr>
            <w:tcW w:w="1200" w:type="dxa"/>
            <w:tcBorders>
              <w:top w:val="nil"/>
              <w:left w:val="nil"/>
              <w:bottom w:val="single" w:sz="4" w:space="0" w:color="auto"/>
              <w:right w:val="single" w:sz="4" w:space="0" w:color="auto"/>
            </w:tcBorders>
            <w:shd w:val="clear" w:color="000000" w:fill="D9D9D9"/>
            <w:vAlign w:val="center"/>
            <w:hideMark/>
          </w:tcPr>
          <w:p>
            <w:pPr>
              <w:jc w:val="right"/>
              <w:rPr>
                <w:b/>
                <w:bCs/>
                <w:i/>
                <w:iCs/>
                <w:noProof/>
                <w:color w:val="000000"/>
                <w:sz w:val="14"/>
                <w:szCs w:val="14"/>
              </w:rPr>
            </w:pPr>
            <w:r>
              <w:rPr>
                <w:b/>
                <w:i/>
                <w:noProof/>
                <w:color w:val="000000"/>
                <w:sz w:val="14"/>
              </w:rPr>
              <w:t> </w:t>
            </w:r>
          </w:p>
        </w:tc>
        <w:tc>
          <w:tcPr>
            <w:tcW w:w="1200" w:type="dxa"/>
            <w:tcBorders>
              <w:top w:val="nil"/>
              <w:left w:val="nil"/>
              <w:bottom w:val="single" w:sz="4" w:space="0" w:color="auto"/>
              <w:right w:val="single" w:sz="4" w:space="0" w:color="auto"/>
            </w:tcBorders>
            <w:shd w:val="clear" w:color="000000" w:fill="D9D9D9"/>
            <w:vAlign w:val="center"/>
            <w:hideMark/>
          </w:tcPr>
          <w:p>
            <w:pPr>
              <w:jc w:val="right"/>
              <w:rPr>
                <w:b/>
                <w:bCs/>
                <w:i/>
                <w:iCs/>
                <w:noProof/>
                <w:color w:val="000000"/>
                <w:sz w:val="14"/>
                <w:szCs w:val="14"/>
              </w:rPr>
            </w:pPr>
            <w:r>
              <w:rPr>
                <w:b/>
                <w:i/>
                <w:noProof/>
                <w:color w:val="000000"/>
                <w:sz w:val="14"/>
              </w:rPr>
              <w:t> </w:t>
            </w:r>
          </w:p>
        </w:tc>
        <w:tc>
          <w:tcPr>
            <w:tcW w:w="1360" w:type="dxa"/>
            <w:tcBorders>
              <w:top w:val="nil"/>
              <w:left w:val="nil"/>
              <w:bottom w:val="single" w:sz="4" w:space="0" w:color="auto"/>
              <w:right w:val="single" w:sz="4" w:space="0" w:color="auto"/>
            </w:tcBorders>
            <w:shd w:val="clear" w:color="000000" w:fill="D9D9D9"/>
            <w:vAlign w:val="center"/>
            <w:hideMark/>
          </w:tcPr>
          <w:p>
            <w:pPr>
              <w:jc w:val="right"/>
              <w:rPr>
                <w:b/>
                <w:bCs/>
                <w:i/>
                <w:iCs/>
                <w:noProof/>
                <w:color w:val="000000"/>
                <w:sz w:val="14"/>
                <w:szCs w:val="14"/>
              </w:rPr>
            </w:pPr>
            <w:r>
              <w:rPr>
                <w:b/>
                <w:i/>
                <w:noProof/>
                <w:color w:val="000000"/>
                <w:sz w:val="14"/>
              </w:rPr>
              <w:t>1 151 128 194</w:t>
            </w:r>
          </w:p>
        </w:tc>
        <w:tc>
          <w:tcPr>
            <w:tcW w:w="1360" w:type="dxa"/>
            <w:tcBorders>
              <w:top w:val="nil"/>
              <w:left w:val="nil"/>
              <w:bottom w:val="single" w:sz="4" w:space="0" w:color="auto"/>
              <w:right w:val="single" w:sz="4" w:space="0" w:color="auto"/>
            </w:tcBorders>
            <w:shd w:val="clear" w:color="000000" w:fill="D9D9D9"/>
            <w:vAlign w:val="center"/>
            <w:hideMark/>
          </w:tcPr>
          <w:p>
            <w:pPr>
              <w:jc w:val="right"/>
              <w:rPr>
                <w:b/>
                <w:bCs/>
                <w:i/>
                <w:iCs/>
                <w:noProof/>
                <w:color w:val="000000"/>
                <w:sz w:val="14"/>
                <w:szCs w:val="14"/>
              </w:rPr>
            </w:pPr>
            <w:r>
              <w:rPr>
                <w:b/>
                <w:i/>
                <w:noProof/>
                <w:color w:val="000000"/>
                <w:sz w:val="14"/>
              </w:rPr>
              <w:t>10 476 235 588</w:t>
            </w:r>
          </w:p>
        </w:tc>
      </w:tr>
      <w:tr>
        <w:trPr>
          <w:trHeight w:val="225"/>
          <w:jc w:val="center"/>
        </w:trPr>
        <w:tc>
          <w:tcPr>
            <w:tcW w:w="260" w:type="dxa"/>
            <w:tcBorders>
              <w:top w:val="single" w:sz="4" w:space="0" w:color="auto"/>
              <w:left w:val="single" w:sz="4" w:space="0" w:color="auto"/>
              <w:bottom w:val="single" w:sz="4" w:space="0" w:color="auto"/>
              <w:right w:val="nil"/>
            </w:tcBorders>
            <w:shd w:val="clear" w:color="auto" w:fill="auto"/>
            <w:vAlign w:val="center"/>
            <w:hideMark/>
          </w:tcPr>
          <w:p>
            <w:pPr>
              <w:rPr>
                <w:b/>
                <w:bCs/>
                <w:noProof/>
                <w:color w:val="000000"/>
                <w:sz w:val="14"/>
                <w:szCs w:val="14"/>
              </w:rPr>
            </w:pPr>
            <w:r>
              <w:rPr>
                <w:b/>
                <w:noProof/>
                <w:color w:val="000000"/>
                <w:sz w:val="14"/>
              </w:rPr>
              <w:t> </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pPr>
              <w:rPr>
                <w:b/>
                <w:bCs/>
                <w:noProof/>
                <w:color w:val="000000"/>
                <w:sz w:val="14"/>
                <w:szCs w:val="14"/>
              </w:rPr>
            </w:pPr>
            <w:r>
              <w:rPr>
                <w:b/>
                <w:noProof/>
                <w:color w:val="000000"/>
                <w:sz w:val="14"/>
              </w:rPr>
              <w:t>Други специални инструменти</w:t>
            </w:r>
          </w:p>
        </w:tc>
        <w:tc>
          <w:tcPr>
            <w:tcW w:w="1360" w:type="dxa"/>
            <w:tcBorders>
              <w:top w:val="nil"/>
              <w:left w:val="nil"/>
              <w:bottom w:val="single" w:sz="4" w:space="0" w:color="auto"/>
              <w:right w:val="single" w:sz="4" w:space="0" w:color="auto"/>
            </w:tcBorders>
            <w:shd w:val="clear" w:color="auto" w:fill="auto"/>
            <w:vAlign w:val="center"/>
            <w:hideMark/>
          </w:tcPr>
          <w:p>
            <w:pPr>
              <w:jc w:val="right"/>
              <w:rPr>
                <w:b/>
                <w:bCs/>
                <w:noProof/>
                <w:color w:val="000000"/>
                <w:sz w:val="14"/>
                <w:szCs w:val="14"/>
              </w:rPr>
            </w:pPr>
            <w:r>
              <w:rPr>
                <w:b/>
                <w:noProof/>
                <w:color w:val="000000"/>
                <w:sz w:val="14"/>
              </w:rPr>
              <w:t>1 090 902 000</w:t>
            </w:r>
          </w:p>
        </w:tc>
        <w:tc>
          <w:tcPr>
            <w:tcW w:w="1360" w:type="dxa"/>
            <w:tcBorders>
              <w:top w:val="nil"/>
              <w:left w:val="nil"/>
              <w:bottom w:val="single" w:sz="4" w:space="0" w:color="auto"/>
              <w:right w:val="single" w:sz="4" w:space="0" w:color="auto"/>
            </w:tcBorders>
            <w:shd w:val="clear" w:color="auto" w:fill="auto"/>
            <w:vAlign w:val="center"/>
            <w:hideMark/>
          </w:tcPr>
          <w:p>
            <w:pPr>
              <w:jc w:val="right"/>
              <w:rPr>
                <w:b/>
                <w:bCs/>
                <w:noProof/>
                <w:color w:val="000000"/>
                <w:sz w:val="14"/>
                <w:szCs w:val="14"/>
              </w:rPr>
            </w:pPr>
            <w:r>
              <w:rPr>
                <w:b/>
                <w:noProof/>
                <w:color w:val="000000"/>
                <w:sz w:val="14"/>
              </w:rPr>
              <w:t xml:space="preserve"> 619 600 000</w:t>
            </w:r>
          </w:p>
        </w:tc>
        <w:tc>
          <w:tcPr>
            <w:tcW w:w="1200" w:type="dxa"/>
            <w:tcBorders>
              <w:top w:val="nil"/>
              <w:left w:val="nil"/>
              <w:bottom w:val="single" w:sz="4" w:space="0" w:color="auto"/>
              <w:right w:val="single" w:sz="4" w:space="0" w:color="auto"/>
            </w:tcBorders>
            <w:shd w:val="clear" w:color="auto" w:fill="auto"/>
            <w:vAlign w:val="center"/>
            <w:hideMark/>
          </w:tcPr>
          <w:p>
            <w:pPr>
              <w:jc w:val="right"/>
              <w:rPr>
                <w:b/>
                <w:bCs/>
                <w:noProof/>
                <w:color w:val="000000"/>
                <w:sz w:val="14"/>
                <w:szCs w:val="14"/>
              </w:rPr>
            </w:pPr>
            <w:r>
              <w:rPr>
                <w:b/>
                <w:noProof/>
                <w:color w:val="000000"/>
                <w:sz w:val="14"/>
              </w:rPr>
              <w:t>-293 628 245</w:t>
            </w:r>
          </w:p>
        </w:tc>
        <w:tc>
          <w:tcPr>
            <w:tcW w:w="1200" w:type="dxa"/>
            <w:tcBorders>
              <w:top w:val="nil"/>
              <w:left w:val="nil"/>
              <w:bottom w:val="single" w:sz="4" w:space="0" w:color="auto"/>
              <w:right w:val="single" w:sz="4" w:space="0" w:color="auto"/>
            </w:tcBorders>
            <w:shd w:val="clear" w:color="auto" w:fill="auto"/>
            <w:vAlign w:val="center"/>
            <w:hideMark/>
          </w:tcPr>
          <w:p>
            <w:pPr>
              <w:jc w:val="right"/>
              <w:rPr>
                <w:b/>
                <w:bCs/>
                <w:noProof/>
                <w:color w:val="000000"/>
                <w:sz w:val="14"/>
                <w:szCs w:val="14"/>
              </w:rPr>
            </w:pPr>
            <w:r>
              <w:rPr>
                <w:b/>
                <w:noProof/>
                <w:color w:val="000000"/>
                <w:sz w:val="14"/>
              </w:rPr>
              <w:t>-570 000 000</w:t>
            </w:r>
          </w:p>
        </w:tc>
        <w:tc>
          <w:tcPr>
            <w:tcW w:w="1360" w:type="dxa"/>
            <w:tcBorders>
              <w:top w:val="nil"/>
              <w:left w:val="nil"/>
              <w:bottom w:val="single" w:sz="4" w:space="0" w:color="auto"/>
              <w:right w:val="single" w:sz="4" w:space="0" w:color="auto"/>
            </w:tcBorders>
            <w:shd w:val="clear" w:color="auto" w:fill="auto"/>
            <w:vAlign w:val="center"/>
            <w:hideMark/>
          </w:tcPr>
          <w:p>
            <w:pPr>
              <w:jc w:val="right"/>
              <w:rPr>
                <w:b/>
                <w:bCs/>
                <w:noProof/>
                <w:color w:val="000000"/>
                <w:sz w:val="14"/>
                <w:szCs w:val="14"/>
              </w:rPr>
            </w:pPr>
            <w:r>
              <w:rPr>
                <w:b/>
                <w:noProof/>
                <w:color w:val="000000"/>
                <w:sz w:val="14"/>
              </w:rPr>
              <w:t xml:space="preserve"> 797 273 755</w:t>
            </w:r>
          </w:p>
        </w:tc>
        <w:tc>
          <w:tcPr>
            <w:tcW w:w="1360" w:type="dxa"/>
            <w:tcBorders>
              <w:top w:val="nil"/>
              <w:left w:val="nil"/>
              <w:bottom w:val="single" w:sz="4" w:space="0" w:color="auto"/>
              <w:right w:val="single" w:sz="4" w:space="0" w:color="auto"/>
            </w:tcBorders>
            <w:shd w:val="clear" w:color="auto" w:fill="auto"/>
            <w:vAlign w:val="center"/>
            <w:hideMark/>
          </w:tcPr>
          <w:p>
            <w:pPr>
              <w:jc w:val="right"/>
              <w:rPr>
                <w:b/>
                <w:bCs/>
                <w:noProof/>
                <w:color w:val="000000"/>
                <w:sz w:val="14"/>
                <w:szCs w:val="14"/>
              </w:rPr>
            </w:pPr>
            <w:r>
              <w:rPr>
                <w:b/>
                <w:noProof/>
                <w:color w:val="000000"/>
                <w:sz w:val="14"/>
              </w:rPr>
              <w:t xml:space="preserve"> 507 600 000</w:t>
            </w:r>
          </w:p>
        </w:tc>
      </w:tr>
      <w:tr>
        <w:trPr>
          <w:trHeight w:val="225"/>
          <w:jc w:val="center"/>
        </w:trPr>
        <w:tc>
          <w:tcPr>
            <w:tcW w:w="3060" w:type="dxa"/>
            <w:gridSpan w:val="2"/>
            <w:tcBorders>
              <w:top w:val="nil"/>
              <w:left w:val="single" w:sz="4" w:space="0" w:color="auto"/>
              <w:bottom w:val="single" w:sz="4" w:space="0" w:color="auto"/>
              <w:right w:val="single" w:sz="4" w:space="0" w:color="000000"/>
            </w:tcBorders>
            <w:shd w:val="clear" w:color="000000" w:fill="D9D9D9"/>
            <w:vAlign w:val="center"/>
            <w:hideMark/>
          </w:tcPr>
          <w:p>
            <w:pPr>
              <w:jc w:val="right"/>
              <w:rPr>
                <w:b/>
                <w:bCs/>
                <w:noProof/>
                <w:color w:val="000000"/>
                <w:sz w:val="14"/>
                <w:szCs w:val="14"/>
              </w:rPr>
            </w:pPr>
            <w:r>
              <w:rPr>
                <w:b/>
                <w:noProof/>
                <w:color w:val="000000"/>
                <w:sz w:val="14"/>
              </w:rPr>
              <w:t>Обща сума</w:t>
            </w:r>
          </w:p>
        </w:tc>
        <w:tc>
          <w:tcPr>
            <w:tcW w:w="1360" w:type="dxa"/>
            <w:tcBorders>
              <w:top w:val="nil"/>
              <w:left w:val="nil"/>
              <w:bottom w:val="single" w:sz="4" w:space="0" w:color="auto"/>
              <w:right w:val="single" w:sz="4" w:space="0" w:color="auto"/>
            </w:tcBorders>
            <w:shd w:val="clear" w:color="000000" w:fill="D9D9D9"/>
            <w:vAlign w:val="center"/>
            <w:hideMark/>
          </w:tcPr>
          <w:p>
            <w:pPr>
              <w:jc w:val="right"/>
              <w:rPr>
                <w:b/>
                <w:bCs/>
                <w:noProof/>
                <w:color w:val="000000"/>
                <w:sz w:val="14"/>
                <w:szCs w:val="14"/>
              </w:rPr>
            </w:pPr>
            <w:r>
              <w:rPr>
                <w:b/>
                <w:noProof/>
                <w:color w:val="000000"/>
                <w:sz w:val="14"/>
              </w:rPr>
              <w:t>160 642 105 435</w:t>
            </w:r>
          </w:p>
        </w:tc>
        <w:tc>
          <w:tcPr>
            <w:tcW w:w="1360" w:type="dxa"/>
            <w:tcBorders>
              <w:top w:val="nil"/>
              <w:left w:val="nil"/>
              <w:bottom w:val="single" w:sz="4" w:space="0" w:color="auto"/>
              <w:right w:val="single" w:sz="4" w:space="0" w:color="auto"/>
            </w:tcBorders>
            <w:shd w:val="clear" w:color="000000" w:fill="D9D9D9"/>
            <w:vAlign w:val="center"/>
            <w:hideMark/>
          </w:tcPr>
          <w:p>
            <w:pPr>
              <w:jc w:val="right"/>
              <w:rPr>
                <w:b/>
                <w:bCs/>
                <w:noProof/>
                <w:color w:val="000000"/>
                <w:sz w:val="14"/>
                <w:szCs w:val="14"/>
              </w:rPr>
            </w:pPr>
            <w:r>
              <w:rPr>
                <w:b/>
                <w:noProof/>
                <w:color w:val="000000"/>
                <w:sz w:val="14"/>
              </w:rPr>
              <w:t>145 425 106 549</w:t>
            </w:r>
          </w:p>
        </w:tc>
        <w:tc>
          <w:tcPr>
            <w:tcW w:w="1200" w:type="dxa"/>
            <w:tcBorders>
              <w:top w:val="nil"/>
              <w:left w:val="nil"/>
              <w:bottom w:val="single" w:sz="4" w:space="0" w:color="auto"/>
              <w:right w:val="single" w:sz="4" w:space="0" w:color="auto"/>
            </w:tcBorders>
            <w:shd w:val="clear" w:color="000000" w:fill="D9D9D9"/>
            <w:vAlign w:val="center"/>
            <w:hideMark/>
          </w:tcPr>
          <w:p>
            <w:pPr>
              <w:jc w:val="right"/>
              <w:rPr>
                <w:b/>
                <w:bCs/>
                <w:noProof/>
                <w:color w:val="000000"/>
                <w:sz w:val="14"/>
                <w:szCs w:val="14"/>
              </w:rPr>
            </w:pPr>
            <w:r>
              <w:rPr>
                <w:b/>
                <w:noProof/>
                <w:color w:val="000000"/>
                <w:sz w:val="14"/>
              </w:rPr>
              <w:t>-343 217 690</w:t>
            </w:r>
          </w:p>
        </w:tc>
        <w:tc>
          <w:tcPr>
            <w:tcW w:w="1200" w:type="dxa"/>
            <w:tcBorders>
              <w:top w:val="nil"/>
              <w:left w:val="nil"/>
              <w:bottom w:val="single" w:sz="4" w:space="0" w:color="auto"/>
              <w:right w:val="single" w:sz="4" w:space="0" w:color="auto"/>
            </w:tcBorders>
            <w:shd w:val="clear" w:color="000000" w:fill="D9D9D9"/>
            <w:vAlign w:val="center"/>
            <w:hideMark/>
          </w:tcPr>
          <w:p>
            <w:pPr>
              <w:jc w:val="right"/>
              <w:rPr>
                <w:b/>
                <w:bCs/>
                <w:noProof/>
                <w:color w:val="000000"/>
                <w:sz w:val="14"/>
                <w:szCs w:val="14"/>
              </w:rPr>
            </w:pPr>
            <w:r>
              <w:rPr>
                <w:b/>
                <w:noProof/>
                <w:color w:val="000000"/>
                <w:sz w:val="14"/>
              </w:rPr>
              <w:t>-161 589 445</w:t>
            </w:r>
          </w:p>
        </w:tc>
        <w:tc>
          <w:tcPr>
            <w:tcW w:w="1360" w:type="dxa"/>
            <w:tcBorders>
              <w:top w:val="nil"/>
              <w:left w:val="nil"/>
              <w:bottom w:val="single" w:sz="4" w:space="0" w:color="auto"/>
              <w:right w:val="single" w:sz="4" w:space="0" w:color="auto"/>
            </w:tcBorders>
            <w:shd w:val="clear" w:color="000000" w:fill="D9D9D9"/>
            <w:vAlign w:val="center"/>
            <w:hideMark/>
          </w:tcPr>
          <w:p>
            <w:pPr>
              <w:jc w:val="right"/>
              <w:rPr>
                <w:b/>
                <w:bCs/>
                <w:noProof/>
                <w:color w:val="000000"/>
                <w:sz w:val="14"/>
                <w:szCs w:val="14"/>
              </w:rPr>
            </w:pPr>
            <w:r>
              <w:rPr>
                <w:b/>
                <w:noProof/>
                <w:color w:val="000000"/>
                <w:sz w:val="14"/>
              </w:rPr>
              <w:t>160 298 887 745</w:t>
            </w:r>
          </w:p>
        </w:tc>
        <w:tc>
          <w:tcPr>
            <w:tcW w:w="1360" w:type="dxa"/>
            <w:tcBorders>
              <w:top w:val="nil"/>
              <w:left w:val="nil"/>
              <w:bottom w:val="single" w:sz="4" w:space="0" w:color="auto"/>
              <w:right w:val="single" w:sz="4" w:space="0" w:color="auto"/>
            </w:tcBorders>
            <w:shd w:val="clear" w:color="000000" w:fill="D9D9D9"/>
            <w:vAlign w:val="center"/>
            <w:hideMark/>
          </w:tcPr>
          <w:p>
            <w:pPr>
              <w:jc w:val="right"/>
              <w:rPr>
                <w:b/>
                <w:bCs/>
                <w:noProof/>
                <w:color w:val="000000"/>
                <w:sz w:val="14"/>
                <w:szCs w:val="14"/>
              </w:rPr>
            </w:pPr>
            <w:r>
              <w:rPr>
                <w:b/>
                <w:noProof/>
                <w:color w:val="000000"/>
                <w:sz w:val="14"/>
              </w:rPr>
              <w:t>145 263 517 104</w:t>
            </w:r>
          </w:p>
        </w:tc>
      </w:tr>
    </w:tbl>
    <w:p>
      <w:pPr>
        <w:spacing w:before="120" w:after="120"/>
        <w:jc w:val="center"/>
        <w:rPr>
          <w:noProof/>
          <w:szCs w:val="20"/>
        </w:rPr>
      </w:pPr>
    </w:p>
    <w:sectPr>
      <w:headerReference w:type="even" r:id="rId29"/>
      <w:headerReference w:type="default" r:id="rId30"/>
      <w:footerReference w:type="even" r:id="rId31"/>
      <w:footerReference w:type="default" r:id="rId32"/>
      <w:headerReference w:type="first" r:id="rId33"/>
      <w:footerReference w:type="first" r:id="rId34"/>
      <w:pgSz w:w="11907" w:h="16839"/>
      <w:pgMar w:top="851" w:right="1021" w:bottom="851" w:left="1021" w:header="280" w:footer="8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KOJOD P+ Adv T T 5843c 571">
    <w:altName w:val="Adv TT 584 3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spacing w:before="0"/>
      <w:ind w:left="-851" w:right="-851"/>
      <w:rPr>
        <w:rFonts w:ascii="Arial" w:hAnsi="Arial" w:cs="Arial"/>
        <w:b/>
      </w:rPr>
    </w:pPr>
  </w:p>
  <w:p>
    <w:pPr>
      <w:pStyle w:val="Footer"/>
      <w:spacing w:before="0"/>
      <w:ind w:left="-851" w:right="-851"/>
      <w:rPr>
        <w:rFonts w:ascii="Arial" w:hAnsi="Arial" w:cs="Arial"/>
        <w:b/>
        <w:sz w:val="48"/>
      </w:rPr>
    </w:pPr>
    <w:r>
      <w:tab/>
    </w:r>
    <w:r>
      <w:fldChar w:fldCharType="begin"/>
    </w:r>
    <w:r>
      <w:instrText xml:space="preserve"> PAGE  \* MERGEFORMAT </w:instrText>
    </w:r>
    <w:r>
      <w:fldChar w:fldCharType="separate"/>
    </w:r>
    <w:r>
      <w:rPr>
        <w:noProof/>
      </w:rPr>
      <w:t>15</w:t>
    </w:r>
    <w:r>
      <w:rPr>
        <w:noProof/>
      </w:rPr>
      <w:fldChar w:fldCharType="end"/>
    </w:r>
    <w: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spacing w:before="0"/>
      <w:ind w:left="-851" w:right="-851"/>
      <w:rPr>
        <w:rFonts w:ascii="Arial" w:hAnsi="Arial" w:cs="Arial"/>
        <w:b/>
        <w:sz w:val="48"/>
      </w:rPr>
    </w:pPr>
    <w:r>
      <w:tab/>
    </w:r>
    <w:r>
      <w:fldChar w:fldCharType="begin"/>
    </w:r>
    <w:r>
      <w:instrText xml:space="preserve"> PAGE  \* MERGEFORMAT </w:instrText>
    </w:r>
    <w:r>
      <w:fldChar w:fldCharType="separate"/>
    </w:r>
    <w:r>
      <w:rPr>
        <w:noProof/>
      </w:rPr>
      <w:t>2</w:t>
    </w:r>
    <w:r>
      <w:rPr>
        <w:noProof/>
      </w:rPr>
      <w:fldChar w:fldCharType="end"/>
    </w:r>
    <w:r>
      <w:tab/>
    </w:r>
    <w:r>
      <w:fldChar w:fldCharType="begin"/>
    </w:r>
    <w:r>
      <w:instrText xml:space="preserve"> DOCPROPERTY "Classification" \* MERGEFORMAT </w:instrText>
    </w:r>
    <w:r>
      <w:fldChar w:fldCharType="separate"/>
    </w:r>
    <w:r>
      <w:t xml:space="preserve"> </w:t>
    </w:r>
    <w:r>
      <w:fldChar w:fldCharType="end"/>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spacing w:before="0"/>
      <w:ind w:left="-851" w:right="-851"/>
      <w:rPr>
        <w:rFonts w:ascii="Arial" w:hAnsi="Arial" w:cs="Arial"/>
        <w:b/>
        <w:sz w:val="48"/>
      </w:rPr>
    </w:pPr>
    <w:r>
      <w:tab/>
    </w:r>
    <w:r>
      <w:fldChar w:fldCharType="begin"/>
    </w:r>
    <w:r>
      <w:instrText xml:space="preserve"> PAGE  \* MERGEFORMAT </w:instrText>
    </w:r>
    <w:r>
      <w:fldChar w:fldCharType="separate"/>
    </w:r>
    <w:r>
      <w:rPr>
        <w:noProof/>
      </w:rPr>
      <w:t>3</w:t>
    </w:r>
    <w:r>
      <w:rPr>
        <w:noProof/>
      </w:rPr>
      <w:fldChar w:fldCharType="end"/>
    </w: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rPr>
          <w:lang w:val="pt-PT"/>
        </w:rPr>
      </w:pPr>
      <w:r>
        <w:rPr>
          <w:rStyle w:val="FootnoteReference"/>
        </w:rPr>
        <w:footnoteRef/>
      </w:r>
      <w:r>
        <w:tab/>
      </w:r>
      <w:r>
        <w:rPr>
          <w:sz w:val="18"/>
        </w:rPr>
        <w:t>ОВ L 298, 26.10.2012 г., стр. 1.</w:t>
      </w:r>
    </w:p>
  </w:footnote>
  <w:footnote w:id="3">
    <w:p>
      <w:pPr>
        <w:pStyle w:val="FootnoteText"/>
        <w:rPr>
          <w:lang w:val="pt-PT"/>
        </w:rPr>
      </w:pPr>
      <w:r>
        <w:rPr>
          <w:rStyle w:val="FootnoteReference"/>
        </w:rPr>
        <w:footnoteRef/>
      </w:r>
      <w:r>
        <w:tab/>
      </w:r>
      <w:r>
        <w:rPr>
          <w:sz w:val="18"/>
        </w:rPr>
        <w:t>COM(2017) 400, 29.6.2017 г.</w:t>
      </w:r>
    </w:p>
  </w:footnote>
  <w:footnote w:id="4">
    <w:p>
      <w:pPr>
        <w:pStyle w:val="FootnoteText"/>
      </w:pPr>
      <w:r>
        <w:rPr>
          <w:rStyle w:val="FootnoteReference"/>
        </w:rPr>
        <w:footnoteRef/>
      </w:r>
      <w:r>
        <w:t xml:space="preserve"> </w:t>
      </w:r>
      <w:r>
        <w:tab/>
        <w:t>В МФР за 2014—2020 г. първоначалният подтаван за ЕФГЗ за 2018 г. възлиза на 44 863 млн. евро. Като се вземе предвид нетната сума от 726,7 млн. евро, която трябва да се прехвърли към „развитие на селските райони“, наличното нетно салдо за разходване по линия на ЕФГЗ („нетният подтаван“) за 2018 г. възлиза на 44 162,4 млн. евро. Нуждите за ЕФГЗ за 2018 г. се оценяват на базата на този „нетен подтаван“ за ЕФГЗ.</w:t>
      </w:r>
    </w:p>
  </w:footnote>
  <w:footnote w:id="5">
    <w:p>
      <w:pPr>
        <w:pStyle w:val="FootnoteText"/>
      </w:pPr>
      <w:r>
        <w:rPr>
          <w:rStyle w:val="FootnoteReference"/>
        </w:rPr>
        <w:footnoteRef/>
      </w:r>
      <w:r>
        <w:t xml:space="preserve"> </w:t>
      </w:r>
      <w:r>
        <w:tab/>
        <w:t>Нуждите възлизат на 43 464,4 млн. евро нови бюджетни кредити плюс 1 246,0 млн. евро целеви приходи.</w:t>
      </w:r>
    </w:p>
  </w:footnote>
  <w:footnote w:id="6">
    <w:p>
      <w:pPr>
        <w:pStyle w:val="FootnoteText"/>
      </w:pPr>
      <w:r>
        <w:rPr>
          <w:rStyle w:val="FootnoteReference"/>
        </w:rPr>
        <w:footnoteRef/>
      </w:r>
      <w:r>
        <w:t xml:space="preserve"> </w:t>
      </w:r>
      <w:r>
        <w:tab/>
        <w:t xml:space="preserve">Тази прогноза се основава на декларациите за действителните разходи, получени от държавите членки до август 2017 г., допълнени от прогнози за периода 1.9.2017 г.—15.10.2017 г. Пълната информация за действителните разходи за оставащия период ще е налична в края на октомври / началото на ноември 2017 г. </w:t>
      </w:r>
    </w:p>
  </w:footnote>
  <w:footnote w:id="7">
    <w:p>
      <w:pPr>
        <w:pStyle w:val="FootnoteText"/>
      </w:pPr>
      <w:r>
        <w:rPr>
          <w:rStyle w:val="FootnoteReference"/>
        </w:rPr>
        <w:footnoteRef/>
      </w:r>
      <w:r>
        <w:t xml:space="preserve"> </w:t>
      </w:r>
      <w:r>
        <w:tab/>
        <w:t>Ставката на корекция за директните плащания във връзка с механизма за финансова дисциплина по отношение на календарната 2017 г. е определена в Регламент за изпълнение (ЕС) 2017/1236 на Комисията. С оглед на незначителните изменения в директните плащания, предложени в настоящото ПВК № 1/2018, не е необходимо коригиране на вече фиксираната ставка.</w:t>
      </w:r>
    </w:p>
  </w:footnote>
  <w:footnote w:id="8">
    <w:p>
      <w:pPr>
        <w:pStyle w:val="FootnoteText"/>
      </w:pPr>
      <w:r>
        <w:rPr>
          <w:rStyle w:val="FootnoteReference"/>
        </w:rPr>
        <w:footnoteRef/>
      </w:r>
      <w:r>
        <w:t xml:space="preserve"> </w:t>
      </w:r>
      <w:r>
        <w:tab/>
        <w:t>Делегиран регламент (ЕС) 2017/1533 на Комисията от 8 септември 2017 г. за изменение на Делегиран регламент (ЕС) 2017/1165 по отношение на временните извънредни мерки за подпомагане на производителите на праскови и нектарини в Гърция, Испания и Италия.</w:t>
      </w:r>
    </w:p>
  </w:footnote>
  <w:footnote w:id="9">
    <w:p>
      <w:pPr>
        <w:pStyle w:val="FootnoteText"/>
      </w:pPr>
      <w:r>
        <w:rPr>
          <w:rStyle w:val="FootnoteReference"/>
        </w:rPr>
        <w:footnoteRef/>
      </w:r>
      <w:r>
        <w:t xml:space="preserve"> </w:t>
      </w:r>
      <w:r>
        <w:tab/>
        <w:t>Регламент за изпълнение (ЕС) 2017/1536 на Комисията от 11 септември 2017 г. относно спешна мярка под формата на помощ за стопанствата с най-много 50 животни от рода на свинете, разположени в определени области на Полша, в отговор на прекратяване на производството на свинско месо вследствие на новите изисквания във връзка с африканската чума по свинете</w:t>
      </w:r>
    </w:p>
  </w:footnote>
  <w:footnote w:id="10">
    <w:p>
      <w:pPr>
        <w:pStyle w:val="FootnoteText"/>
      </w:pPr>
      <w:r>
        <w:rPr>
          <w:rStyle w:val="FootnoteReference"/>
        </w:rPr>
        <w:footnoteRef/>
      </w:r>
      <w:r>
        <w:t xml:space="preserve"> </w:t>
      </w:r>
      <w:r>
        <w:tab/>
        <w:t>В момента се изготвя специално съобщение на Комисията до Съвета, придружено от предложение за определяне на новите налози върху производството и коефициента за изчисляване на допълнителния налог в сектора на захарта за тези две пазарни години — 1999/2000 и 2000/2001. То ще бъде подобно на предишното Съобщение на Комисията до Съвета (COM (2013) 526 окончателен) от 17.7.2013 г. след решението на Съда по така нареченото дело „Jülich и други“ от 2012 г.</w:t>
      </w:r>
    </w:p>
  </w:footnote>
  <w:footnote w:id="11">
    <w:p>
      <w:pPr>
        <w:pStyle w:val="FootnoteText"/>
      </w:pPr>
      <w:r>
        <w:rPr>
          <w:rStyle w:val="FootnoteReference"/>
        </w:rPr>
        <w:footnoteRef/>
      </w:r>
      <w:r>
        <w:t xml:space="preserve"> </w:t>
      </w:r>
      <w:r>
        <w:tab/>
        <w:t>COM(2017) 540, 26.6.2017 г.</w:t>
      </w:r>
    </w:p>
  </w:footnote>
  <w:footnote w:id="12">
    <w:p>
      <w:pPr>
        <w:pStyle w:val="FootnoteText"/>
      </w:pPr>
      <w:r>
        <w:rPr>
          <w:rStyle w:val="FootnoteReference"/>
        </w:rPr>
        <w:footnoteRef/>
      </w:r>
      <w:r>
        <w:tab/>
        <w:t>COM(2017) 541, 26.6.2017 г.</w:t>
      </w:r>
    </w:p>
  </w:footnote>
  <w:footnote w:id="13">
    <w:p>
      <w:pPr>
        <w:pStyle w:val="FootnoteText"/>
      </w:pPr>
      <w:r>
        <w:rPr>
          <w:rStyle w:val="FootnoteReference"/>
        </w:rPr>
        <w:footnoteRef/>
      </w:r>
      <w:r>
        <w:tab/>
        <w:t>Решение (ЕС) 2017/741 на Европейския парламент и на Съвета от 5 април 2017 г. относно мобилизирането на средства от фонд „Солидарност“ на Европейския съюз с цел предоставяне на помощ на Обединеното кралство, Кипър и Португалия (ОВ L 111, 24.4.2017 г., стр. 6) и придружаващия го коригиращ бюджет № 1/2017 (ОВ L 136, 24.5.2017 г., стр. 1).</w:t>
      </w:r>
    </w:p>
  </w:footnote>
  <w:footnote w:id="14">
    <w:p>
      <w:pPr>
        <w:pStyle w:val="FootnoteText"/>
      </w:pPr>
      <w:r>
        <w:rPr>
          <w:rStyle w:val="FootnoteReference"/>
        </w:rPr>
        <w:footnoteRef/>
      </w:r>
      <w:r>
        <w:t xml:space="preserve"> </w:t>
      </w:r>
      <w:r>
        <w:tab/>
        <w:t>Регламент № 2013/1311 на Съвета от 2 декември 2013 г. за определяне на многогодишната финансова рамка за годините 2014—2020 (ОВ L 347, 20.12.2013 г., стр. 884).</w:t>
      </w:r>
    </w:p>
  </w:footnote>
  <w:footnote w:id="15">
    <w:p>
      <w:pPr>
        <w:pStyle w:val="FootnoteText"/>
      </w:pPr>
      <w:r>
        <w:rPr>
          <w:rStyle w:val="FootnoteReference"/>
        </w:rPr>
        <w:footnoteRef/>
      </w:r>
      <w:r>
        <w:t xml:space="preserve"> </w:t>
      </w:r>
      <w:r>
        <w:tab/>
        <w:t>COM(2017) 331, 13.6.2017 г.</w:t>
      </w:r>
    </w:p>
  </w:footnote>
  <w:footnote w:id="16">
    <w:p>
      <w:pPr>
        <w:pStyle w:val="CM1"/>
        <w:ind w:left="709" w:hanging="709"/>
        <w:jc w:val="both"/>
      </w:pPr>
      <w:r>
        <w:rPr>
          <w:rStyle w:val="FootnoteReference"/>
        </w:rPr>
        <w:footnoteRef/>
      </w:r>
      <w:r>
        <w:t xml:space="preserve"> </w:t>
      </w:r>
      <w:r>
        <w:tab/>
      </w:r>
      <w:r>
        <w:rPr>
          <w:color w:val="000000"/>
          <w:sz w:val="19"/>
        </w:rPr>
        <w:t>COM(2017) 262, 30.5.2017 г.</w:t>
      </w:r>
    </w:p>
  </w:footnote>
  <w:footnote w:id="17">
    <w:p>
      <w:pPr>
        <w:pStyle w:val="FootnoteText"/>
        <w:ind w:left="709" w:hanging="709"/>
      </w:pPr>
      <w:r>
        <w:rPr>
          <w:rStyle w:val="FootnoteReference"/>
        </w:rPr>
        <w:footnoteRef/>
      </w:r>
      <w:r>
        <w:tab/>
        <w:t>По-специално т. 101 от решението му от 16 февруари 2017 г. относно подобряването на функционирането на Европейския съюз.</w:t>
      </w:r>
    </w:p>
  </w:footnote>
  <w:footnote w:id="18">
    <w:p>
      <w:pPr>
        <w:pStyle w:val="FootnoteText"/>
      </w:pPr>
      <w:r>
        <w:rPr>
          <w:rStyle w:val="FootnoteReference"/>
        </w:rPr>
        <w:footnoteRef/>
      </w:r>
      <w:r>
        <w:t xml:space="preserve"> </w:t>
      </w:r>
      <w:r>
        <w:tab/>
        <w:t>Тези спестявания се изчисляват на база пълна година, тъй като годишните бюджети на мисиите на общата политика за сигурност и отбрана се поемат изцяло при всяко подновяване на мандата.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sz w:val="2"/>
        <w:szCs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sz w:val="2"/>
        <w:szCs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0F2A9A2"/>
    <w:lvl w:ilvl="0">
      <w:start w:val="1"/>
      <w:numFmt w:val="bullet"/>
      <w:pStyle w:val="ListBullet3"/>
      <w:lvlText w:val=""/>
      <w:lvlJc w:val="left"/>
      <w:pPr>
        <w:tabs>
          <w:tab w:val="num" w:pos="643"/>
        </w:tabs>
        <w:ind w:left="643" w:hanging="360"/>
      </w:pPr>
      <w:rPr>
        <w:rFonts w:ascii="Symbol" w:hAnsi="Symbol" w:hint="default"/>
      </w:rPr>
    </w:lvl>
  </w:abstractNum>
  <w:abstractNum w:abstractNumId="1">
    <w:nsid w:val="FFFFFF89"/>
    <w:multiLevelType w:val="singleLevel"/>
    <w:tmpl w:val="1D769E46"/>
    <w:lvl w:ilvl="0">
      <w:start w:val="1"/>
      <w:numFmt w:val="bullet"/>
      <w:pStyle w:val="ListNumber5"/>
      <w:lvlText w:val=""/>
      <w:lvlJc w:val="left"/>
      <w:pPr>
        <w:tabs>
          <w:tab w:val="num" w:pos="360"/>
        </w:tabs>
        <w:ind w:left="360" w:hanging="360"/>
      </w:pPr>
      <w:rPr>
        <w:rFonts w:ascii="Symbol" w:hAnsi="Symbol" w:hint="default"/>
      </w:rPr>
    </w:lvl>
  </w:abstractNum>
  <w:abstractNum w:abstractNumId="2">
    <w:nsid w:val="01CA57DC"/>
    <w:multiLevelType w:val="hybridMultilevel"/>
    <w:tmpl w:val="B042469C"/>
    <w:lvl w:ilvl="0" w:tplc="4872AB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FA63AA"/>
    <w:multiLevelType w:val="multilevel"/>
    <w:tmpl w:val="D1402846"/>
    <w:lvl w:ilvl="0">
      <w:start w:val="2"/>
      <w:numFmt w:val="decimal"/>
      <w:lvlText w:val="%1"/>
      <w:lvlJc w:val="left"/>
      <w:pPr>
        <w:ind w:left="432" w:hanging="432"/>
      </w:pPr>
      <w:rPr>
        <w:rFonts w:cs="Times New Roman" w:hint="default"/>
      </w:rPr>
    </w:lvl>
    <w:lvl w:ilvl="1">
      <w:start w:val="3"/>
      <w:numFmt w:val="decimal"/>
      <w:pStyle w:val="Style2"/>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
    <w:nsid w:val="1B3C78B8"/>
    <w:multiLevelType w:val="multilevel"/>
    <w:tmpl w:val="2ED4F4D0"/>
    <w:name w:val="Point"/>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5">
    <w:nsid w:val="1C4965A5"/>
    <w:multiLevelType w:val="hybridMultilevel"/>
    <w:tmpl w:val="2B909A32"/>
    <w:lvl w:ilvl="0" w:tplc="02EC6D92">
      <w:start w:val="1"/>
      <w:numFmt w:val="decimal"/>
      <w:pStyle w:val="Style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7">
    <w:nsid w:val="32A52C4F"/>
    <w:multiLevelType w:val="singleLevel"/>
    <w:tmpl w:val="CEFC5A24"/>
    <w:lvl w:ilvl="0">
      <w:start w:val="1"/>
      <w:numFmt w:val="bullet"/>
      <w:lvlRestart w:val="0"/>
      <w:pStyle w:val="Tiret0"/>
      <w:lvlText w:val="–"/>
      <w:lvlJc w:val="left"/>
      <w:pPr>
        <w:tabs>
          <w:tab w:val="num" w:pos="850"/>
        </w:tabs>
        <w:ind w:left="850" w:hanging="850"/>
      </w:pPr>
    </w:lvl>
  </w:abstractNum>
  <w:abstractNum w:abstractNumId="8">
    <w:nsid w:val="3A7730C4"/>
    <w:multiLevelType w:val="singleLevel"/>
    <w:tmpl w:val="0809000F"/>
    <w:lvl w:ilvl="0">
      <w:start w:val="1"/>
      <w:numFmt w:val="decimal"/>
      <w:pStyle w:val="ManualHeading2"/>
      <w:lvlText w:val="%1."/>
      <w:lvlJc w:val="left"/>
      <w:pPr>
        <w:ind w:left="720" w:hanging="360"/>
      </w:pPr>
    </w:lvl>
  </w:abstractNum>
  <w:abstractNum w:abstractNumId="9">
    <w:nsid w:val="4B843E64"/>
    <w:multiLevelType w:val="hybridMultilevel"/>
    <w:tmpl w:val="B2063506"/>
    <w:lvl w:ilvl="0" w:tplc="0809000F">
      <w:start w:val="1"/>
      <w:numFmt w:val="decimal"/>
      <w:lvlText w:val="%1."/>
      <w:lvlJc w:val="left"/>
      <w:pPr>
        <w:ind w:left="360" w:hanging="360"/>
      </w:pPr>
      <w:rPr>
        <w:rFonts w:cs="Times New Roman"/>
      </w:rPr>
    </w:lvl>
    <w:lvl w:ilvl="1" w:tplc="08090001">
      <w:start w:val="1"/>
      <w:numFmt w:val="bullet"/>
      <w:lvlText w:val=""/>
      <w:lvlJc w:val="left"/>
      <w:pPr>
        <w:ind w:left="1080" w:hanging="360"/>
      </w:pPr>
      <w:rPr>
        <w:rFonts w:ascii="Symbol" w:hAnsi="Symbol" w:hint="default"/>
      </w:rPr>
    </w:lvl>
    <w:lvl w:ilvl="2" w:tplc="EC16C19A">
      <w:numFmt w:val="bullet"/>
      <w:lvlText w:val="•"/>
      <w:lvlJc w:val="left"/>
      <w:pPr>
        <w:ind w:left="2340" w:hanging="720"/>
      </w:pPr>
      <w:rPr>
        <w:rFonts w:ascii="Times New Roman" w:eastAsia="Times New Roman" w:hAnsi="Times New Roman" w:cs="Times New Roman" w:hint="default"/>
      </w:rPr>
    </w:lvl>
    <w:lvl w:ilvl="3" w:tplc="AC466752">
      <w:start w:val="19"/>
      <w:numFmt w:val="bullet"/>
      <w:lvlText w:val="-"/>
      <w:lvlJc w:val="left"/>
      <w:pPr>
        <w:ind w:left="2520" w:hanging="360"/>
      </w:pPr>
      <w:rPr>
        <w:rFonts w:ascii="Times New Roman" w:eastAsia="Times New Roman" w:hAnsi="Times New Roman" w:cs="Times New Roman"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nsid w:val="541C7C56"/>
    <w:multiLevelType w:val="hybridMultilevel"/>
    <w:tmpl w:val="64B869A6"/>
    <w:lvl w:ilvl="0" w:tplc="8A36BA8C">
      <w:numFmt w:val="bullet"/>
      <w:lvlText w:val=""/>
      <w:lvlJc w:val="left"/>
      <w:pPr>
        <w:ind w:left="360" w:hanging="360"/>
      </w:pPr>
      <w:rPr>
        <w:rFonts w:ascii="Symbol" w:eastAsia="Times New Roman" w:hAnsi="Symbol" w:hint="default"/>
      </w:rPr>
    </w:lvl>
    <w:lvl w:ilvl="1" w:tplc="08090005">
      <w:start w:val="1"/>
      <w:numFmt w:val="bullet"/>
      <w:lvlText w:val=""/>
      <w:lvlJc w:val="left"/>
      <w:pPr>
        <w:ind w:left="1080" w:hanging="360"/>
      </w:pPr>
      <w:rPr>
        <w:rFonts w:ascii="Wingdings" w:hAnsi="Wingdings" w:hint="default"/>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nsid w:val="5F8C3B69"/>
    <w:multiLevelType w:val="multilevel"/>
    <w:tmpl w:val="9B14DAA8"/>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65A07CBB"/>
    <w:multiLevelType w:val="hybridMultilevel"/>
    <w:tmpl w:val="D0281760"/>
    <w:lvl w:ilvl="0" w:tplc="4872AB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4872AB78">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4">
    <w:nsid w:val="6D2B5511"/>
    <w:multiLevelType w:val="singleLevel"/>
    <w:tmpl w:val="74A09970"/>
    <w:name w:val="Heading__2"/>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15">
    <w:nsid w:val="7A694F3E"/>
    <w:multiLevelType w:val="hybridMultilevel"/>
    <w:tmpl w:val="66C627DA"/>
    <w:lvl w:ilvl="0" w:tplc="4872AB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4"/>
  </w:num>
  <w:num w:numId="5">
    <w:abstractNumId w:val="8"/>
  </w:num>
  <w:num w:numId="6">
    <w:abstractNumId w:val="6"/>
  </w:num>
  <w:num w:numId="7">
    <w:abstractNumId w:val="11"/>
  </w:num>
  <w:num w:numId="8">
    <w:abstractNumId w:val="4"/>
  </w:num>
  <w:num w:numId="9">
    <w:abstractNumId w:val="13"/>
  </w:num>
  <w:num w:numId="10">
    <w:abstractNumId w:val="10"/>
  </w:num>
  <w:num w:numId="11">
    <w:abstractNumId w:val="9"/>
  </w:num>
  <w:num w:numId="12">
    <w:abstractNumId w:val="5"/>
  </w:num>
  <w:num w:numId="13">
    <w:abstractNumId w:val="3"/>
  </w:num>
  <w:num w:numId="14">
    <w:abstractNumId w:val="2"/>
  </w:num>
  <w:num w:numId="15">
    <w:abstractNumId w:val="12"/>
  </w:num>
  <w:num w:numId="16">
    <w:abstractNumId w:val="15"/>
  </w:num>
  <w:num w:numId="17">
    <w:abstractNumId w:val="8"/>
  </w:num>
  <w:num w:numId="18">
    <w:abstractNumId w:val="8"/>
  </w:num>
  <w:num w:numId="19">
    <w:abstractNumId w:val="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ilippe-Voyage">
    <w15:presenceInfo w15:providerId="None" w15:userId="Philippe-Voya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ctiveWritingStyle w:appName="MSWord" w:lang="en-GB" w:vendorID="64" w:dllVersion="131078" w:nlCheck="1" w:checkStyle="0"/>
  <w:activeWritingStyle w:appName="MSWord" w:lang="de-DE" w:vendorID="64" w:dllVersion="131078" w:nlCheck="1" w:checkStyle="0"/>
  <w:activeWritingStyle w:appName="MSWord" w:lang="fr-B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rawingGridHorizontalSpacing w:val="120"/>
  <w:displayHorizontalDrawingGridEvery w:val="2"/>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526539F9506A42BCB135E2F217BBBCF6"/>
    <w:docVar w:name="LW_CROSSREFERENCE" w:val="&lt;UNUSED&gt;"/>
    <w:docVar w:name="LW_DocType" w:val="NORMAL"/>
    <w:docVar w:name="LW_EMISSION" w:val="16.10.2017"/>
    <w:docVar w:name="LW_EMISSION_ISODATE" w:val="2017-10-16"/>
    <w:docVar w:name="LW_EMISSION_LOCATION" w:val="BRX"/>
    <w:docVar w:name="LW_EMISSION_PREFIX" w:val="Брюксел, "/>
    <w:docVar w:name="LW_EMISSION_SUFFIX" w:val=" \u1075?."/>
    <w:docVar w:name="LW_ID_DOCTYPE_NONLW" w:val="CP-035"/>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I.NEW.CP" w:val="&lt;UNUSED&gt;"/>
    <w:docVar w:name="LW_REF.II.NEW.CP_NUMBER" w:val="&lt;UNUSED&gt;"/>
    <w:docVar w:name="LW_REF.II.NEW.CP_YEAR" w:val="2017"/>
    <w:docVar w:name="LW_REF.INST.NEW" w:val="COM"/>
    <w:docVar w:name="LW_REF.INST.NEW_ADOPTED" w:val="final"/>
    <w:docVar w:name="LW_REF.INST.NEW_TEXT" w:val="(2017) 615"/>
    <w:docVar w:name="LW_REF.INTERNE" w:val="&lt;UNUSED&gt;"/>
    <w:docVar w:name="LW_SOUS.TITRE.OBJ.CP" w:val="&lt;UNUSED&gt;"/>
    <w:docVar w:name="LW_SUPERTITRE" w:val="&lt;UNUSED&gt;"/>
    <w:docVar w:name="LW_TITRE.OBJ.CP" w:val="\u1040?\u1082?\u1090?\u1091?\u1072?\u1083?\u1080?\u1079?\u1080?\u1088?\u1072?\u1085?\u1077? \u1085?\u1072? \u1087?\u1088?\u1086?\u1075?\u1085?\u1086?\u1079?\u1085?\u1080?\u1090?\u1077? \u1085?\u1091?\u1078?\u1076?\u1080? \u1079?\u1072? \u1089?\u1077?\u1083?\u1089?\u1082?\u1086?\u1089?\u1090?\u1086?\u1087?\u1072?\u1085?\u1089?\u1082?\u1080? \u1088?\u1072?\u1079?\u1093?\u1086?\u1076?\u1080? \u1080? \u1076?\u1088?\u1091?\u1075?\u1080? \u1082?\u1086?\u1088?\u1077?\u1082?\u1094?\u1080?\u1080? (\u1088?\u1077?\u1079?\u1077?\u1088?\u1074? \u1079?\u1072? \u1092?\u1086?\u1085?\u1076? \u8222?\u1057?\u1086?\u1083?\u1080?\u1076?\u1072?\u1088?\u1085?\u1086?\u1089?\u1090?\u8220? \u1085?\u1072? \u1045?\u1074?\u1088?\u1086?\u1087?\u1077?\u1081?\u1089?\u1082?\u1080?\u1103? \u1089?\u1098?\u1102?\u1079?, \u1072?\u1075?\u1077?\u1085?\u1094?\u1080?\u1080? \u1080? \u1072?\u1076?\u1084?\u1080?\u1085?\u1080?\u1089?\u1090?\u1088?\u1072?\u1090?\u1080?\u1074?\u1085?\u1080? \u1088?\u1072?\u1079?\u1093?\u1086?\u1076?\u1080?)"/>
    <w:docVar w:name="LW_TITRE.OBJ.CP_PREVIOUS" w:val="&lt;UNUSED&gt;"/>
    <w:docVar w:name="LW_TYPE.DOC.CP" w:val="\u1055?\u1048?\u1057?\u1052?\u1054? \u1047?\u1040? \u1042?\u1053?\u1040?\u1057?\u1071?\u1053?\u1045? \u1053?\u1040? \u1050?\u1054?\u1056?\u1045?\u1050?\u1062?\u1048?\u1048? \u8470? 1 \u1042? \u1055?\u1056?\u1054?\u1045?\u1050?\u1058?\u1040? \u1053?\u1040? \u1054?\u1041?\u1065? \u1041?\u1070?\u1044?\u1046?\u1045?\u1058? \u1047?\u1040? 2018 \u1060?\u1048?\u1053?\u1040?\u1053?\u1057?\u1054?\u1042?\u1040? \u1043?\u1054?\u1044?\u1048?\u1053?\u1040?"/>
  </w:docVar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bg-BG" w:eastAsia="bg-BG" w:bidi="bg-BG"/>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uiPriority="0" w:qFormat="1"/>
    <w:lsdException w:name="footnote reference" w:uiPriority="0"/>
    <w:lsdException w:name="List Bullet 3"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nhideWhenUsed="0" w:qFormat="1"/>
    <w:lsdException w:name="Emphasis" w:locked="1" w:semiHidden="0" w:unhideWhenUsed="0" w:qFormat="1"/>
    <w:lsdException w:name="No List" w:locked="1" w:semiHidden="0" w:unhideWhenUsed="0"/>
    <w:lsdException w:name="Table Grid"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Pr>
      <w:sz w:val="24"/>
      <w:szCs w:val="24"/>
    </w:rPr>
  </w:style>
  <w:style w:type="paragraph" w:styleId="Heading1">
    <w:name w:val="heading 1"/>
    <w:basedOn w:val="Normal"/>
    <w:next w:val="Normal"/>
    <w:link w:val="Heading1Char"/>
    <w:autoRedefine/>
    <w:uiPriority w:val="99"/>
    <w:qFormat/>
    <w:pPr>
      <w:keepNext/>
      <w:spacing w:before="240" w:after="120"/>
      <w:outlineLvl w:val="0"/>
    </w:pPr>
    <w:rPr>
      <w:rFonts w:ascii="Arial" w:hAnsi="Arial" w:cs="Arial"/>
      <w:b/>
      <w:bCs/>
      <w:kern w:val="32"/>
      <w:sz w:val="32"/>
      <w:szCs w:val="32"/>
    </w:rPr>
  </w:style>
  <w:style w:type="paragraph" w:styleId="Heading2">
    <w:name w:val="heading 2"/>
    <w:basedOn w:val="Normal"/>
    <w:next w:val="Normal"/>
    <w:link w:val="Heading2Char"/>
    <w:autoRedefine/>
    <w:uiPriority w:val="99"/>
    <w:qFormat/>
    <w:pPr>
      <w:keepNext/>
      <w:spacing w:before="240" w:after="120"/>
      <w:ind w:left="720" w:hanging="720"/>
      <w:outlineLvl w:val="1"/>
    </w:pPr>
    <w:rPr>
      <w:rFonts w:ascii="Arial" w:hAnsi="Arial" w:cs="Arial"/>
      <w:b/>
      <w:bCs/>
      <w:i/>
      <w:iCs/>
      <w:sz w:val="28"/>
      <w:szCs w:val="28"/>
    </w:rPr>
  </w:style>
  <w:style w:type="paragraph" w:styleId="Heading3">
    <w:name w:val="heading 3"/>
    <w:basedOn w:val="Normal"/>
    <w:next w:val="Normal"/>
    <w:link w:val="Heading3Char"/>
    <w:autoRedefine/>
    <w:uiPriority w:val="99"/>
    <w:qFormat/>
    <w:pPr>
      <w:keepNext/>
      <w:numPr>
        <w:ilvl w:val="2"/>
      </w:numPr>
      <w:tabs>
        <w:tab w:val="num" w:pos="850"/>
      </w:tabs>
      <w:spacing w:before="120" w:after="120"/>
      <w:ind w:left="850" w:hanging="850"/>
      <w:jc w:val="both"/>
      <w:outlineLvl w:val="2"/>
    </w:pPr>
    <w:rPr>
      <w:rFonts w:ascii="Arial" w:hAnsi="Arial" w:cs="Arial"/>
      <w:b/>
      <w:bCs/>
      <w:i/>
      <w:sz w:val="26"/>
      <w:szCs w:val="26"/>
    </w:rPr>
  </w:style>
  <w:style w:type="paragraph" w:styleId="Heading4">
    <w:name w:val="heading 4"/>
    <w:basedOn w:val="Normal"/>
    <w:next w:val="Normal"/>
    <w:link w:val="Heading4Char"/>
    <w:uiPriority w:val="99"/>
    <w:qFormat/>
    <w:pPr>
      <w:keepNext/>
      <w:numPr>
        <w:ilvl w:val="3"/>
      </w:numPr>
      <w:tabs>
        <w:tab w:val="num" w:pos="1030"/>
      </w:tabs>
      <w:spacing w:before="120" w:after="120"/>
      <w:ind w:left="1030" w:hanging="850"/>
      <w:jc w:val="both"/>
      <w:outlineLvl w:val="3"/>
    </w:pPr>
    <w:rPr>
      <w:b/>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bg-BG" w:eastAsia="bg-BG"/>
    </w:rPr>
  </w:style>
  <w:style w:type="character" w:customStyle="1" w:styleId="Heading2Char">
    <w:name w:val="Heading 2 Char"/>
    <w:basedOn w:val="DefaultParagraphFont"/>
    <w:link w:val="Heading2"/>
    <w:uiPriority w:val="99"/>
    <w:locked/>
    <w:rPr>
      <w:rFonts w:ascii="Cambria" w:hAnsi="Cambria" w:cs="Times New Roman"/>
      <w:b/>
      <w:bCs/>
      <w:i/>
      <w:iCs/>
      <w:sz w:val="28"/>
      <w:szCs w:val="28"/>
      <w:lang w:val="bg-BG" w:eastAsia="bg-BG"/>
    </w:rPr>
  </w:style>
  <w:style w:type="character" w:customStyle="1" w:styleId="Heading3Char">
    <w:name w:val="Heading 3 Char"/>
    <w:basedOn w:val="DefaultParagraphFont"/>
    <w:link w:val="Heading3"/>
    <w:uiPriority w:val="99"/>
    <w:locked/>
    <w:rPr>
      <w:rFonts w:ascii="Cambria" w:hAnsi="Cambria" w:cs="Times New Roman"/>
      <w:b/>
      <w:bCs/>
      <w:sz w:val="26"/>
      <w:szCs w:val="26"/>
      <w:lang w:val="bg-BG" w:eastAsia="bg-BG"/>
    </w:rPr>
  </w:style>
  <w:style w:type="character" w:customStyle="1" w:styleId="Heading4Char">
    <w:name w:val="Heading 4 Char"/>
    <w:basedOn w:val="DefaultParagraphFont"/>
    <w:link w:val="Heading4"/>
    <w:uiPriority w:val="99"/>
    <w:locked/>
    <w:rPr>
      <w:rFonts w:ascii="Calibri" w:hAnsi="Calibri" w:cs="Times New Roman"/>
      <w:b/>
      <w:bCs/>
      <w:sz w:val="28"/>
      <w:szCs w:val="28"/>
      <w:lang w:val="bg-BG" w:eastAsia="bg-BG"/>
    </w:rPr>
  </w:style>
  <w:style w:type="paragraph" w:styleId="Footer">
    <w:name w:val="footer"/>
    <w:basedOn w:val="Normal"/>
    <w:link w:val="FooterChar"/>
    <w:uiPriority w:val="99"/>
    <w:pPr>
      <w:tabs>
        <w:tab w:val="center" w:pos="4535"/>
        <w:tab w:val="right" w:pos="9071"/>
        <w:tab w:val="right" w:pos="9921"/>
      </w:tabs>
      <w:spacing w:before="360"/>
      <w:ind w:left="-850" w:right="-850"/>
    </w:pPr>
  </w:style>
  <w:style w:type="character" w:customStyle="1" w:styleId="FooterChar">
    <w:name w:val="Footer Char"/>
    <w:basedOn w:val="DefaultParagraphFont"/>
    <w:link w:val="Footer"/>
    <w:uiPriority w:val="99"/>
    <w:locked/>
    <w:rPr>
      <w:rFonts w:cs="Times New Roman"/>
      <w:sz w:val="24"/>
      <w:szCs w:val="24"/>
      <w:lang w:val="bg-BG" w:eastAsia="bg-BG"/>
    </w:rPr>
  </w:style>
  <w:style w:type="paragraph" w:styleId="FootnoteText">
    <w:name w:val="footnote text"/>
    <w:basedOn w:val="Normal"/>
    <w:link w:val="FootnoteTextChar"/>
    <w:uiPriority w:val="99"/>
    <w:pPr>
      <w:ind w:left="720" w:hanging="720"/>
      <w:jc w:val="both"/>
    </w:pPr>
    <w:rPr>
      <w:sz w:val="20"/>
      <w:szCs w:val="20"/>
    </w:rPr>
  </w:style>
  <w:style w:type="character" w:customStyle="1" w:styleId="FootnoteTextChar">
    <w:name w:val="Footnote Text Char"/>
    <w:basedOn w:val="DefaultParagraphFont"/>
    <w:link w:val="FootnoteText"/>
    <w:uiPriority w:val="99"/>
    <w:locked/>
    <w:rPr>
      <w:rFonts w:cs="Times New Roman"/>
      <w:lang w:eastAsia="bg-BG"/>
    </w:rPr>
  </w:style>
  <w:style w:type="paragraph" w:styleId="TOC1">
    <w:name w:val="toc 1"/>
    <w:basedOn w:val="Normal"/>
    <w:next w:val="Normal"/>
    <w:uiPriority w:val="39"/>
    <w:pPr>
      <w:spacing w:before="120" w:after="120"/>
    </w:pPr>
    <w:rPr>
      <w:b/>
      <w:bCs/>
      <w:caps/>
      <w:sz w:val="20"/>
      <w:szCs w:val="20"/>
    </w:rPr>
  </w:style>
  <w:style w:type="character" w:styleId="FootnoteReference">
    <w:name w:val="footnote reference"/>
    <w:aliases w:val="stylish,Footnote Reference Superscript,BVI fnr,Footnote symbol,Footnote symboFußnotenzeichen,Footnote sign,Footnote Reference Number,E FNZ,-E Fußnotenzeichen,Footnote#,Footnote,Times 10 Point,Exposant 3 Point,Ref,de nota al pie"/>
    <w:basedOn w:val="DefaultParagraphFont"/>
    <w:rPr>
      <w:rFonts w:cs="Times New Roman"/>
      <w:vertAlign w:val="superscript"/>
    </w:rPr>
  </w:style>
  <w:style w:type="paragraph" w:customStyle="1" w:styleId="Text1">
    <w:name w:val="Text 1"/>
    <w:basedOn w:val="Normal"/>
    <w:uiPriority w:val="99"/>
    <w:pPr>
      <w:spacing w:before="120" w:after="120"/>
      <w:ind w:left="850"/>
      <w:jc w:val="both"/>
    </w:pPr>
  </w:style>
  <w:style w:type="paragraph" w:customStyle="1" w:styleId="Tiret0">
    <w:name w:val="Tiret 0"/>
    <w:basedOn w:val="Normal"/>
    <w:uiPriority w:val="99"/>
    <w:pPr>
      <w:numPr>
        <w:numId w:val="3"/>
      </w:numPr>
      <w:spacing w:before="120" w:after="120"/>
      <w:jc w:val="both"/>
    </w:pPr>
  </w:style>
  <w:style w:type="paragraph" w:customStyle="1" w:styleId="ManualHeading1">
    <w:name w:val="Manual Heading 1"/>
    <w:basedOn w:val="Normal"/>
    <w:next w:val="Text1"/>
    <w:pPr>
      <w:keepNext/>
      <w:tabs>
        <w:tab w:val="left" w:pos="850"/>
      </w:tabs>
      <w:spacing w:before="360" w:after="120"/>
      <w:ind w:left="850" w:hanging="850"/>
      <w:jc w:val="both"/>
      <w:outlineLvl w:val="0"/>
    </w:pPr>
    <w:rPr>
      <w:b/>
      <w:smallCaps/>
    </w:rPr>
  </w:style>
  <w:style w:type="paragraph" w:customStyle="1" w:styleId="ManualHeading2">
    <w:name w:val="Manual Heading 2"/>
    <w:basedOn w:val="Normal"/>
    <w:next w:val="Normal"/>
    <w:pPr>
      <w:keepNext/>
      <w:numPr>
        <w:ilvl w:val="1"/>
        <w:numId w:val="5"/>
      </w:numPr>
      <w:spacing w:before="360" w:after="120"/>
      <w:jc w:val="both"/>
      <w:outlineLvl w:val="1"/>
    </w:pPr>
    <w:rPr>
      <w:b/>
      <w:noProof/>
    </w:rPr>
  </w:style>
  <w:style w:type="paragraph" w:customStyle="1" w:styleId="ListDash">
    <w:name w:val="List Dash"/>
    <w:basedOn w:val="Normal"/>
    <w:link w:val="ListDashChar"/>
    <w:uiPriority w:val="99"/>
    <w:pPr>
      <w:spacing w:before="120" w:after="120"/>
      <w:jc w:val="both"/>
    </w:pPr>
    <w:rPr>
      <w:szCs w:val="20"/>
    </w:rPr>
  </w:style>
  <w:style w:type="paragraph" w:styleId="TOCHeading">
    <w:name w:val="TOC Heading"/>
    <w:basedOn w:val="Normal"/>
    <w:next w:val="Normal"/>
    <w:uiPriority w:val="99"/>
    <w:qFormat/>
    <w:pPr>
      <w:spacing w:before="120" w:after="240"/>
      <w:jc w:val="center"/>
    </w:pPr>
    <w:rPr>
      <w:b/>
      <w:sz w:val="28"/>
    </w:rPr>
  </w:style>
  <w:style w:type="paragraph" w:customStyle="1" w:styleId="Prliminairetitre">
    <w:name w:val="Préliminaire titre"/>
    <w:basedOn w:val="Normal"/>
    <w:next w:val="Normal"/>
    <w:uiPriority w:val="99"/>
    <w:pPr>
      <w:spacing w:before="360" w:after="360"/>
      <w:jc w:val="center"/>
    </w:pPr>
    <w:rPr>
      <w:b/>
    </w:rPr>
  </w:style>
  <w:style w:type="paragraph" w:customStyle="1" w:styleId="Prliminairetype">
    <w:name w:val="Préliminaire type"/>
    <w:basedOn w:val="Normal"/>
    <w:next w:val="Normal"/>
    <w:uiPriority w:val="99"/>
    <w:pPr>
      <w:spacing w:before="360"/>
      <w:jc w:val="center"/>
    </w:pPr>
    <w:rPr>
      <w:b/>
    </w:rPr>
  </w:style>
  <w:style w:type="character" w:styleId="Hyperlink">
    <w:name w:val="Hyperlink"/>
    <w:basedOn w:val="DefaultParagraphFont"/>
    <w:uiPriority w:val="99"/>
    <w:rPr>
      <w:rFonts w:cs="Times New Roman"/>
      <w:color w:val="0000FF"/>
      <w:u w:val="single"/>
    </w:rPr>
  </w:style>
  <w:style w:type="character" w:customStyle="1" w:styleId="Marker">
    <w:name w:val="Marker"/>
    <w:uiPriority w:val="99"/>
    <w:rPr>
      <w:color w:val="0000FF"/>
      <w:shd w:val="clear" w:color="auto" w:fill="auto"/>
    </w:rPr>
  </w:style>
  <w:style w:type="paragraph" w:customStyle="1" w:styleId="Pagedecouverture">
    <w:name w:val="Page de couverture"/>
    <w:basedOn w:val="Normal"/>
    <w:next w:val="Normal"/>
    <w:uiPriority w:val="99"/>
    <w:pPr>
      <w:spacing w:before="120" w:after="120"/>
      <w:jc w:val="both"/>
    </w:p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locked/>
    <w:rPr>
      <w:rFonts w:cs="Times New Roman"/>
      <w:sz w:val="24"/>
      <w:szCs w:val="24"/>
      <w:lang w:val="bg-BG" w:eastAsia="bg-BG"/>
    </w:rPr>
  </w:style>
  <w:style w:type="paragraph" w:customStyle="1" w:styleId="FooterCoverPage">
    <w:name w:val="Footer Cover Page"/>
    <w:basedOn w:val="Normal"/>
    <w:uiPriority w:val="99"/>
    <w:pPr>
      <w:tabs>
        <w:tab w:val="center" w:pos="4535"/>
        <w:tab w:val="right" w:pos="9071"/>
        <w:tab w:val="right" w:pos="9921"/>
      </w:tabs>
      <w:spacing w:before="360"/>
      <w:ind w:left="-850" w:right="-850"/>
    </w:pPr>
  </w:style>
  <w:style w:type="paragraph" w:customStyle="1" w:styleId="HeaderCoverPage">
    <w:name w:val="Header Cover Page"/>
    <w:basedOn w:val="Normal"/>
    <w:uiPriority w:val="99"/>
    <w:pPr>
      <w:tabs>
        <w:tab w:val="center" w:pos="4535"/>
        <w:tab w:val="right" w:pos="9071"/>
      </w:tabs>
      <w:spacing w:after="120"/>
      <w:jc w:val="both"/>
    </w:pPr>
  </w:style>
  <w:style w:type="paragraph" w:styleId="TOC2">
    <w:name w:val="toc 2"/>
    <w:basedOn w:val="Normal"/>
    <w:next w:val="Normal"/>
    <w:autoRedefine/>
    <w:uiPriority w:val="39"/>
    <w:pPr>
      <w:tabs>
        <w:tab w:val="left" w:pos="720"/>
        <w:tab w:val="right" w:leader="dot" w:pos="9061"/>
      </w:tabs>
      <w:ind w:left="709" w:hanging="469"/>
    </w:pPr>
    <w:rPr>
      <w:smallCaps/>
      <w:sz w:val="20"/>
      <w:szCs w:val="20"/>
    </w:rPr>
  </w:style>
  <w:style w:type="paragraph" w:styleId="TOC3">
    <w:name w:val="toc 3"/>
    <w:basedOn w:val="Normal"/>
    <w:next w:val="Normal"/>
    <w:autoRedefine/>
    <w:uiPriority w:val="39"/>
    <w:pPr>
      <w:tabs>
        <w:tab w:val="left" w:pos="1200"/>
        <w:tab w:val="right" w:leader="dot" w:pos="9061"/>
      </w:tabs>
      <w:ind w:left="1276" w:hanging="796"/>
    </w:pPr>
    <w:rPr>
      <w:i/>
      <w:iCs/>
      <w:sz w:val="20"/>
      <w:szCs w:val="20"/>
    </w:rPr>
  </w:style>
  <w:style w:type="paragraph" w:styleId="TOC4">
    <w:name w:val="toc 4"/>
    <w:basedOn w:val="Normal"/>
    <w:next w:val="Normal"/>
    <w:autoRedefine/>
    <w:uiPriority w:val="99"/>
    <w:semiHidden/>
    <w:pPr>
      <w:ind w:left="720"/>
    </w:pPr>
    <w:rPr>
      <w:sz w:val="18"/>
      <w:szCs w:val="18"/>
    </w:rPr>
  </w:style>
  <w:style w:type="paragraph" w:styleId="TOC5">
    <w:name w:val="toc 5"/>
    <w:basedOn w:val="Normal"/>
    <w:next w:val="Normal"/>
    <w:autoRedefine/>
    <w:uiPriority w:val="99"/>
    <w:semiHidden/>
    <w:pPr>
      <w:ind w:left="960"/>
    </w:pPr>
    <w:rPr>
      <w:sz w:val="18"/>
      <w:szCs w:val="18"/>
    </w:rPr>
  </w:style>
  <w:style w:type="paragraph" w:styleId="TOC6">
    <w:name w:val="toc 6"/>
    <w:basedOn w:val="Normal"/>
    <w:next w:val="Normal"/>
    <w:autoRedefine/>
    <w:uiPriority w:val="99"/>
    <w:semiHidden/>
    <w:pPr>
      <w:ind w:left="1200"/>
    </w:pPr>
    <w:rPr>
      <w:sz w:val="18"/>
      <w:szCs w:val="18"/>
    </w:rPr>
  </w:style>
  <w:style w:type="paragraph" w:styleId="TOC7">
    <w:name w:val="toc 7"/>
    <w:basedOn w:val="Normal"/>
    <w:next w:val="Normal"/>
    <w:autoRedefine/>
    <w:uiPriority w:val="99"/>
    <w:semiHidden/>
    <w:pPr>
      <w:ind w:left="1440"/>
    </w:pPr>
    <w:rPr>
      <w:sz w:val="18"/>
      <w:szCs w:val="18"/>
    </w:rPr>
  </w:style>
  <w:style w:type="paragraph" w:styleId="TOC8">
    <w:name w:val="toc 8"/>
    <w:basedOn w:val="Normal"/>
    <w:next w:val="Normal"/>
    <w:autoRedefine/>
    <w:uiPriority w:val="99"/>
    <w:semiHidden/>
    <w:pPr>
      <w:ind w:left="1680"/>
    </w:pPr>
    <w:rPr>
      <w:sz w:val="18"/>
      <w:szCs w:val="18"/>
    </w:rPr>
  </w:style>
  <w:style w:type="paragraph" w:styleId="TOC9">
    <w:name w:val="toc 9"/>
    <w:basedOn w:val="Normal"/>
    <w:next w:val="Normal"/>
    <w:autoRedefine/>
    <w:uiPriority w:val="99"/>
    <w:semiHidden/>
    <w:pPr>
      <w:ind w:left="1920"/>
    </w:pPr>
    <w:rPr>
      <w:sz w:val="18"/>
      <w:szCs w:val="18"/>
    </w:rPr>
  </w:style>
  <w:style w:type="paragraph" w:styleId="ListBullet">
    <w:name w:val="List Bullet"/>
    <w:basedOn w:val="Normal"/>
    <w:uiPriority w:val="99"/>
    <w:pPr>
      <w:numPr>
        <w:numId w:val="4"/>
      </w:numPr>
      <w:spacing w:before="120" w:after="120"/>
      <w:jc w:val="both"/>
    </w:pPr>
  </w:style>
  <w:style w:type="paragraph" w:customStyle="1" w:styleId="ListDash2">
    <w:name w:val="List Dash 2"/>
    <w:basedOn w:val="Normal"/>
    <w:uiPriority w:val="99"/>
    <w:pPr>
      <w:tabs>
        <w:tab w:val="num" w:pos="1134"/>
      </w:tabs>
      <w:spacing w:before="120" w:after="120"/>
      <w:ind w:left="1134" w:hanging="283"/>
      <w:jc w:val="both"/>
    </w:pPr>
  </w:style>
  <w:style w:type="paragraph" w:customStyle="1" w:styleId="ListBullet1">
    <w:name w:val="List Bullet 1"/>
    <w:basedOn w:val="Text1"/>
    <w:uiPriority w:val="99"/>
    <w:pPr>
      <w:tabs>
        <w:tab w:val="num" w:pos="765"/>
      </w:tabs>
      <w:spacing w:before="0" w:after="240"/>
      <w:ind w:left="765" w:hanging="283"/>
    </w:pPr>
    <w:rPr>
      <w:szCs w:val="20"/>
    </w:rPr>
  </w:style>
  <w:style w:type="paragraph" w:styleId="ListBullet2">
    <w:name w:val="List Bullet 2"/>
    <w:basedOn w:val="Normal"/>
    <w:uiPriority w:val="99"/>
    <w:pPr>
      <w:numPr>
        <w:numId w:val="6"/>
      </w:numPr>
      <w:spacing w:after="240"/>
      <w:jc w:val="both"/>
    </w:pPr>
    <w:rPr>
      <w:szCs w:val="20"/>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Pr>
      <w:rFonts w:cs="Times New Roman"/>
      <w:color w:val="800080"/>
      <w:u w:val="single"/>
    </w:rPr>
  </w:style>
  <w:style w:type="paragraph" w:customStyle="1" w:styleId="Typedudocument">
    <w:name w:val="Type du document"/>
    <w:basedOn w:val="Normal"/>
    <w:next w:val="Titreobjet"/>
    <w:uiPriority w:val="99"/>
    <w:pPr>
      <w:spacing w:before="360"/>
      <w:jc w:val="center"/>
    </w:pPr>
    <w:rPr>
      <w:b/>
    </w:rPr>
  </w:style>
  <w:style w:type="paragraph" w:customStyle="1" w:styleId="Titreobjet">
    <w:name w:val="Titre objet"/>
    <w:basedOn w:val="Normal"/>
    <w:next w:val="Normal"/>
    <w:uiPriority w:val="99"/>
    <w:pPr>
      <w:spacing w:before="360" w:after="360"/>
      <w:jc w:val="center"/>
    </w:pPr>
    <w:rPr>
      <w:b/>
    </w:rPr>
  </w:style>
  <w:style w:type="character" w:styleId="Emphasis">
    <w:name w:val="Emphasis"/>
    <w:basedOn w:val="DefaultParagraphFont"/>
    <w:uiPriority w:val="99"/>
    <w:qFormat/>
    <w:rPr>
      <w:rFonts w:cs="Times New Roman"/>
      <w:i/>
    </w:rPr>
  </w:style>
  <w:style w:type="paragraph" w:styleId="NormalWeb">
    <w:name w:val="Normal (Web)"/>
    <w:basedOn w:val="Normal"/>
    <w:uiPriority w:val="99"/>
    <w:pPr>
      <w:spacing w:before="100" w:beforeAutospacing="1" w:after="100" w:afterAutospacing="1"/>
    </w:pPr>
  </w:style>
  <w:style w:type="paragraph" w:customStyle="1" w:styleId="Text2">
    <w:name w:val="Text 2"/>
    <w:basedOn w:val="Normal"/>
    <w:uiPriority w:val="99"/>
    <w:pPr>
      <w:spacing w:before="120" w:after="120"/>
      <w:ind w:left="850"/>
      <w:jc w:val="both"/>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bg-BG" w:eastAsia="bg-BG"/>
    </w:rPr>
  </w:style>
  <w:style w:type="paragraph" w:styleId="ListNumber">
    <w:name w:val="List Number"/>
    <w:basedOn w:val="Normal"/>
    <w:uiPriority w:val="99"/>
    <w:pPr>
      <w:numPr>
        <w:numId w:val="7"/>
      </w:numPr>
      <w:spacing w:before="120" w:after="120"/>
      <w:jc w:val="both"/>
    </w:pPr>
  </w:style>
  <w:style w:type="paragraph" w:customStyle="1" w:styleId="ListNumberLevel2">
    <w:name w:val="List Number (Level 2)"/>
    <w:basedOn w:val="Normal"/>
    <w:uiPriority w:val="99"/>
    <w:pPr>
      <w:numPr>
        <w:ilvl w:val="1"/>
        <w:numId w:val="7"/>
      </w:numPr>
      <w:spacing w:before="120" w:after="120"/>
      <w:jc w:val="both"/>
    </w:pPr>
  </w:style>
  <w:style w:type="paragraph" w:customStyle="1" w:styleId="ListNumberLevel3">
    <w:name w:val="List Number (Level 3)"/>
    <w:basedOn w:val="Normal"/>
    <w:uiPriority w:val="99"/>
    <w:pPr>
      <w:numPr>
        <w:ilvl w:val="2"/>
        <w:numId w:val="7"/>
      </w:numPr>
      <w:spacing w:before="120" w:after="120"/>
      <w:jc w:val="both"/>
    </w:pPr>
  </w:style>
  <w:style w:type="paragraph" w:customStyle="1" w:styleId="ListNumberLevel4">
    <w:name w:val="List Number (Level 4)"/>
    <w:basedOn w:val="Normal"/>
    <w:uiPriority w:val="99"/>
    <w:pPr>
      <w:numPr>
        <w:ilvl w:val="3"/>
        <w:numId w:val="7"/>
      </w:numPr>
      <w:spacing w:before="120" w:after="120"/>
      <w:jc w:val="both"/>
    </w:pPr>
  </w:style>
  <w:style w:type="character" w:customStyle="1" w:styleId="ListDashChar">
    <w:name w:val="List Dash Char"/>
    <w:link w:val="ListDash"/>
    <w:uiPriority w:val="99"/>
    <w:locked/>
    <w:rPr>
      <w:sz w:val="24"/>
      <w:lang w:eastAsia="bg-BG"/>
    </w:rPr>
  </w:style>
  <w:style w:type="paragraph" w:customStyle="1" w:styleId="StyleManualHeading2Italic">
    <w:name w:val="Style Manual Heading 2 + Italic"/>
    <w:basedOn w:val="ManualHeading2"/>
    <w:autoRedefine/>
    <w:uiPriority w:val="99"/>
    <w:pPr>
      <w:numPr>
        <w:ilvl w:val="0"/>
        <w:numId w:val="0"/>
      </w:numPr>
      <w:spacing w:before="160" w:after="160"/>
    </w:pPr>
    <w:rPr>
      <w:bCs/>
      <w:i/>
      <w:iCs/>
    </w:rPr>
  </w:style>
  <w:style w:type="paragraph" w:customStyle="1" w:styleId="NormalCentered">
    <w:name w:val="Normal Centered"/>
    <w:basedOn w:val="Normal"/>
    <w:uiPriority w:val="99"/>
    <w:pPr>
      <w:spacing w:before="120" w:after="120"/>
      <w:jc w:val="center"/>
    </w:pPr>
  </w:style>
  <w:style w:type="paragraph" w:customStyle="1" w:styleId="NormalRight">
    <w:name w:val="Normal Right"/>
    <w:basedOn w:val="Normal"/>
    <w:uiPriority w:val="99"/>
    <w:pPr>
      <w:spacing w:before="120" w:after="120"/>
      <w:jc w:val="right"/>
    </w:pPr>
  </w:style>
  <w:style w:type="paragraph" w:customStyle="1" w:styleId="NormalLeft">
    <w:name w:val="Normal Left"/>
    <w:basedOn w:val="Normal"/>
    <w:uiPriority w:val="99"/>
    <w:pPr>
      <w:spacing w:before="120" w:after="120"/>
    </w:pPr>
  </w:style>
  <w:style w:type="paragraph" w:styleId="Revision">
    <w:name w:val="Revision"/>
    <w:hidden/>
    <w:uiPriority w:val="99"/>
    <w:semiHidden/>
    <w:rPr>
      <w:sz w:val="24"/>
      <w:szCs w:val="24"/>
    </w:rPr>
  </w:style>
  <w:style w:type="paragraph" w:customStyle="1" w:styleId="Statut">
    <w:name w:val="Statut"/>
    <w:basedOn w:val="Normal"/>
    <w:next w:val="Typedudocument"/>
    <w:uiPriority w:val="99"/>
    <w:pPr>
      <w:spacing w:before="360"/>
      <w:jc w:val="center"/>
    </w:pPr>
    <w:rPr>
      <w:szCs w:val="22"/>
    </w:rPr>
  </w:style>
  <w:style w:type="paragraph" w:customStyle="1" w:styleId="Footnoter">
    <w:name w:val="Footnote r"/>
    <w:basedOn w:val="Normal"/>
    <w:uiPriority w:val="99"/>
    <w:pPr>
      <w:shd w:val="clear" w:color="auto" w:fill="F2F8FB"/>
      <w:spacing w:before="100" w:beforeAutospacing="1" w:after="100" w:afterAutospacing="1"/>
    </w:pPr>
    <w:rPr>
      <w:szCs w:val="22"/>
    </w:rPr>
  </w:style>
  <w:style w:type="character" w:customStyle="1" w:styleId="hps">
    <w:name w:val="hps"/>
    <w:uiPriority w:val="99"/>
  </w:style>
  <w:style w:type="paragraph" w:customStyle="1" w:styleId="Point0number">
    <w:name w:val="Point 0 (number)"/>
    <w:basedOn w:val="Normal"/>
    <w:uiPriority w:val="99"/>
    <w:pPr>
      <w:numPr>
        <w:numId w:val="8"/>
      </w:numPr>
      <w:spacing w:before="120" w:after="120"/>
      <w:jc w:val="both"/>
    </w:pPr>
    <w:rPr>
      <w:szCs w:val="22"/>
    </w:rPr>
  </w:style>
  <w:style w:type="paragraph" w:customStyle="1" w:styleId="Point1number">
    <w:name w:val="Point 1 (number)"/>
    <w:basedOn w:val="Normal"/>
    <w:uiPriority w:val="99"/>
    <w:pPr>
      <w:numPr>
        <w:ilvl w:val="2"/>
        <w:numId w:val="8"/>
      </w:numPr>
      <w:spacing w:before="120" w:after="120"/>
      <w:jc w:val="both"/>
    </w:pPr>
    <w:rPr>
      <w:szCs w:val="22"/>
    </w:rPr>
  </w:style>
  <w:style w:type="paragraph" w:customStyle="1" w:styleId="Point2number">
    <w:name w:val="Point 2 (number)"/>
    <w:basedOn w:val="Normal"/>
    <w:uiPriority w:val="99"/>
    <w:pPr>
      <w:numPr>
        <w:ilvl w:val="4"/>
        <w:numId w:val="8"/>
      </w:numPr>
      <w:spacing w:before="120" w:after="120"/>
      <w:jc w:val="both"/>
    </w:pPr>
    <w:rPr>
      <w:szCs w:val="22"/>
    </w:rPr>
  </w:style>
  <w:style w:type="paragraph" w:customStyle="1" w:styleId="Point3number">
    <w:name w:val="Point 3 (number)"/>
    <w:basedOn w:val="Normal"/>
    <w:uiPriority w:val="99"/>
    <w:pPr>
      <w:numPr>
        <w:ilvl w:val="6"/>
        <w:numId w:val="8"/>
      </w:numPr>
      <w:spacing w:before="120" w:after="120"/>
      <w:jc w:val="both"/>
    </w:pPr>
    <w:rPr>
      <w:szCs w:val="22"/>
    </w:rPr>
  </w:style>
  <w:style w:type="paragraph" w:customStyle="1" w:styleId="Point0letter">
    <w:name w:val="Point 0 (letter)"/>
    <w:basedOn w:val="Normal"/>
    <w:uiPriority w:val="99"/>
    <w:pPr>
      <w:numPr>
        <w:ilvl w:val="1"/>
        <w:numId w:val="8"/>
      </w:numPr>
      <w:spacing w:before="120" w:after="120"/>
      <w:jc w:val="both"/>
    </w:pPr>
    <w:rPr>
      <w:szCs w:val="22"/>
    </w:rPr>
  </w:style>
  <w:style w:type="paragraph" w:customStyle="1" w:styleId="Point1letter">
    <w:name w:val="Point 1 (letter)"/>
    <w:basedOn w:val="Normal"/>
    <w:uiPriority w:val="99"/>
    <w:pPr>
      <w:numPr>
        <w:ilvl w:val="3"/>
        <w:numId w:val="8"/>
      </w:numPr>
      <w:spacing w:before="120" w:after="120"/>
      <w:jc w:val="both"/>
    </w:pPr>
    <w:rPr>
      <w:szCs w:val="22"/>
    </w:rPr>
  </w:style>
  <w:style w:type="paragraph" w:customStyle="1" w:styleId="Point2letter">
    <w:name w:val="Point 2 (letter)"/>
    <w:basedOn w:val="Normal"/>
    <w:uiPriority w:val="99"/>
    <w:pPr>
      <w:numPr>
        <w:ilvl w:val="5"/>
        <w:numId w:val="8"/>
      </w:numPr>
      <w:spacing w:before="120" w:after="120"/>
      <w:jc w:val="both"/>
    </w:pPr>
    <w:rPr>
      <w:szCs w:val="22"/>
    </w:rPr>
  </w:style>
  <w:style w:type="paragraph" w:customStyle="1" w:styleId="Point3letter">
    <w:name w:val="Point 3 (letter)"/>
    <w:basedOn w:val="Normal"/>
    <w:uiPriority w:val="99"/>
    <w:pPr>
      <w:numPr>
        <w:ilvl w:val="7"/>
        <w:numId w:val="8"/>
      </w:numPr>
      <w:spacing w:before="120" w:after="120"/>
      <w:jc w:val="both"/>
    </w:pPr>
    <w:rPr>
      <w:szCs w:val="22"/>
    </w:rPr>
  </w:style>
  <w:style w:type="paragraph" w:customStyle="1" w:styleId="Point4letter">
    <w:name w:val="Point 4 (letter)"/>
    <w:basedOn w:val="Normal"/>
    <w:uiPriority w:val="99"/>
    <w:pPr>
      <w:numPr>
        <w:ilvl w:val="8"/>
        <w:numId w:val="8"/>
      </w:numPr>
      <w:spacing w:before="120" w:after="120"/>
      <w:jc w:val="both"/>
    </w:pPr>
    <w:rPr>
      <w:szCs w:val="22"/>
    </w:rPr>
  </w:style>
  <w:style w:type="paragraph" w:customStyle="1" w:styleId="Tiret2">
    <w:name w:val="Tiret 2"/>
    <w:basedOn w:val="Normal"/>
    <w:uiPriority w:val="99"/>
    <w:pPr>
      <w:numPr>
        <w:numId w:val="9"/>
      </w:numPr>
      <w:spacing w:before="120" w:after="120"/>
      <w:jc w:val="both"/>
    </w:pPr>
    <w:rPr>
      <w:szCs w:val="22"/>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
    <w:basedOn w:val="Normal"/>
    <w:link w:val="ListParagraphChar"/>
    <w:uiPriority w:val="99"/>
    <w:qFormat/>
    <w:pPr>
      <w:spacing w:after="200" w:line="276" w:lineRule="auto"/>
      <w:ind w:left="720"/>
      <w:contextualSpacing/>
    </w:pPr>
    <w:rPr>
      <w:rFonts w:ascii="Calibri" w:eastAsia="MS Mincho" w:hAnsi="Calibri"/>
      <w:sz w:val="22"/>
      <w:szCs w:val="20"/>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99"/>
    <w:locked/>
    <w:rPr>
      <w:rFonts w:ascii="Calibri" w:eastAsia="MS Mincho" w:hAnsi="Calibri"/>
      <w:sz w:val="22"/>
    </w:rPr>
  </w:style>
  <w:style w:type="character" w:styleId="CommentReference">
    <w:name w:val="annotation reference"/>
    <w:basedOn w:val="DefaultParagraphFont"/>
    <w:uiPriority w:val="99"/>
    <w:rPr>
      <w:rFonts w:cs="Times New Roman"/>
      <w:sz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cs="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cs="Times New Roman"/>
      <w:b/>
    </w:rPr>
  </w:style>
  <w:style w:type="paragraph" w:styleId="ListNumber5">
    <w:name w:val="List Number 5"/>
    <w:basedOn w:val="Normal"/>
    <w:uiPriority w:val="99"/>
    <w:pPr>
      <w:numPr>
        <w:numId w:val="1"/>
      </w:numPr>
      <w:tabs>
        <w:tab w:val="clear" w:pos="360"/>
        <w:tab w:val="num" w:pos="1492"/>
      </w:tabs>
      <w:ind w:left="1492"/>
      <w:contextualSpacing/>
    </w:pPr>
  </w:style>
  <w:style w:type="character" w:styleId="Strong">
    <w:name w:val="Strong"/>
    <w:basedOn w:val="DefaultParagraphFont"/>
    <w:uiPriority w:val="99"/>
    <w:qFormat/>
    <w:rPr>
      <w:rFonts w:cs="Times New Roman"/>
      <w:b/>
      <w:bCs/>
    </w:rPr>
  </w:style>
  <w:style w:type="paragraph" w:styleId="ListBullet3">
    <w:name w:val="List Bullet 3"/>
    <w:basedOn w:val="Normal"/>
    <w:uiPriority w:val="99"/>
    <w:pPr>
      <w:numPr>
        <w:numId w:val="2"/>
      </w:numPr>
      <w:tabs>
        <w:tab w:val="clear" w:pos="643"/>
        <w:tab w:val="num" w:pos="926"/>
      </w:tabs>
      <w:spacing w:before="120" w:after="120"/>
      <w:ind w:left="926"/>
      <w:contextualSpacing/>
      <w:jc w:val="both"/>
    </w:pPr>
    <w:rPr>
      <w:szCs w:val="22"/>
    </w:rPr>
  </w:style>
  <w:style w:type="paragraph" w:customStyle="1" w:styleId="Default">
    <w:name w:val="Default"/>
    <w:uiPriority w:val="99"/>
    <w:pPr>
      <w:autoSpaceDE w:val="0"/>
      <w:autoSpaceDN w:val="0"/>
      <w:adjustRightInd w:val="0"/>
    </w:pPr>
    <w:rPr>
      <w:color w:val="000000"/>
      <w:sz w:val="24"/>
      <w:szCs w:val="24"/>
    </w:rPr>
  </w:style>
  <w:style w:type="paragraph" w:customStyle="1" w:styleId="ManualHeading3">
    <w:name w:val="Manual Heading 3"/>
    <w:basedOn w:val="Normal"/>
    <w:next w:val="Normal"/>
    <w:uiPriority w:val="99"/>
    <w:pPr>
      <w:keepNext/>
      <w:tabs>
        <w:tab w:val="left" w:pos="850"/>
      </w:tabs>
      <w:spacing w:before="120" w:after="120"/>
      <w:ind w:left="850" w:hanging="850"/>
      <w:jc w:val="both"/>
      <w:outlineLvl w:val="2"/>
    </w:pPr>
    <w:rPr>
      <w:i/>
    </w:rPr>
  </w:style>
  <w:style w:type="paragraph" w:customStyle="1" w:styleId="Style1">
    <w:name w:val="Style1"/>
    <w:basedOn w:val="ManualHeading1"/>
    <w:autoRedefine/>
    <w:qFormat/>
    <w:pPr>
      <w:ind w:left="720" w:hanging="360"/>
    </w:pPr>
    <w:rPr>
      <w:noProof/>
    </w:rPr>
  </w:style>
  <w:style w:type="paragraph" w:customStyle="1" w:styleId="Style2">
    <w:name w:val="Style2"/>
    <w:basedOn w:val="ManualHeading2"/>
    <w:autoRedefine/>
    <w:qFormat/>
    <w:pPr>
      <w:numPr>
        <w:numId w:val="13"/>
      </w:numPr>
    </w:pPr>
  </w:style>
  <w:style w:type="paragraph" w:customStyle="1" w:styleId="Style3">
    <w:name w:val="Style3"/>
    <w:basedOn w:val="ManualHeading1"/>
    <w:autoRedefine/>
    <w:qFormat/>
    <w:pPr>
      <w:numPr>
        <w:numId w:val="12"/>
      </w:numPr>
    </w:pPr>
    <w:rPr>
      <w:noProof/>
    </w:rPr>
  </w:style>
  <w:style w:type="paragraph" w:customStyle="1" w:styleId="CM1">
    <w:name w:val="CM1"/>
    <w:basedOn w:val="Default"/>
    <w:next w:val="Default"/>
    <w:uiPriority w:val="99"/>
    <w:rPr>
      <w:rFonts w:ascii="KOJOD P+ Adv T T 5843c 571" w:hAnsi="KOJOD P+ Adv T T 5843c 571"/>
      <w:color w:val="auto"/>
    </w:rPr>
  </w:style>
  <w:style w:type="paragraph" w:customStyle="1" w:styleId="CM3">
    <w:name w:val="CM3"/>
    <w:basedOn w:val="Default"/>
    <w:next w:val="Default"/>
    <w:uiPriority w:val="99"/>
    <w:rPr>
      <w:rFonts w:ascii="KOJOD P+ Adv T T 5843c 571" w:hAnsi="KOJOD P+ Adv T T 5843c 571"/>
      <w:color w:val="auto"/>
    </w:rPr>
  </w:style>
  <w:style w:type="table" w:customStyle="1" w:styleId="TableGrid1">
    <w:name w:val="Table Grid1"/>
    <w:basedOn w:val="TableNormal"/>
    <w:next w:val="TableGrid"/>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bg-BG" w:eastAsia="bg-BG" w:bidi="bg-BG"/>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uiPriority="0" w:qFormat="1"/>
    <w:lsdException w:name="footnote reference" w:uiPriority="0"/>
    <w:lsdException w:name="List Bullet 3"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nhideWhenUsed="0" w:qFormat="1"/>
    <w:lsdException w:name="Emphasis" w:locked="1" w:semiHidden="0" w:unhideWhenUsed="0" w:qFormat="1"/>
    <w:lsdException w:name="No List" w:locked="1" w:semiHidden="0" w:unhideWhenUsed="0"/>
    <w:lsdException w:name="Table Grid"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Pr>
      <w:sz w:val="24"/>
      <w:szCs w:val="24"/>
    </w:rPr>
  </w:style>
  <w:style w:type="paragraph" w:styleId="Heading1">
    <w:name w:val="heading 1"/>
    <w:basedOn w:val="Normal"/>
    <w:next w:val="Normal"/>
    <w:link w:val="Heading1Char"/>
    <w:autoRedefine/>
    <w:uiPriority w:val="99"/>
    <w:qFormat/>
    <w:pPr>
      <w:keepNext/>
      <w:spacing w:before="240" w:after="120"/>
      <w:outlineLvl w:val="0"/>
    </w:pPr>
    <w:rPr>
      <w:rFonts w:ascii="Arial" w:hAnsi="Arial" w:cs="Arial"/>
      <w:b/>
      <w:bCs/>
      <w:kern w:val="32"/>
      <w:sz w:val="32"/>
      <w:szCs w:val="32"/>
    </w:rPr>
  </w:style>
  <w:style w:type="paragraph" w:styleId="Heading2">
    <w:name w:val="heading 2"/>
    <w:basedOn w:val="Normal"/>
    <w:next w:val="Normal"/>
    <w:link w:val="Heading2Char"/>
    <w:autoRedefine/>
    <w:uiPriority w:val="99"/>
    <w:qFormat/>
    <w:pPr>
      <w:keepNext/>
      <w:spacing w:before="240" w:after="120"/>
      <w:ind w:left="720" w:hanging="720"/>
      <w:outlineLvl w:val="1"/>
    </w:pPr>
    <w:rPr>
      <w:rFonts w:ascii="Arial" w:hAnsi="Arial" w:cs="Arial"/>
      <w:b/>
      <w:bCs/>
      <w:i/>
      <w:iCs/>
      <w:sz w:val="28"/>
      <w:szCs w:val="28"/>
    </w:rPr>
  </w:style>
  <w:style w:type="paragraph" w:styleId="Heading3">
    <w:name w:val="heading 3"/>
    <w:basedOn w:val="Normal"/>
    <w:next w:val="Normal"/>
    <w:link w:val="Heading3Char"/>
    <w:autoRedefine/>
    <w:uiPriority w:val="99"/>
    <w:qFormat/>
    <w:pPr>
      <w:keepNext/>
      <w:numPr>
        <w:ilvl w:val="2"/>
      </w:numPr>
      <w:tabs>
        <w:tab w:val="num" w:pos="850"/>
      </w:tabs>
      <w:spacing w:before="120" w:after="120"/>
      <w:ind w:left="850" w:hanging="850"/>
      <w:jc w:val="both"/>
      <w:outlineLvl w:val="2"/>
    </w:pPr>
    <w:rPr>
      <w:rFonts w:ascii="Arial" w:hAnsi="Arial" w:cs="Arial"/>
      <w:b/>
      <w:bCs/>
      <w:i/>
      <w:sz w:val="26"/>
      <w:szCs w:val="26"/>
    </w:rPr>
  </w:style>
  <w:style w:type="paragraph" w:styleId="Heading4">
    <w:name w:val="heading 4"/>
    <w:basedOn w:val="Normal"/>
    <w:next w:val="Normal"/>
    <w:link w:val="Heading4Char"/>
    <w:uiPriority w:val="99"/>
    <w:qFormat/>
    <w:pPr>
      <w:keepNext/>
      <w:numPr>
        <w:ilvl w:val="3"/>
      </w:numPr>
      <w:tabs>
        <w:tab w:val="num" w:pos="1030"/>
      </w:tabs>
      <w:spacing w:before="120" w:after="120"/>
      <w:ind w:left="1030" w:hanging="850"/>
      <w:jc w:val="both"/>
      <w:outlineLvl w:val="3"/>
    </w:pPr>
    <w:rPr>
      <w:b/>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bg-BG" w:eastAsia="bg-BG"/>
    </w:rPr>
  </w:style>
  <w:style w:type="character" w:customStyle="1" w:styleId="Heading2Char">
    <w:name w:val="Heading 2 Char"/>
    <w:basedOn w:val="DefaultParagraphFont"/>
    <w:link w:val="Heading2"/>
    <w:uiPriority w:val="99"/>
    <w:locked/>
    <w:rPr>
      <w:rFonts w:ascii="Cambria" w:hAnsi="Cambria" w:cs="Times New Roman"/>
      <w:b/>
      <w:bCs/>
      <w:i/>
      <w:iCs/>
      <w:sz w:val="28"/>
      <w:szCs w:val="28"/>
      <w:lang w:val="bg-BG" w:eastAsia="bg-BG"/>
    </w:rPr>
  </w:style>
  <w:style w:type="character" w:customStyle="1" w:styleId="Heading3Char">
    <w:name w:val="Heading 3 Char"/>
    <w:basedOn w:val="DefaultParagraphFont"/>
    <w:link w:val="Heading3"/>
    <w:uiPriority w:val="99"/>
    <w:locked/>
    <w:rPr>
      <w:rFonts w:ascii="Cambria" w:hAnsi="Cambria" w:cs="Times New Roman"/>
      <w:b/>
      <w:bCs/>
      <w:sz w:val="26"/>
      <w:szCs w:val="26"/>
      <w:lang w:val="bg-BG" w:eastAsia="bg-BG"/>
    </w:rPr>
  </w:style>
  <w:style w:type="character" w:customStyle="1" w:styleId="Heading4Char">
    <w:name w:val="Heading 4 Char"/>
    <w:basedOn w:val="DefaultParagraphFont"/>
    <w:link w:val="Heading4"/>
    <w:uiPriority w:val="99"/>
    <w:locked/>
    <w:rPr>
      <w:rFonts w:ascii="Calibri" w:hAnsi="Calibri" w:cs="Times New Roman"/>
      <w:b/>
      <w:bCs/>
      <w:sz w:val="28"/>
      <w:szCs w:val="28"/>
      <w:lang w:val="bg-BG" w:eastAsia="bg-BG"/>
    </w:rPr>
  </w:style>
  <w:style w:type="paragraph" w:styleId="Footer">
    <w:name w:val="footer"/>
    <w:basedOn w:val="Normal"/>
    <w:link w:val="FooterChar"/>
    <w:uiPriority w:val="99"/>
    <w:pPr>
      <w:tabs>
        <w:tab w:val="center" w:pos="4535"/>
        <w:tab w:val="right" w:pos="9071"/>
        <w:tab w:val="right" w:pos="9921"/>
      </w:tabs>
      <w:spacing w:before="360"/>
      <w:ind w:left="-850" w:right="-850"/>
    </w:pPr>
  </w:style>
  <w:style w:type="character" w:customStyle="1" w:styleId="FooterChar">
    <w:name w:val="Footer Char"/>
    <w:basedOn w:val="DefaultParagraphFont"/>
    <w:link w:val="Footer"/>
    <w:uiPriority w:val="99"/>
    <w:locked/>
    <w:rPr>
      <w:rFonts w:cs="Times New Roman"/>
      <w:sz w:val="24"/>
      <w:szCs w:val="24"/>
      <w:lang w:val="bg-BG" w:eastAsia="bg-BG"/>
    </w:rPr>
  </w:style>
  <w:style w:type="paragraph" w:styleId="FootnoteText">
    <w:name w:val="footnote text"/>
    <w:basedOn w:val="Normal"/>
    <w:link w:val="FootnoteTextChar"/>
    <w:uiPriority w:val="99"/>
    <w:pPr>
      <w:ind w:left="720" w:hanging="720"/>
      <w:jc w:val="both"/>
    </w:pPr>
    <w:rPr>
      <w:sz w:val="20"/>
      <w:szCs w:val="20"/>
    </w:rPr>
  </w:style>
  <w:style w:type="character" w:customStyle="1" w:styleId="FootnoteTextChar">
    <w:name w:val="Footnote Text Char"/>
    <w:basedOn w:val="DefaultParagraphFont"/>
    <w:link w:val="FootnoteText"/>
    <w:uiPriority w:val="99"/>
    <w:locked/>
    <w:rPr>
      <w:rFonts w:cs="Times New Roman"/>
      <w:lang w:eastAsia="bg-BG"/>
    </w:rPr>
  </w:style>
  <w:style w:type="paragraph" w:styleId="TOC1">
    <w:name w:val="toc 1"/>
    <w:basedOn w:val="Normal"/>
    <w:next w:val="Normal"/>
    <w:uiPriority w:val="39"/>
    <w:pPr>
      <w:spacing w:before="120" w:after="120"/>
    </w:pPr>
    <w:rPr>
      <w:b/>
      <w:bCs/>
      <w:caps/>
      <w:sz w:val="20"/>
      <w:szCs w:val="20"/>
    </w:rPr>
  </w:style>
  <w:style w:type="character" w:styleId="FootnoteReference">
    <w:name w:val="footnote reference"/>
    <w:aliases w:val="stylish,Footnote Reference Superscript,BVI fnr,Footnote symbol,Footnote symboFußnotenzeichen,Footnote sign,Footnote Reference Number,E FNZ,-E Fußnotenzeichen,Footnote#,Footnote,Times 10 Point,Exposant 3 Point,Ref,de nota al pie"/>
    <w:basedOn w:val="DefaultParagraphFont"/>
    <w:rPr>
      <w:rFonts w:cs="Times New Roman"/>
      <w:vertAlign w:val="superscript"/>
    </w:rPr>
  </w:style>
  <w:style w:type="paragraph" w:customStyle="1" w:styleId="Text1">
    <w:name w:val="Text 1"/>
    <w:basedOn w:val="Normal"/>
    <w:uiPriority w:val="99"/>
    <w:pPr>
      <w:spacing w:before="120" w:after="120"/>
      <w:ind w:left="850"/>
      <w:jc w:val="both"/>
    </w:pPr>
  </w:style>
  <w:style w:type="paragraph" w:customStyle="1" w:styleId="Tiret0">
    <w:name w:val="Tiret 0"/>
    <w:basedOn w:val="Normal"/>
    <w:uiPriority w:val="99"/>
    <w:pPr>
      <w:numPr>
        <w:numId w:val="3"/>
      </w:numPr>
      <w:spacing w:before="120" w:after="120"/>
      <w:jc w:val="both"/>
    </w:pPr>
  </w:style>
  <w:style w:type="paragraph" w:customStyle="1" w:styleId="ManualHeading1">
    <w:name w:val="Manual Heading 1"/>
    <w:basedOn w:val="Normal"/>
    <w:next w:val="Text1"/>
    <w:pPr>
      <w:keepNext/>
      <w:tabs>
        <w:tab w:val="left" w:pos="850"/>
      </w:tabs>
      <w:spacing w:before="360" w:after="120"/>
      <w:ind w:left="850" w:hanging="850"/>
      <w:jc w:val="both"/>
      <w:outlineLvl w:val="0"/>
    </w:pPr>
    <w:rPr>
      <w:b/>
      <w:smallCaps/>
    </w:rPr>
  </w:style>
  <w:style w:type="paragraph" w:customStyle="1" w:styleId="ManualHeading2">
    <w:name w:val="Manual Heading 2"/>
    <w:basedOn w:val="Normal"/>
    <w:next w:val="Normal"/>
    <w:pPr>
      <w:keepNext/>
      <w:numPr>
        <w:ilvl w:val="1"/>
        <w:numId w:val="5"/>
      </w:numPr>
      <w:spacing w:before="360" w:after="120"/>
      <w:jc w:val="both"/>
      <w:outlineLvl w:val="1"/>
    </w:pPr>
    <w:rPr>
      <w:b/>
      <w:noProof/>
    </w:rPr>
  </w:style>
  <w:style w:type="paragraph" w:customStyle="1" w:styleId="ListDash">
    <w:name w:val="List Dash"/>
    <w:basedOn w:val="Normal"/>
    <w:link w:val="ListDashChar"/>
    <w:uiPriority w:val="99"/>
    <w:pPr>
      <w:spacing w:before="120" w:after="120"/>
      <w:jc w:val="both"/>
    </w:pPr>
    <w:rPr>
      <w:szCs w:val="20"/>
    </w:rPr>
  </w:style>
  <w:style w:type="paragraph" w:styleId="TOCHeading">
    <w:name w:val="TOC Heading"/>
    <w:basedOn w:val="Normal"/>
    <w:next w:val="Normal"/>
    <w:uiPriority w:val="99"/>
    <w:qFormat/>
    <w:pPr>
      <w:spacing w:before="120" w:after="240"/>
      <w:jc w:val="center"/>
    </w:pPr>
    <w:rPr>
      <w:b/>
      <w:sz w:val="28"/>
    </w:rPr>
  </w:style>
  <w:style w:type="paragraph" w:customStyle="1" w:styleId="Prliminairetitre">
    <w:name w:val="Préliminaire titre"/>
    <w:basedOn w:val="Normal"/>
    <w:next w:val="Normal"/>
    <w:uiPriority w:val="99"/>
    <w:pPr>
      <w:spacing w:before="360" w:after="360"/>
      <w:jc w:val="center"/>
    </w:pPr>
    <w:rPr>
      <w:b/>
    </w:rPr>
  </w:style>
  <w:style w:type="paragraph" w:customStyle="1" w:styleId="Prliminairetype">
    <w:name w:val="Préliminaire type"/>
    <w:basedOn w:val="Normal"/>
    <w:next w:val="Normal"/>
    <w:uiPriority w:val="99"/>
    <w:pPr>
      <w:spacing w:before="360"/>
      <w:jc w:val="center"/>
    </w:pPr>
    <w:rPr>
      <w:b/>
    </w:rPr>
  </w:style>
  <w:style w:type="character" w:styleId="Hyperlink">
    <w:name w:val="Hyperlink"/>
    <w:basedOn w:val="DefaultParagraphFont"/>
    <w:uiPriority w:val="99"/>
    <w:rPr>
      <w:rFonts w:cs="Times New Roman"/>
      <w:color w:val="0000FF"/>
      <w:u w:val="single"/>
    </w:rPr>
  </w:style>
  <w:style w:type="character" w:customStyle="1" w:styleId="Marker">
    <w:name w:val="Marker"/>
    <w:uiPriority w:val="99"/>
    <w:rPr>
      <w:color w:val="0000FF"/>
      <w:shd w:val="clear" w:color="auto" w:fill="auto"/>
    </w:rPr>
  </w:style>
  <w:style w:type="paragraph" w:customStyle="1" w:styleId="Pagedecouverture">
    <w:name w:val="Page de couverture"/>
    <w:basedOn w:val="Normal"/>
    <w:next w:val="Normal"/>
    <w:uiPriority w:val="99"/>
    <w:pPr>
      <w:spacing w:before="120" w:after="120"/>
      <w:jc w:val="both"/>
    </w:p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locked/>
    <w:rPr>
      <w:rFonts w:cs="Times New Roman"/>
      <w:sz w:val="24"/>
      <w:szCs w:val="24"/>
      <w:lang w:val="bg-BG" w:eastAsia="bg-BG"/>
    </w:rPr>
  </w:style>
  <w:style w:type="paragraph" w:customStyle="1" w:styleId="FooterCoverPage">
    <w:name w:val="Footer Cover Page"/>
    <w:basedOn w:val="Normal"/>
    <w:uiPriority w:val="99"/>
    <w:pPr>
      <w:tabs>
        <w:tab w:val="center" w:pos="4535"/>
        <w:tab w:val="right" w:pos="9071"/>
        <w:tab w:val="right" w:pos="9921"/>
      </w:tabs>
      <w:spacing w:before="360"/>
      <w:ind w:left="-850" w:right="-850"/>
    </w:pPr>
  </w:style>
  <w:style w:type="paragraph" w:customStyle="1" w:styleId="HeaderCoverPage">
    <w:name w:val="Header Cover Page"/>
    <w:basedOn w:val="Normal"/>
    <w:uiPriority w:val="99"/>
    <w:pPr>
      <w:tabs>
        <w:tab w:val="center" w:pos="4535"/>
        <w:tab w:val="right" w:pos="9071"/>
      </w:tabs>
      <w:spacing w:after="120"/>
      <w:jc w:val="both"/>
    </w:pPr>
  </w:style>
  <w:style w:type="paragraph" w:styleId="TOC2">
    <w:name w:val="toc 2"/>
    <w:basedOn w:val="Normal"/>
    <w:next w:val="Normal"/>
    <w:autoRedefine/>
    <w:uiPriority w:val="39"/>
    <w:pPr>
      <w:tabs>
        <w:tab w:val="left" w:pos="720"/>
        <w:tab w:val="right" w:leader="dot" w:pos="9061"/>
      </w:tabs>
      <w:ind w:left="709" w:hanging="469"/>
    </w:pPr>
    <w:rPr>
      <w:smallCaps/>
      <w:sz w:val="20"/>
      <w:szCs w:val="20"/>
    </w:rPr>
  </w:style>
  <w:style w:type="paragraph" w:styleId="TOC3">
    <w:name w:val="toc 3"/>
    <w:basedOn w:val="Normal"/>
    <w:next w:val="Normal"/>
    <w:autoRedefine/>
    <w:uiPriority w:val="39"/>
    <w:pPr>
      <w:tabs>
        <w:tab w:val="left" w:pos="1200"/>
        <w:tab w:val="right" w:leader="dot" w:pos="9061"/>
      </w:tabs>
      <w:ind w:left="1276" w:hanging="796"/>
    </w:pPr>
    <w:rPr>
      <w:i/>
      <w:iCs/>
      <w:sz w:val="20"/>
      <w:szCs w:val="20"/>
    </w:rPr>
  </w:style>
  <w:style w:type="paragraph" w:styleId="TOC4">
    <w:name w:val="toc 4"/>
    <w:basedOn w:val="Normal"/>
    <w:next w:val="Normal"/>
    <w:autoRedefine/>
    <w:uiPriority w:val="99"/>
    <w:semiHidden/>
    <w:pPr>
      <w:ind w:left="720"/>
    </w:pPr>
    <w:rPr>
      <w:sz w:val="18"/>
      <w:szCs w:val="18"/>
    </w:rPr>
  </w:style>
  <w:style w:type="paragraph" w:styleId="TOC5">
    <w:name w:val="toc 5"/>
    <w:basedOn w:val="Normal"/>
    <w:next w:val="Normal"/>
    <w:autoRedefine/>
    <w:uiPriority w:val="99"/>
    <w:semiHidden/>
    <w:pPr>
      <w:ind w:left="960"/>
    </w:pPr>
    <w:rPr>
      <w:sz w:val="18"/>
      <w:szCs w:val="18"/>
    </w:rPr>
  </w:style>
  <w:style w:type="paragraph" w:styleId="TOC6">
    <w:name w:val="toc 6"/>
    <w:basedOn w:val="Normal"/>
    <w:next w:val="Normal"/>
    <w:autoRedefine/>
    <w:uiPriority w:val="99"/>
    <w:semiHidden/>
    <w:pPr>
      <w:ind w:left="1200"/>
    </w:pPr>
    <w:rPr>
      <w:sz w:val="18"/>
      <w:szCs w:val="18"/>
    </w:rPr>
  </w:style>
  <w:style w:type="paragraph" w:styleId="TOC7">
    <w:name w:val="toc 7"/>
    <w:basedOn w:val="Normal"/>
    <w:next w:val="Normal"/>
    <w:autoRedefine/>
    <w:uiPriority w:val="99"/>
    <w:semiHidden/>
    <w:pPr>
      <w:ind w:left="1440"/>
    </w:pPr>
    <w:rPr>
      <w:sz w:val="18"/>
      <w:szCs w:val="18"/>
    </w:rPr>
  </w:style>
  <w:style w:type="paragraph" w:styleId="TOC8">
    <w:name w:val="toc 8"/>
    <w:basedOn w:val="Normal"/>
    <w:next w:val="Normal"/>
    <w:autoRedefine/>
    <w:uiPriority w:val="99"/>
    <w:semiHidden/>
    <w:pPr>
      <w:ind w:left="1680"/>
    </w:pPr>
    <w:rPr>
      <w:sz w:val="18"/>
      <w:szCs w:val="18"/>
    </w:rPr>
  </w:style>
  <w:style w:type="paragraph" w:styleId="TOC9">
    <w:name w:val="toc 9"/>
    <w:basedOn w:val="Normal"/>
    <w:next w:val="Normal"/>
    <w:autoRedefine/>
    <w:uiPriority w:val="99"/>
    <w:semiHidden/>
    <w:pPr>
      <w:ind w:left="1920"/>
    </w:pPr>
    <w:rPr>
      <w:sz w:val="18"/>
      <w:szCs w:val="18"/>
    </w:rPr>
  </w:style>
  <w:style w:type="paragraph" w:styleId="ListBullet">
    <w:name w:val="List Bullet"/>
    <w:basedOn w:val="Normal"/>
    <w:uiPriority w:val="99"/>
    <w:pPr>
      <w:numPr>
        <w:numId w:val="4"/>
      </w:numPr>
      <w:spacing w:before="120" w:after="120"/>
      <w:jc w:val="both"/>
    </w:pPr>
  </w:style>
  <w:style w:type="paragraph" w:customStyle="1" w:styleId="ListDash2">
    <w:name w:val="List Dash 2"/>
    <w:basedOn w:val="Normal"/>
    <w:uiPriority w:val="99"/>
    <w:pPr>
      <w:tabs>
        <w:tab w:val="num" w:pos="1134"/>
      </w:tabs>
      <w:spacing w:before="120" w:after="120"/>
      <w:ind w:left="1134" w:hanging="283"/>
      <w:jc w:val="both"/>
    </w:pPr>
  </w:style>
  <w:style w:type="paragraph" w:customStyle="1" w:styleId="ListBullet1">
    <w:name w:val="List Bullet 1"/>
    <w:basedOn w:val="Text1"/>
    <w:uiPriority w:val="99"/>
    <w:pPr>
      <w:tabs>
        <w:tab w:val="num" w:pos="765"/>
      </w:tabs>
      <w:spacing w:before="0" w:after="240"/>
      <w:ind w:left="765" w:hanging="283"/>
    </w:pPr>
    <w:rPr>
      <w:szCs w:val="20"/>
    </w:rPr>
  </w:style>
  <w:style w:type="paragraph" w:styleId="ListBullet2">
    <w:name w:val="List Bullet 2"/>
    <w:basedOn w:val="Normal"/>
    <w:uiPriority w:val="99"/>
    <w:pPr>
      <w:numPr>
        <w:numId w:val="6"/>
      </w:numPr>
      <w:spacing w:after="240"/>
      <w:jc w:val="both"/>
    </w:pPr>
    <w:rPr>
      <w:szCs w:val="20"/>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Pr>
      <w:rFonts w:cs="Times New Roman"/>
      <w:color w:val="800080"/>
      <w:u w:val="single"/>
    </w:rPr>
  </w:style>
  <w:style w:type="paragraph" w:customStyle="1" w:styleId="Typedudocument">
    <w:name w:val="Type du document"/>
    <w:basedOn w:val="Normal"/>
    <w:next w:val="Titreobjet"/>
    <w:uiPriority w:val="99"/>
    <w:pPr>
      <w:spacing w:before="360"/>
      <w:jc w:val="center"/>
    </w:pPr>
    <w:rPr>
      <w:b/>
    </w:rPr>
  </w:style>
  <w:style w:type="paragraph" w:customStyle="1" w:styleId="Titreobjet">
    <w:name w:val="Titre objet"/>
    <w:basedOn w:val="Normal"/>
    <w:next w:val="Normal"/>
    <w:uiPriority w:val="99"/>
    <w:pPr>
      <w:spacing w:before="360" w:after="360"/>
      <w:jc w:val="center"/>
    </w:pPr>
    <w:rPr>
      <w:b/>
    </w:rPr>
  </w:style>
  <w:style w:type="character" w:styleId="Emphasis">
    <w:name w:val="Emphasis"/>
    <w:basedOn w:val="DefaultParagraphFont"/>
    <w:uiPriority w:val="99"/>
    <w:qFormat/>
    <w:rPr>
      <w:rFonts w:cs="Times New Roman"/>
      <w:i/>
    </w:rPr>
  </w:style>
  <w:style w:type="paragraph" w:styleId="NormalWeb">
    <w:name w:val="Normal (Web)"/>
    <w:basedOn w:val="Normal"/>
    <w:uiPriority w:val="99"/>
    <w:pPr>
      <w:spacing w:before="100" w:beforeAutospacing="1" w:after="100" w:afterAutospacing="1"/>
    </w:pPr>
  </w:style>
  <w:style w:type="paragraph" w:customStyle="1" w:styleId="Text2">
    <w:name w:val="Text 2"/>
    <w:basedOn w:val="Normal"/>
    <w:uiPriority w:val="99"/>
    <w:pPr>
      <w:spacing w:before="120" w:after="120"/>
      <w:ind w:left="850"/>
      <w:jc w:val="both"/>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bg-BG" w:eastAsia="bg-BG"/>
    </w:rPr>
  </w:style>
  <w:style w:type="paragraph" w:styleId="ListNumber">
    <w:name w:val="List Number"/>
    <w:basedOn w:val="Normal"/>
    <w:uiPriority w:val="99"/>
    <w:pPr>
      <w:numPr>
        <w:numId w:val="7"/>
      </w:numPr>
      <w:spacing w:before="120" w:after="120"/>
      <w:jc w:val="both"/>
    </w:pPr>
  </w:style>
  <w:style w:type="paragraph" w:customStyle="1" w:styleId="ListNumberLevel2">
    <w:name w:val="List Number (Level 2)"/>
    <w:basedOn w:val="Normal"/>
    <w:uiPriority w:val="99"/>
    <w:pPr>
      <w:numPr>
        <w:ilvl w:val="1"/>
        <w:numId w:val="7"/>
      </w:numPr>
      <w:spacing w:before="120" w:after="120"/>
      <w:jc w:val="both"/>
    </w:pPr>
  </w:style>
  <w:style w:type="paragraph" w:customStyle="1" w:styleId="ListNumberLevel3">
    <w:name w:val="List Number (Level 3)"/>
    <w:basedOn w:val="Normal"/>
    <w:uiPriority w:val="99"/>
    <w:pPr>
      <w:numPr>
        <w:ilvl w:val="2"/>
        <w:numId w:val="7"/>
      </w:numPr>
      <w:spacing w:before="120" w:after="120"/>
      <w:jc w:val="both"/>
    </w:pPr>
  </w:style>
  <w:style w:type="paragraph" w:customStyle="1" w:styleId="ListNumberLevel4">
    <w:name w:val="List Number (Level 4)"/>
    <w:basedOn w:val="Normal"/>
    <w:uiPriority w:val="99"/>
    <w:pPr>
      <w:numPr>
        <w:ilvl w:val="3"/>
        <w:numId w:val="7"/>
      </w:numPr>
      <w:spacing w:before="120" w:after="120"/>
      <w:jc w:val="both"/>
    </w:pPr>
  </w:style>
  <w:style w:type="character" w:customStyle="1" w:styleId="ListDashChar">
    <w:name w:val="List Dash Char"/>
    <w:link w:val="ListDash"/>
    <w:uiPriority w:val="99"/>
    <w:locked/>
    <w:rPr>
      <w:sz w:val="24"/>
      <w:lang w:eastAsia="bg-BG"/>
    </w:rPr>
  </w:style>
  <w:style w:type="paragraph" w:customStyle="1" w:styleId="StyleManualHeading2Italic">
    <w:name w:val="Style Manual Heading 2 + Italic"/>
    <w:basedOn w:val="ManualHeading2"/>
    <w:autoRedefine/>
    <w:uiPriority w:val="99"/>
    <w:pPr>
      <w:numPr>
        <w:ilvl w:val="0"/>
        <w:numId w:val="0"/>
      </w:numPr>
      <w:spacing w:before="160" w:after="160"/>
    </w:pPr>
    <w:rPr>
      <w:bCs/>
      <w:i/>
      <w:iCs/>
    </w:rPr>
  </w:style>
  <w:style w:type="paragraph" w:customStyle="1" w:styleId="NormalCentered">
    <w:name w:val="Normal Centered"/>
    <w:basedOn w:val="Normal"/>
    <w:uiPriority w:val="99"/>
    <w:pPr>
      <w:spacing w:before="120" w:after="120"/>
      <w:jc w:val="center"/>
    </w:pPr>
  </w:style>
  <w:style w:type="paragraph" w:customStyle="1" w:styleId="NormalRight">
    <w:name w:val="Normal Right"/>
    <w:basedOn w:val="Normal"/>
    <w:uiPriority w:val="99"/>
    <w:pPr>
      <w:spacing w:before="120" w:after="120"/>
      <w:jc w:val="right"/>
    </w:pPr>
  </w:style>
  <w:style w:type="paragraph" w:customStyle="1" w:styleId="NormalLeft">
    <w:name w:val="Normal Left"/>
    <w:basedOn w:val="Normal"/>
    <w:uiPriority w:val="99"/>
    <w:pPr>
      <w:spacing w:before="120" w:after="120"/>
    </w:pPr>
  </w:style>
  <w:style w:type="paragraph" w:styleId="Revision">
    <w:name w:val="Revision"/>
    <w:hidden/>
    <w:uiPriority w:val="99"/>
    <w:semiHidden/>
    <w:rPr>
      <w:sz w:val="24"/>
      <w:szCs w:val="24"/>
    </w:rPr>
  </w:style>
  <w:style w:type="paragraph" w:customStyle="1" w:styleId="Statut">
    <w:name w:val="Statut"/>
    <w:basedOn w:val="Normal"/>
    <w:next w:val="Typedudocument"/>
    <w:uiPriority w:val="99"/>
    <w:pPr>
      <w:spacing w:before="360"/>
      <w:jc w:val="center"/>
    </w:pPr>
    <w:rPr>
      <w:szCs w:val="22"/>
    </w:rPr>
  </w:style>
  <w:style w:type="paragraph" w:customStyle="1" w:styleId="Footnoter">
    <w:name w:val="Footnote r"/>
    <w:basedOn w:val="Normal"/>
    <w:uiPriority w:val="99"/>
    <w:pPr>
      <w:shd w:val="clear" w:color="auto" w:fill="F2F8FB"/>
      <w:spacing w:before="100" w:beforeAutospacing="1" w:after="100" w:afterAutospacing="1"/>
    </w:pPr>
    <w:rPr>
      <w:szCs w:val="22"/>
    </w:rPr>
  </w:style>
  <w:style w:type="character" w:customStyle="1" w:styleId="hps">
    <w:name w:val="hps"/>
    <w:uiPriority w:val="99"/>
  </w:style>
  <w:style w:type="paragraph" w:customStyle="1" w:styleId="Point0number">
    <w:name w:val="Point 0 (number)"/>
    <w:basedOn w:val="Normal"/>
    <w:uiPriority w:val="99"/>
    <w:pPr>
      <w:numPr>
        <w:numId w:val="8"/>
      </w:numPr>
      <w:spacing w:before="120" w:after="120"/>
      <w:jc w:val="both"/>
    </w:pPr>
    <w:rPr>
      <w:szCs w:val="22"/>
    </w:rPr>
  </w:style>
  <w:style w:type="paragraph" w:customStyle="1" w:styleId="Point1number">
    <w:name w:val="Point 1 (number)"/>
    <w:basedOn w:val="Normal"/>
    <w:uiPriority w:val="99"/>
    <w:pPr>
      <w:numPr>
        <w:ilvl w:val="2"/>
        <w:numId w:val="8"/>
      </w:numPr>
      <w:spacing w:before="120" w:after="120"/>
      <w:jc w:val="both"/>
    </w:pPr>
    <w:rPr>
      <w:szCs w:val="22"/>
    </w:rPr>
  </w:style>
  <w:style w:type="paragraph" w:customStyle="1" w:styleId="Point2number">
    <w:name w:val="Point 2 (number)"/>
    <w:basedOn w:val="Normal"/>
    <w:uiPriority w:val="99"/>
    <w:pPr>
      <w:numPr>
        <w:ilvl w:val="4"/>
        <w:numId w:val="8"/>
      </w:numPr>
      <w:spacing w:before="120" w:after="120"/>
      <w:jc w:val="both"/>
    </w:pPr>
    <w:rPr>
      <w:szCs w:val="22"/>
    </w:rPr>
  </w:style>
  <w:style w:type="paragraph" w:customStyle="1" w:styleId="Point3number">
    <w:name w:val="Point 3 (number)"/>
    <w:basedOn w:val="Normal"/>
    <w:uiPriority w:val="99"/>
    <w:pPr>
      <w:numPr>
        <w:ilvl w:val="6"/>
        <w:numId w:val="8"/>
      </w:numPr>
      <w:spacing w:before="120" w:after="120"/>
      <w:jc w:val="both"/>
    </w:pPr>
    <w:rPr>
      <w:szCs w:val="22"/>
    </w:rPr>
  </w:style>
  <w:style w:type="paragraph" w:customStyle="1" w:styleId="Point0letter">
    <w:name w:val="Point 0 (letter)"/>
    <w:basedOn w:val="Normal"/>
    <w:uiPriority w:val="99"/>
    <w:pPr>
      <w:numPr>
        <w:ilvl w:val="1"/>
        <w:numId w:val="8"/>
      </w:numPr>
      <w:spacing w:before="120" w:after="120"/>
      <w:jc w:val="both"/>
    </w:pPr>
    <w:rPr>
      <w:szCs w:val="22"/>
    </w:rPr>
  </w:style>
  <w:style w:type="paragraph" w:customStyle="1" w:styleId="Point1letter">
    <w:name w:val="Point 1 (letter)"/>
    <w:basedOn w:val="Normal"/>
    <w:uiPriority w:val="99"/>
    <w:pPr>
      <w:numPr>
        <w:ilvl w:val="3"/>
        <w:numId w:val="8"/>
      </w:numPr>
      <w:spacing w:before="120" w:after="120"/>
      <w:jc w:val="both"/>
    </w:pPr>
    <w:rPr>
      <w:szCs w:val="22"/>
    </w:rPr>
  </w:style>
  <w:style w:type="paragraph" w:customStyle="1" w:styleId="Point2letter">
    <w:name w:val="Point 2 (letter)"/>
    <w:basedOn w:val="Normal"/>
    <w:uiPriority w:val="99"/>
    <w:pPr>
      <w:numPr>
        <w:ilvl w:val="5"/>
        <w:numId w:val="8"/>
      </w:numPr>
      <w:spacing w:before="120" w:after="120"/>
      <w:jc w:val="both"/>
    </w:pPr>
    <w:rPr>
      <w:szCs w:val="22"/>
    </w:rPr>
  </w:style>
  <w:style w:type="paragraph" w:customStyle="1" w:styleId="Point3letter">
    <w:name w:val="Point 3 (letter)"/>
    <w:basedOn w:val="Normal"/>
    <w:uiPriority w:val="99"/>
    <w:pPr>
      <w:numPr>
        <w:ilvl w:val="7"/>
        <w:numId w:val="8"/>
      </w:numPr>
      <w:spacing w:before="120" w:after="120"/>
      <w:jc w:val="both"/>
    </w:pPr>
    <w:rPr>
      <w:szCs w:val="22"/>
    </w:rPr>
  </w:style>
  <w:style w:type="paragraph" w:customStyle="1" w:styleId="Point4letter">
    <w:name w:val="Point 4 (letter)"/>
    <w:basedOn w:val="Normal"/>
    <w:uiPriority w:val="99"/>
    <w:pPr>
      <w:numPr>
        <w:ilvl w:val="8"/>
        <w:numId w:val="8"/>
      </w:numPr>
      <w:spacing w:before="120" w:after="120"/>
      <w:jc w:val="both"/>
    </w:pPr>
    <w:rPr>
      <w:szCs w:val="22"/>
    </w:rPr>
  </w:style>
  <w:style w:type="paragraph" w:customStyle="1" w:styleId="Tiret2">
    <w:name w:val="Tiret 2"/>
    <w:basedOn w:val="Normal"/>
    <w:uiPriority w:val="99"/>
    <w:pPr>
      <w:numPr>
        <w:numId w:val="9"/>
      </w:numPr>
      <w:spacing w:before="120" w:after="120"/>
      <w:jc w:val="both"/>
    </w:pPr>
    <w:rPr>
      <w:szCs w:val="22"/>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
    <w:basedOn w:val="Normal"/>
    <w:link w:val="ListParagraphChar"/>
    <w:uiPriority w:val="99"/>
    <w:qFormat/>
    <w:pPr>
      <w:spacing w:after="200" w:line="276" w:lineRule="auto"/>
      <w:ind w:left="720"/>
      <w:contextualSpacing/>
    </w:pPr>
    <w:rPr>
      <w:rFonts w:ascii="Calibri" w:eastAsia="MS Mincho" w:hAnsi="Calibri"/>
      <w:sz w:val="22"/>
      <w:szCs w:val="20"/>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99"/>
    <w:locked/>
    <w:rPr>
      <w:rFonts w:ascii="Calibri" w:eastAsia="MS Mincho" w:hAnsi="Calibri"/>
      <w:sz w:val="22"/>
    </w:rPr>
  </w:style>
  <w:style w:type="character" w:styleId="CommentReference">
    <w:name w:val="annotation reference"/>
    <w:basedOn w:val="DefaultParagraphFont"/>
    <w:uiPriority w:val="99"/>
    <w:rPr>
      <w:rFonts w:cs="Times New Roman"/>
      <w:sz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cs="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cs="Times New Roman"/>
      <w:b/>
    </w:rPr>
  </w:style>
  <w:style w:type="paragraph" w:styleId="ListNumber5">
    <w:name w:val="List Number 5"/>
    <w:basedOn w:val="Normal"/>
    <w:uiPriority w:val="99"/>
    <w:pPr>
      <w:numPr>
        <w:numId w:val="1"/>
      </w:numPr>
      <w:tabs>
        <w:tab w:val="clear" w:pos="360"/>
        <w:tab w:val="num" w:pos="1492"/>
      </w:tabs>
      <w:ind w:left="1492"/>
      <w:contextualSpacing/>
    </w:pPr>
  </w:style>
  <w:style w:type="character" w:styleId="Strong">
    <w:name w:val="Strong"/>
    <w:basedOn w:val="DefaultParagraphFont"/>
    <w:uiPriority w:val="99"/>
    <w:qFormat/>
    <w:rPr>
      <w:rFonts w:cs="Times New Roman"/>
      <w:b/>
      <w:bCs/>
    </w:rPr>
  </w:style>
  <w:style w:type="paragraph" w:styleId="ListBullet3">
    <w:name w:val="List Bullet 3"/>
    <w:basedOn w:val="Normal"/>
    <w:uiPriority w:val="99"/>
    <w:pPr>
      <w:numPr>
        <w:numId w:val="2"/>
      </w:numPr>
      <w:tabs>
        <w:tab w:val="clear" w:pos="643"/>
        <w:tab w:val="num" w:pos="926"/>
      </w:tabs>
      <w:spacing w:before="120" w:after="120"/>
      <w:ind w:left="926"/>
      <w:contextualSpacing/>
      <w:jc w:val="both"/>
    </w:pPr>
    <w:rPr>
      <w:szCs w:val="22"/>
    </w:rPr>
  </w:style>
  <w:style w:type="paragraph" w:customStyle="1" w:styleId="Default">
    <w:name w:val="Default"/>
    <w:uiPriority w:val="99"/>
    <w:pPr>
      <w:autoSpaceDE w:val="0"/>
      <w:autoSpaceDN w:val="0"/>
      <w:adjustRightInd w:val="0"/>
    </w:pPr>
    <w:rPr>
      <w:color w:val="000000"/>
      <w:sz w:val="24"/>
      <w:szCs w:val="24"/>
    </w:rPr>
  </w:style>
  <w:style w:type="paragraph" w:customStyle="1" w:styleId="ManualHeading3">
    <w:name w:val="Manual Heading 3"/>
    <w:basedOn w:val="Normal"/>
    <w:next w:val="Normal"/>
    <w:uiPriority w:val="99"/>
    <w:pPr>
      <w:keepNext/>
      <w:tabs>
        <w:tab w:val="left" w:pos="850"/>
      </w:tabs>
      <w:spacing w:before="120" w:after="120"/>
      <w:ind w:left="850" w:hanging="850"/>
      <w:jc w:val="both"/>
      <w:outlineLvl w:val="2"/>
    </w:pPr>
    <w:rPr>
      <w:i/>
    </w:rPr>
  </w:style>
  <w:style w:type="paragraph" w:customStyle="1" w:styleId="Style1">
    <w:name w:val="Style1"/>
    <w:basedOn w:val="ManualHeading1"/>
    <w:autoRedefine/>
    <w:qFormat/>
    <w:pPr>
      <w:ind w:left="720" w:hanging="360"/>
    </w:pPr>
    <w:rPr>
      <w:noProof/>
    </w:rPr>
  </w:style>
  <w:style w:type="paragraph" w:customStyle="1" w:styleId="Style2">
    <w:name w:val="Style2"/>
    <w:basedOn w:val="ManualHeading2"/>
    <w:autoRedefine/>
    <w:qFormat/>
    <w:pPr>
      <w:numPr>
        <w:numId w:val="13"/>
      </w:numPr>
    </w:pPr>
  </w:style>
  <w:style w:type="paragraph" w:customStyle="1" w:styleId="Style3">
    <w:name w:val="Style3"/>
    <w:basedOn w:val="ManualHeading1"/>
    <w:autoRedefine/>
    <w:qFormat/>
    <w:pPr>
      <w:numPr>
        <w:numId w:val="12"/>
      </w:numPr>
    </w:pPr>
    <w:rPr>
      <w:noProof/>
    </w:rPr>
  </w:style>
  <w:style w:type="paragraph" w:customStyle="1" w:styleId="CM1">
    <w:name w:val="CM1"/>
    <w:basedOn w:val="Default"/>
    <w:next w:val="Default"/>
    <w:uiPriority w:val="99"/>
    <w:rPr>
      <w:rFonts w:ascii="KOJOD P+ Adv T T 5843c 571" w:hAnsi="KOJOD P+ Adv T T 5843c 571"/>
      <w:color w:val="auto"/>
    </w:rPr>
  </w:style>
  <w:style w:type="paragraph" w:customStyle="1" w:styleId="CM3">
    <w:name w:val="CM3"/>
    <w:basedOn w:val="Default"/>
    <w:next w:val="Default"/>
    <w:uiPriority w:val="99"/>
    <w:rPr>
      <w:rFonts w:ascii="KOJOD P+ Adv T T 5843c 571" w:hAnsi="KOJOD P+ Adv T T 5843c 571"/>
      <w:color w:val="auto"/>
    </w:rPr>
  </w:style>
  <w:style w:type="table" w:customStyle="1" w:styleId="TableGrid1">
    <w:name w:val="Table Grid1"/>
    <w:basedOn w:val="TableNormal"/>
    <w:next w:val="TableGrid"/>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87576">
      <w:bodyDiv w:val="1"/>
      <w:marLeft w:val="0"/>
      <w:marRight w:val="0"/>
      <w:marTop w:val="0"/>
      <w:marBottom w:val="0"/>
      <w:divBdr>
        <w:top w:val="none" w:sz="0" w:space="0" w:color="auto"/>
        <w:left w:val="none" w:sz="0" w:space="0" w:color="auto"/>
        <w:bottom w:val="none" w:sz="0" w:space="0" w:color="auto"/>
        <w:right w:val="none" w:sz="0" w:space="0" w:color="auto"/>
      </w:divBdr>
    </w:div>
    <w:div w:id="259334016">
      <w:marLeft w:val="0"/>
      <w:marRight w:val="0"/>
      <w:marTop w:val="0"/>
      <w:marBottom w:val="0"/>
      <w:divBdr>
        <w:top w:val="none" w:sz="0" w:space="0" w:color="auto"/>
        <w:left w:val="none" w:sz="0" w:space="0" w:color="auto"/>
        <w:bottom w:val="none" w:sz="0" w:space="0" w:color="auto"/>
        <w:right w:val="none" w:sz="0" w:space="0" w:color="auto"/>
      </w:divBdr>
    </w:div>
    <w:div w:id="259334017">
      <w:marLeft w:val="0"/>
      <w:marRight w:val="0"/>
      <w:marTop w:val="0"/>
      <w:marBottom w:val="0"/>
      <w:divBdr>
        <w:top w:val="none" w:sz="0" w:space="0" w:color="auto"/>
        <w:left w:val="none" w:sz="0" w:space="0" w:color="auto"/>
        <w:bottom w:val="none" w:sz="0" w:space="0" w:color="auto"/>
        <w:right w:val="none" w:sz="0" w:space="0" w:color="auto"/>
      </w:divBdr>
      <w:divsChild>
        <w:div w:id="259334065">
          <w:marLeft w:val="0"/>
          <w:marRight w:val="0"/>
          <w:marTop w:val="0"/>
          <w:marBottom w:val="0"/>
          <w:divBdr>
            <w:top w:val="none" w:sz="0" w:space="0" w:color="auto"/>
            <w:left w:val="none" w:sz="0" w:space="0" w:color="auto"/>
            <w:bottom w:val="none" w:sz="0" w:space="0" w:color="auto"/>
            <w:right w:val="none" w:sz="0" w:space="0" w:color="auto"/>
          </w:divBdr>
          <w:divsChild>
            <w:div w:id="259334063">
              <w:marLeft w:val="0"/>
              <w:marRight w:val="0"/>
              <w:marTop w:val="0"/>
              <w:marBottom w:val="0"/>
              <w:divBdr>
                <w:top w:val="none" w:sz="0" w:space="0" w:color="auto"/>
                <w:left w:val="none" w:sz="0" w:space="0" w:color="auto"/>
                <w:bottom w:val="none" w:sz="0" w:space="0" w:color="auto"/>
                <w:right w:val="none" w:sz="0" w:space="0" w:color="auto"/>
              </w:divBdr>
              <w:divsChild>
                <w:div w:id="259334045">
                  <w:marLeft w:val="0"/>
                  <w:marRight w:val="0"/>
                  <w:marTop w:val="0"/>
                  <w:marBottom w:val="0"/>
                  <w:divBdr>
                    <w:top w:val="none" w:sz="0" w:space="0" w:color="auto"/>
                    <w:left w:val="none" w:sz="0" w:space="0" w:color="auto"/>
                    <w:bottom w:val="none" w:sz="0" w:space="0" w:color="auto"/>
                    <w:right w:val="none" w:sz="0" w:space="0" w:color="auto"/>
                  </w:divBdr>
                  <w:divsChild>
                    <w:div w:id="259334048">
                      <w:marLeft w:val="1"/>
                      <w:marRight w:val="1"/>
                      <w:marTop w:val="0"/>
                      <w:marBottom w:val="0"/>
                      <w:divBdr>
                        <w:top w:val="none" w:sz="0" w:space="0" w:color="auto"/>
                        <w:left w:val="none" w:sz="0" w:space="0" w:color="auto"/>
                        <w:bottom w:val="none" w:sz="0" w:space="0" w:color="auto"/>
                        <w:right w:val="none" w:sz="0" w:space="0" w:color="auto"/>
                      </w:divBdr>
                      <w:divsChild>
                        <w:div w:id="259334064">
                          <w:marLeft w:val="0"/>
                          <w:marRight w:val="0"/>
                          <w:marTop w:val="0"/>
                          <w:marBottom w:val="0"/>
                          <w:divBdr>
                            <w:top w:val="none" w:sz="0" w:space="0" w:color="auto"/>
                            <w:left w:val="none" w:sz="0" w:space="0" w:color="auto"/>
                            <w:bottom w:val="none" w:sz="0" w:space="0" w:color="auto"/>
                            <w:right w:val="none" w:sz="0" w:space="0" w:color="auto"/>
                          </w:divBdr>
                          <w:divsChild>
                            <w:div w:id="259334041">
                              <w:marLeft w:val="0"/>
                              <w:marRight w:val="0"/>
                              <w:marTop w:val="0"/>
                              <w:marBottom w:val="360"/>
                              <w:divBdr>
                                <w:top w:val="none" w:sz="0" w:space="0" w:color="auto"/>
                                <w:left w:val="none" w:sz="0" w:space="0" w:color="auto"/>
                                <w:bottom w:val="none" w:sz="0" w:space="0" w:color="auto"/>
                                <w:right w:val="none" w:sz="0" w:space="0" w:color="auto"/>
                              </w:divBdr>
                              <w:divsChild>
                                <w:div w:id="259334052">
                                  <w:marLeft w:val="0"/>
                                  <w:marRight w:val="0"/>
                                  <w:marTop w:val="0"/>
                                  <w:marBottom w:val="0"/>
                                  <w:divBdr>
                                    <w:top w:val="none" w:sz="0" w:space="0" w:color="auto"/>
                                    <w:left w:val="none" w:sz="0" w:space="0" w:color="auto"/>
                                    <w:bottom w:val="none" w:sz="0" w:space="0" w:color="auto"/>
                                    <w:right w:val="none" w:sz="0" w:space="0" w:color="auto"/>
                                  </w:divBdr>
                                  <w:divsChild>
                                    <w:div w:id="25933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334018">
      <w:marLeft w:val="0"/>
      <w:marRight w:val="0"/>
      <w:marTop w:val="0"/>
      <w:marBottom w:val="0"/>
      <w:divBdr>
        <w:top w:val="none" w:sz="0" w:space="0" w:color="auto"/>
        <w:left w:val="none" w:sz="0" w:space="0" w:color="auto"/>
        <w:bottom w:val="none" w:sz="0" w:space="0" w:color="auto"/>
        <w:right w:val="none" w:sz="0" w:space="0" w:color="auto"/>
      </w:divBdr>
    </w:div>
    <w:div w:id="259334019">
      <w:marLeft w:val="0"/>
      <w:marRight w:val="0"/>
      <w:marTop w:val="0"/>
      <w:marBottom w:val="0"/>
      <w:divBdr>
        <w:top w:val="none" w:sz="0" w:space="0" w:color="auto"/>
        <w:left w:val="none" w:sz="0" w:space="0" w:color="auto"/>
        <w:bottom w:val="none" w:sz="0" w:space="0" w:color="auto"/>
        <w:right w:val="none" w:sz="0" w:space="0" w:color="auto"/>
      </w:divBdr>
    </w:div>
    <w:div w:id="259334020">
      <w:marLeft w:val="0"/>
      <w:marRight w:val="0"/>
      <w:marTop w:val="0"/>
      <w:marBottom w:val="0"/>
      <w:divBdr>
        <w:top w:val="none" w:sz="0" w:space="0" w:color="auto"/>
        <w:left w:val="none" w:sz="0" w:space="0" w:color="auto"/>
        <w:bottom w:val="none" w:sz="0" w:space="0" w:color="auto"/>
        <w:right w:val="none" w:sz="0" w:space="0" w:color="auto"/>
      </w:divBdr>
    </w:div>
    <w:div w:id="259334021">
      <w:marLeft w:val="0"/>
      <w:marRight w:val="0"/>
      <w:marTop w:val="0"/>
      <w:marBottom w:val="0"/>
      <w:divBdr>
        <w:top w:val="none" w:sz="0" w:space="0" w:color="auto"/>
        <w:left w:val="none" w:sz="0" w:space="0" w:color="auto"/>
        <w:bottom w:val="none" w:sz="0" w:space="0" w:color="auto"/>
        <w:right w:val="none" w:sz="0" w:space="0" w:color="auto"/>
      </w:divBdr>
    </w:div>
    <w:div w:id="259334022">
      <w:marLeft w:val="0"/>
      <w:marRight w:val="0"/>
      <w:marTop w:val="0"/>
      <w:marBottom w:val="0"/>
      <w:divBdr>
        <w:top w:val="none" w:sz="0" w:space="0" w:color="auto"/>
        <w:left w:val="none" w:sz="0" w:space="0" w:color="auto"/>
        <w:bottom w:val="none" w:sz="0" w:space="0" w:color="auto"/>
        <w:right w:val="none" w:sz="0" w:space="0" w:color="auto"/>
      </w:divBdr>
    </w:div>
    <w:div w:id="259334023">
      <w:marLeft w:val="0"/>
      <w:marRight w:val="0"/>
      <w:marTop w:val="0"/>
      <w:marBottom w:val="0"/>
      <w:divBdr>
        <w:top w:val="none" w:sz="0" w:space="0" w:color="auto"/>
        <w:left w:val="none" w:sz="0" w:space="0" w:color="auto"/>
        <w:bottom w:val="none" w:sz="0" w:space="0" w:color="auto"/>
        <w:right w:val="none" w:sz="0" w:space="0" w:color="auto"/>
      </w:divBdr>
    </w:div>
    <w:div w:id="259334024">
      <w:marLeft w:val="0"/>
      <w:marRight w:val="0"/>
      <w:marTop w:val="0"/>
      <w:marBottom w:val="0"/>
      <w:divBdr>
        <w:top w:val="none" w:sz="0" w:space="0" w:color="auto"/>
        <w:left w:val="none" w:sz="0" w:space="0" w:color="auto"/>
        <w:bottom w:val="none" w:sz="0" w:space="0" w:color="auto"/>
        <w:right w:val="none" w:sz="0" w:space="0" w:color="auto"/>
      </w:divBdr>
    </w:div>
    <w:div w:id="259334025">
      <w:marLeft w:val="0"/>
      <w:marRight w:val="0"/>
      <w:marTop w:val="0"/>
      <w:marBottom w:val="0"/>
      <w:divBdr>
        <w:top w:val="none" w:sz="0" w:space="0" w:color="auto"/>
        <w:left w:val="none" w:sz="0" w:space="0" w:color="auto"/>
        <w:bottom w:val="none" w:sz="0" w:space="0" w:color="auto"/>
        <w:right w:val="none" w:sz="0" w:space="0" w:color="auto"/>
      </w:divBdr>
    </w:div>
    <w:div w:id="259334026">
      <w:marLeft w:val="0"/>
      <w:marRight w:val="0"/>
      <w:marTop w:val="0"/>
      <w:marBottom w:val="0"/>
      <w:divBdr>
        <w:top w:val="none" w:sz="0" w:space="0" w:color="auto"/>
        <w:left w:val="none" w:sz="0" w:space="0" w:color="auto"/>
        <w:bottom w:val="none" w:sz="0" w:space="0" w:color="auto"/>
        <w:right w:val="none" w:sz="0" w:space="0" w:color="auto"/>
      </w:divBdr>
    </w:div>
    <w:div w:id="259334027">
      <w:marLeft w:val="0"/>
      <w:marRight w:val="0"/>
      <w:marTop w:val="0"/>
      <w:marBottom w:val="0"/>
      <w:divBdr>
        <w:top w:val="none" w:sz="0" w:space="0" w:color="auto"/>
        <w:left w:val="none" w:sz="0" w:space="0" w:color="auto"/>
        <w:bottom w:val="none" w:sz="0" w:space="0" w:color="auto"/>
        <w:right w:val="none" w:sz="0" w:space="0" w:color="auto"/>
      </w:divBdr>
    </w:div>
    <w:div w:id="259334028">
      <w:marLeft w:val="0"/>
      <w:marRight w:val="0"/>
      <w:marTop w:val="0"/>
      <w:marBottom w:val="0"/>
      <w:divBdr>
        <w:top w:val="none" w:sz="0" w:space="0" w:color="auto"/>
        <w:left w:val="none" w:sz="0" w:space="0" w:color="auto"/>
        <w:bottom w:val="none" w:sz="0" w:space="0" w:color="auto"/>
        <w:right w:val="none" w:sz="0" w:space="0" w:color="auto"/>
      </w:divBdr>
    </w:div>
    <w:div w:id="259334029">
      <w:marLeft w:val="0"/>
      <w:marRight w:val="0"/>
      <w:marTop w:val="0"/>
      <w:marBottom w:val="0"/>
      <w:divBdr>
        <w:top w:val="none" w:sz="0" w:space="0" w:color="auto"/>
        <w:left w:val="none" w:sz="0" w:space="0" w:color="auto"/>
        <w:bottom w:val="none" w:sz="0" w:space="0" w:color="auto"/>
        <w:right w:val="none" w:sz="0" w:space="0" w:color="auto"/>
      </w:divBdr>
    </w:div>
    <w:div w:id="259334030">
      <w:marLeft w:val="0"/>
      <w:marRight w:val="0"/>
      <w:marTop w:val="0"/>
      <w:marBottom w:val="0"/>
      <w:divBdr>
        <w:top w:val="none" w:sz="0" w:space="0" w:color="auto"/>
        <w:left w:val="none" w:sz="0" w:space="0" w:color="auto"/>
        <w:bottom w:val="none" w:sz="0" w:space="0" w:color="auto"/>
        <w:right w:val="none" w:sz="0" w:space="0" w:color="auto"/>
      </w:divBdr>
    </w:div>
    <w:div w:id="259334031">
      <w:marLeft w:val="0"/>
      <w:marRight w:val="0"/>
      <w:marTop w:val="0"/>
      <w:marBottom w:val="0"/>
      <w:divBdr>
        <w:top w:val="none" w:sz="0" w:space="0" w:color="auto"/>
        <w:left w:val="none" w:sz="0" w:space="0" w:color="auto"/>
        <w:bottom w:val="none" w:sz="0" w:space="0" w:color="auto"/>
        <w:right w:val="none" w:sz="0" w:space="0" w:color="auto"/>
      </w:divBdr>
    </w:div>
    <w:div w:id="259334032">
      <w:marLeft w:val="0"/>
      <w:marRight w:val="0"/>
      <w:marTop w:val="0"/>
      <w:marBottom w:val="0"/>
      <w:divBdr>
        <w:top w:val="none" w:sz="0" w:space="0" w:color="auto"/>
        <w:left w:val="none" w:sz="0" w:space="0" w:color="auto"/>
        <w:bottom w:val="none" w:sz="0" w:space="0" w:color="auto"/>
        <w:right w:val="none" w:sz="0" w:space="0" w:color="auto"/>
      </w:divBdr>
    </w:div>
    <w:div w:id="259334033">
      <w:marLeft w:val="0"/>
      <w:marRight w:val="0"/>
      <w:marTop w:val="0"/>
      <w:marBottom w:val="0"/>
      <w:divBdr>
        <w:top w:val="none" w:sz="0" w:space="0" w:color="auto"/>
        <w:left w:val="none" w:sz="0" w:space="0" w:color="auto"/>
        <w:bottom w:val="none" w:sz="0" w:space="0" w:color="auto"/>
        <w:right w:val="none" w:sz="0" w:space="0" w:color="auto"/>
      </w:divBdr>
    </w:div>
    <w:div w:id="259334034">
      <w:marLeft w:val="0"/>
      <w:marRight w:val="0"/>
      <w:marTop w:val="0"/>
      <w:marBottom w:val="0"/>
      <w:divBdr>
        <w:top w:val="none" w:sz="0" w:space="0" w:color="auto"/>
        <w:left w:val="none" w:sz="0" w:space="0" w:color="auto"/>
        <w:bottom w:val="none" w:sz="0" w:space="0" w:color="auto"/>
        <w:right w:val="none" w:sz="0" w:space="0" w:color="auto"/>
      </w:divBdr>
    </w:div>
    <w:div w:id="259334035">
      <w:marLeft w:val="0"/>
      <w:marRight w:val="0"/>
      <w:marTop w:val="0"/>
      <w:marBottom w:val="0"/>
      <w:divBdr>
        <w:top w:val="none" w:sz="0" w:space="0" w:color="auto"/>
        <w:left w:val="none" w:sz="0" w:space="0" w:color="auto"/>
        <w:bottom w:val="none" w:sz="0" w:space="0" w:color="auto"/>
        <w:right w:val="none" w:sz="0" w:space="0" w:color="auto"/>
      </w:divBdr>
    </w:div>
    <w:div w:id="259334036">
      <w:marLeft w:val="0"/>
      <w:marRight w:val="0"/>
      <w:marTop w:val="0"/>
      <w:marBottom w:val="0"/>
      <w:divBdr>
        <w:top w:val="none" w:sz="0" w:space="0" w:color="auto"/>
        <w:left w:val="none" w:sz="0" w:space="0" w:color="auto"/>
        <w:bottom w:val="none" w:sz="0" w:space="0" w:color="auto"/>
        <w:right w:val="none" w:sz="0" w:space="0" w:color="auto"/>
      </w:divBdr>
    </w:div>
    <w:div w:id="259334037">
      <w:marLeft w:val="0"/>
      <w:marRight w:val="0"/>
      <w:marTop w:val="0"/>
      <w:marBottom w:val="0"/>
      <w:divBdr>
        <w:top w:val="none" w:sz="0" w:space="0" w:color="auto"/>
        <w:left w:val="none" w:sz="0" w:space="0" w:color="auto"/>
        <w:bottom w:val="none" w:sz="0" w:space="0" w:color="auto"/>
        <w:right w:val="none" w:sz="0" w:space="0" w:color="auto"/>
      </w:divBdr>
    </w:div>
    <w:div w:id="259334038">
      <w:marLeft w:val="0"/>
      <w:marRight w:val="0"/>
      <w:marTop w:val="0"/>
      <w:marBottom w:val="0"/>
      <w:divBdr>
        <w:top w:val="none" w:sz="0" w:space="0" w:color="auto"/>
        <w:left w:val="none" w:sz="0" w:space="0" w:color="auto"/>
        <w:bottom w:val="none" w:sz="0" w:space="0" w:color="auto"/>
        <w:right w:val="none" w:sz="0" w:space="0" w:color="auto"/>
      </w:divBdr>
    </w:div>
    <w:div w:id="259334039">
      <w:marLeft w:val="0"/>
      <w:marRight w:val="0"/>
      <w:marTop w:val="0"/>
      <w:marBottom w:val="0"/>
      <w:divBdr>
        <w:top w:val="none" w:sz="0" w:space="0" w:color="auto"/>
        <w:left w:val="none" w:sz="0" w:space="0" w:color="auto"/>
        <w:bottom w:val="none" w:sz="0" w:space="0" w:color="auto"/>
        <w:right w:val="none" w:sz="0" w:space="0" w:color="auto"/>
      </w:divBdr>
    </w:div>
    <w:div w:id="259334040">
      <w:marLeft w:val="0"/>
      <w:marRight w:val="0"/>
      <w:marTop w:val="0"/>
      <w:marBottom w:val="0"/>
      <w:divBdr>
        <w:top w:val="none" w:sz="0" w:space="0" w:color="auto"/>
        <w:left w:val="none" w:sz="0" w:space="0" w:color="auto"/>
        <w:bottom w:val="none" w:sz="0" w:space="0" w:color="auto"/>
        <w:right w:val="none" w:sz="0" w:space="0" w:color="auto"/>
      </w:divBdr>
    </w:div>
    <w:div w:id="259334042">
      <w:marLeft w:val="0"/>
      <w:marRight w:val="0"/>
      <w:marTop w:val="0"/>
      <w:marBottom w:val="0"/>
      <w:divBdr>
        <w:top w:val="none" w:sz="0" w:space="0" w:color="auto"/>
        <w:left w:val="none" w:sz="0" w:space="0" w:color="auto"/>
        <w:bottom w:val="none" w:sz="0" w:space="0" w:color="auto"/>
        <w:right w:val="none" w:sz="0" w:space="0" w:color="auto"/>
      </w:divBdr>
    </w:div>
    <w:div w:id="259334043">
      <w:marLeft w:val="0"/>
      <w:marRight w:val="0"/>
      <w:marTop w:val="0"/>
      <w:marBottom w:val="0"/>
      <w:divBdr>
        <w:top w:val="none" w:sz="0" w:space="0" w:color="auto"/>
        <w:left w:val="none" w:sz="0" w:space="0" w:color="auto"/>
        <w:bottom w:val="none" w:sz="0" w:space="0" w:color="auto"/>
        <w:right w:val="none" w:sz="0" w:space="0" w:color="auto"/>
      </w:divBdr>
    </w:div>
    <w:div w:id="259334044">
      <w:marLeft w:val="0"/>
      <w:marRight w:val="0"/>
      <w:marTop w:val="0"/>
      <w:marBottom w:val="0"/>
      <w:divBdr>
        <w:top w:val="none" w:sz="0" w:space="0" w:color="auto"/>
        <w:left w:val="none" w:sz="0" w:space="0" w:color="auto"/>
        <w:bottom w:val="none" w:sz="0" w:space="0" w:color="auto"/>
        <w:right w:val="none" w:sz="0" w:space="0" w:color="auto"/>
      </w:divBdr>
    </w:div>
    <w:div w:id="259334046">
      <w:marLeft w:val="0"/>
      <w:marRight w:val="0"/>
      <w:marTop w:val="0"/>
      <w:marBottom w:val="0"/>
      <w:divBdr>
        <w:top w:val="none" w:sz="0" w:space="0" w:color="auto"/>
        <w:left w:val="none" w:sz="0" w:space="0" w:color="auto"/>
        <w:bottom w:val="none" w:sz="0" w:space="0" w:color="auto"/>
        <w:right w:val="none" w:sz="0" w:space="0" w:color="auto"/>
      </w:divBdr>
    </w:div>
    <w:div w:id="259334047">
      <w:marLeft w:val="0"/>
      <w:marRight w:val="0"/>
      <w:marTop w:val="0"/>
      <w:marBottom w:val="0"/>
      <w:divBdr>
        <w:top w:val="none" w:sz="0" w:space="0" w:color="auto"/>
        <w:left w:val="none" w:sz="0" w:space="0" w:color="auto"/>
        <w:bottom w:val="none" w:sz="0" w:space="0" w:color="auto"/>
        <w:right w:val="none" w:sz="0" w:space="0" w:color="auto"/>
      </w:divBdr>
    </w:div>
    <w:div w:id="259334049">
      <w:marLeft w:val="0"/>
      <w:marRight w:val="0"/>
      <w:marTop w:val="0"/>
      <w:marBottom w:val="0"/>
      <w:divBdr>
        <w:top w:val="none" w:sz="0" w:space="0" w:color="auto"/>
        <w:left w:val="none" w:sz="0" w:space="0" w:color="auto"/>
        <w:bottom w:val="none" w:sz="0" w:space="0" w:color="auto"/>
        <w:right w:val="none" w:sz="0" w:space="0" w:color="auto"/>
      </w:divBdr>
    </w:div>
    <w:div w:id="259334050">
      <w:marLeft w:val="0"/>
      <w:marRight w:val="0"/>
      <w:marTop w:val="0"/>
      <w:marBottom w:val="0"/>
      <w:divBdr>
        <w:top w:val="none" w:sz="0" w:space="0" w:color="auto"/>
        <w:left w:val="none" w:sz="0" w:space="0" w:color="auto"/>
        <w:bottom w:val="none" w:sz="0" w:space="0" w:color="auto"/>
        <w:right w:val="none" w:sz="0" w:space="0" w:color="auto"/>
      </w:divBdr>
    </w:div>
    <w:div w:id="259334051">
      <w:marLeft w:val="0"/>
      <w:marRight w:val="0"/>
      <w:marTop w:val="0"/>
      <w:marBottom w:val="0"/>
      <w:divBdr>
        <w:top w:val="none" w:sz="0" w:space="0" w:color="auto"/>
        <w:left w:val="none" w:sz="0" w:space="0" w:color="auto"/>
        <w:bottom w:val="none" w:sz="0" w:space="0" w:color="auto"/>
        <w:right w:val="none" w:sz="0" w:space="0" w:color="auto"/>
      </w:divBdr>
    </w:div>
    <w:div w:id="259334053">
      <w:marLeft w:val="0"/>
      <w:marRight w:val="0"/>
      <w:marTop w:val="0"/>
      <w:marBottom w:val="0"/>
      <w:divBdr>
        <w:top w:val="none" w:sz="0" w:space="0" w:color="auto"/>
        <w:left w:val="none" w:sz="0" w:space="0" w:color="auto"/>
        <w:bottom w:val="none" w:sz="0" w:space="0" w:color="auto"/>
        <w:right w:val="none" w:sz="0" w:space="0" w:color="auto"/>
      </w:divBdr>
    </w:div>
    <w:div w:id="259334054">
      <w:marLeft w:val="0"/>
      <w:marRight w:val="0"/>
      <w:marTop w:val="0"/>
      <w:marBottom w:val="0"/>
      <w:divBdr>
        <w:top w:val="none" w:sz="0" w:space="0" w:color="auto"/>
        <w:left w:val="none" w:sz="0" w:space="0" w:color="auto"/>
        <w:bottom w:val="none" w:sz="0" w:space="0" w:color="auto"/>
        <w:right w:val="none" w:sz="0" w:space="0" w:color="auto"/>
      </w:divBdr>
    </w:div>
    <w:div w:id="259334056">
      <w:marLeft w:val="0"/>
      <w:marRight w:val="0"/>
      <w:marTop w:val="0"/>
      <w:marBottom w:val="0"/>
      <w:divBdr>
        <w:top w:val="none" w:sz="0" w:space="0" w:color="auto"/>
        <w:left w:val="none" w:sz="0" w:space="0" w:color="auto"/>
        <w:bottom w:val="none" w:sz="0" w:space="0" w:color="auto"/>
        <w:right w:val="none" w:sz="0" w:space="0" w:color="auto"/>
      </w:divBdr>
    </w:div>
    <w:div w:id="259334057">
      <w:marLeft w:val="0"/>
      <w:marRight w:val="0"/>
      <w:marTop w:val="0"/>
      <w:marBottom w:val="0"/>
      <w:divBdr>
        <w:top w:val="none" w:sz="0" w:space="0" w:color="auto"/>
        <w:left w:val="none" w:sz="0" w:space="0" w:color="auto"/>
        <w:bottom w:val="none" w:sz="0" w:space="0" w:color="auto"/>
        <w:right w:val="none" w:sz="0" w:space="0" w:color="auto"/>
      </w:divBdr>
    </w:div>
    <w:div w:id="259334058">
      <w:marLeft w:val="0"/>
      <w:marRight w:val="0"/>
      <w:marTop w:val="0"/>
      <w:marBottom w:val="0"/>
      <w:divBdr>
        <w:top w:val="none" w:sz="0" w:space="0" w:color="auto"/>
        <w:left w:val="none" w:sz="0" w:space="0" w:color="auto"/>
        <w:bottom w:val="none" w:sz="0" w:space="0" w:color="auto"/>
        <w:right w:val="none" w:sz="0" w:space="0" w:color="auto"/>
      </w:divBdr>
    </w:div>
    <w:div w:id="259334059">
      <w:marLeft w:val="0"/>
      <w:marRight w:val="0"/>
      <w:marTop w:val="0"/>
      <w:marBottom w:val="0"/>
      <w:divBdr>
        <w:top w:val="none" w:sz="0" w:space="0" w:color="auto"/>
        <w:left w:val="none" w:sz="0" w:space="0" w:color="auto"/>
        <w:bottom w:val="none" w:sz="0" w:space="0" w:color="auto"/>
        <w:right w:val="none" w:sz="0" w:space="0" w:color="auto"/>
      </w:divBdr>
    </w:div>
    <w:div w:id="259334060">
      <w:marLeft w:val="0"/>
      <w:marRight w:val="0"/>
      <w:marTop w:val="0"/>
      <w:marBottom w:val="0"/>
      <w:divBdr>
        <w:top w:val="none" w:sz="0" w:space="0" w:color="auto"/>
        <w:left w:val="none" w:sz="0" w:space="0" w:color="auto"/>
        <w:bottom w:val="none" w:sz="0" w:space="0" w:color="auto"/>
        <w:right w:val="none" w:sz="0" w:space="0" w:color="auto"/>
      </w:divBdr>
    </w:div>
    <w:div w:id="259334061">
      <w:marLeft w:val="0"/>
      <w:marRight w:val="0"/>
      <w:marTop w:val="0"/>
      <w:marBottom w:val="0"/>
      <w:divBdr>
        <w:top w:val="none" w:sz="0" w:space="0" w:color="auto"/>
        <w:left w:val="none" w:sz="0" w:space="0" w:color="auto"/>
        <w:bottom w:val="none" w:sz="0" w:space="0" w:color="auto"/>
        <w:right w:val="none" w:sz="0" w:space="0" w:color="auto"/>
      </w:divBdr>
    </w:div>
    <w:div w:id="259334062">
      <w:marLeft w:val="0"/>
      <w:marRight w:val="0"/>
      <w:marTop w:val="0"/>
      <w:marBottom w:val="0"/>
      <w:divBdr>
        <w:top w:val="none" w:sz="0" w:space="0" w:color="auto"/>
        <w:left w:val="none" w:sz="0" w:space="0" w:color="auto"/>
        <w:bottom w:val="none" w:sz="0" w:space="0" w:color="auto"/>
        <w:right w:val="none" w:sz="0" w:space="0" w:color="auto"/>
      </w:divBdr>
    </w:div>
    <w:div w:id="259334066">
      <w:marLeft w:val="0"/>
      <w:marRight w:val="0"/>
      <w:marTop w:val="0"/>
      <w:marBottom w:val="0"/>
      <w:divBdr>
        <w:top w:val="none" w:sz="0" w:space="0" w:color="auto"/>
        <w:left w:val="none" w:sz="0" w:space="0" w:color="auto"/>
        <w:bottom w:val="none" w:sz="0" w:space="0" w:color="auto"/>
        <w:right w:val="none" w:sz="0" w:space="0" w:color="auto"/>
      </w:divBdr>
    </w:div>
    <w:div w:id="259334067">
      <w:marLeft w:val="0"/>
      <w:marRight w:val="0"/>
      <w:marTop w:val="0"/>
      <w:marBottom w:val="0"/>
      <w:divBdr>
        <w:top w:val="none" w:sz="0" w:space="0" w:color="auto"/>
        <w:left w:val="none" w:sz="0" w:space="0" w:color="auto"/>
        <w:bottom w:val="none" w:sz="0" w:space="0" w:color="auto"/>
        <w:right w:val="none" w:sz="0" w:space="0" w:color="auto"/>
      </w:divBdr>
    </w:div>
    <w:div w:id="259334068">
      <w:marLeft w:val="0"/>
      <w:marRight w:val="0"/>
      <w:marTop w:val="0"/>
      <w:marBottom w:val="0"/>
      <w:divBdr>
        <w:top w:val="none" w:sz="0" w:space="0" w:color="auto"/>
        <w:left w:val="none" w:sz="0" w:space="0" w:color="auto"/>
        <w:bottom w:val="none" w:sz="0" w:space="0" w:color="auto"/>
        <w:right w:val="none" w:sz="0" w:space="0" w:color="auto"/>
      </w:divBdr>
    </w:div>
    <w:div w:id="309866249">
      <w:bodyDiv w:val="1"/>
      <w:marLeft w:val="0"/>
      <w:marRight w:val="0"/>
      <w:marTop w:val="0"/>
      <w:marBottom w:val="0"/>
      <w:divBdr>
        <w:top w:val="none" w:sz="0" w:space="0" w:color="auto"/>
        <w:left w:val="none" w:sz="0" w:space="0" w:color="auto"/>
        <w:bottom w:val="none" w:sz="0" w:space="0" w:color="auto"/>
        <w:right w:val="none" w:sz="0" w:space="0" w:color="auto"/>
      </w:divBdr>
    </w:div>
    <w:div w:id="359161426">
      <w:bodyDiv w:val="1"/>
      <w:marLeft w:val="0"/>
      <w:marRight w:val="0"/>
      <w:marTop w:val="0"/>
      <w:marBottom w:val="0"/>
      <w:divBdr>
        <w:top w:val="none" w:sz="0" w:space="0" w:color="auto"/>
        <w:left w:val="none" w:sz="0" w:space="0" w:color="auto"/>
        <w:bottom w:val="none" w:sz="0" w:space="0" w:color="auto"/>
        <w:right w:val="none" w:sz="0" w:space="0" w:color="auto"/>
      </w:divBdr>
    </w:div>
    <w:div w:id="498622113">
      <w:bodyDiv w:val="1"/>
      <w:marLeft w:val="0"/>
      <w:marRight w:val="0"/>
      <w:marTop w:val="0"/>
      <w:marBottom w:val="0"/>
      <w:divBdr>
        <w:top w:val="none" w:sz="0" w:space="0" w:color="auto"/>
        <w:left w:val="none" w:sz="0" w:space="0" w:color="auto"/>
        <w:bottom w:val="none" w:sz="0" w:space="0" w:color="auto"/>
        <w:right w:val="none" w:sz="0" w:space="0" w:color="auto"/>
      </w:divBdr>
    </w:div>
    <w:div w:id="688676942">
      <w:bodyDiv w:val="1"/>
      <w:marLeft w:val="0"/>
      <w:marRight w:val="0"/>
      <w:marTop w:val="0"/>
      <w:marBottom w:val="0"/>
      <w:divBdr>
        <w:top w:val="none" w:sz="0" w:space="0" w:color="auto"/>
        <w:left w:val="none" w:sz="0" w:space="0" w:color="auto"/>
        <w:bottom w:val="none" w:sz="0" w:space="0" w:color="auto"/>
        <w:right w:val="none" w:sz="0" w:space="0" w:color="auto"/>
      </w:divBdr>
    </w:div>
    <w:div w:id="697925597">
      <w:bodyDiv w:val="1"/>
      <w:marLeft w:val="0"/>
      <w:marRight w:val="0"/>
      <w:marTop w:val="0"/>
      <w:marBottom w:val="0"/>
      <w:divBdr>
        <w:top w:val="none" w:sz="0" w:space="0" w:color="auto"/>
        <w:left w:val="none" w:sz="0" w:space="0" w:color="auto"/>
        <w:bottom w:val="none" w:sz="0" w:space="0" w:color="auto"/>
        <w:right w:val="none" w:sz="0" w:space="0" w:color="auto"/>
      </w:divBdr>
    </w:div>
    <w:div w:id="822308047">
      <w:bodyDiv w:val="1"/>
      <w:marLeft w:val="0"/>
      <w:marRight w:val="0"/>
      <w:marTop w:val="0"/>
      <w:marBottom w:val="0"/>
      <w:divBdr>
        <w:top w:val="none" w:sz="0" w:space="0" w:color="auto"/>
        <w:left w:val="none" w:sz="0" w:space="0" w:color="auto"/>
        <w:bottom w:val="none" w:sz="0" w:space="0" w:color="auto"/>
        <w:right w:val="none" w:sz="0" w:space="0" w:color="auto"/>
      </w:divBdr>
    </w:div>
    <w:div w:id="879170684">
      <w:bodyDiv w:val="1"/>
      <w:marLeft w:val="0"/>
      <w:marRight w:val="0"/>
      <w:marTop w:val="0"/>
      <w:marBottom w:val="0"/>
      <w:divBdr>
        <w:top w:val="none" w:sz="0" w:space="0" w:color="auto"/>
        <w:left w:val="none" w:sz="0" w:space="0" w:color="auto"/>
        <w:bottom w:val="none" w:sz="0" w:space="0" w:color="auto"/>
        <w:right w:val="none" w:sz="0" w:space="0" w:color="auto"/>
      </w:divBdr>
    </w:div>
    <w:div w:id="958072472">
      <w:bodyDiv w:val="1"/>
      <w:marLeft w:val="0"/>
      <w:marRight w:val="0"/>
      <w:marTop w:val="0"/>
      <w:marBottom w:val="0"/>
      <w:divBdr>
        <w:top w:val="none" w:sz="0" w:space="0" w:color="auto"/>
        <w:left w:val="none" w:sz="0" w:space="0" w:color="auto"/>
        <w:bottom w:val="none" w:sz="0" w:space="0" w:color="auto"/>
        <w:right w:val="none" w:sz="0" w:space="0" w:color="auto"/>
      </w:divBdr>
    </w:div>
    <w:div w:id="963459547">
      <w:bodyDiv w:val="1"/>
      <w:marLeft w:val="0"/>
      <w:marRight w:val="0"/>
      <w:marTop w:val="0"/>
      <w:marBottom w:val="0"/>
      <w:divBdr>
        <w:top w:val="none" w:sz="0" w:space="0" w:color="auto"/>
        <w:left w:val="none" w:sz="0" w:space="0" w:color="auto"/>
        <w:bottom w:val="none" w:sz="0" w:space="0" w:color="auto"/>
        <w:right w:val="none" w:sz="0" w:space="0" w:color="auto"/>
      </w:divBdr>
    </w:div>
    <w:div w:id="1431313876">
      <w:bodyDiv w:val="1"/>
      <w:marLeft w:val="0"/>
      <w:marRight w:val="0"/>
      <w:marTop w:val="0"/>
      <w:marBottom w:val="0"/>
      <w:divBdr>
        <w:top w:val="none" w:sz="0" w:space="0" w:color="auto"/>
        <w:left w:val="none" w:sz="0" w:space="0" w:color="auto"/>
        <w:bottom w:val="none" w:sz="0" w:space="0" w:color="auto"/>
        <w:right w:val="none" w:sz="0" w:space="0" w:color="auto"/>
      </w:divBdr>
      <w:divsChild>
        <w:div w:id="395669497">
          <w:marLeft w:val="0"/>
          <w:marRight w:val="0"/>
          <w:marTop w:val="0"/>
          <w:marBottom w:val="0"/>
          <w:divBdr>
            <w:top w:val="none" w:sz="0" w:space="0" w:color="auto"/>
            <w:left w:val="none" w:sz="0" w:space="0" w:color="auto"/>
            <w:bottom w:val="none" w:sz="0" w:space="0" w:color="auto"/>
            <w:right w:val="none" w:sz="0" w:space="0" w:color="auto"/>
          </w:divBdr>
          <w:divsChild>
            <w:div w:id="1457985218">
              <w:marLeft w:val="0"/>
              <w:marRight w:val="0"/>
              <w:marTop w:val="150"/>
              <w:marBottom w:val="0"/>
              <w:divBdr>
                <w:top w:val="none" w:sz="0" w:space="0" w:color="auto"/>
                <w:left w:val="none" w:sz="0" w:space="0" w:color="auto"/>
                <w:bottom w:val="none" w:sz="0" w:space="0" w:color="auto"/>
                <w:right w:val="none" w:sz="0" w:space="0" w:color="auto"/>
              </w:divBdr>
              <w:divsChild>
                <w:div w:id="1595089898">
                  <w:marLeft w:val="0"/>
                  <w:marRight w:val="0"/>
                  <w:marTop w:val="0"/>
                  <w:marBottom w:val="900"/>
                  <w:divBdr>
                    <w:top w:val="none" w:sz="0" w:space="0" w:color="auto"/>
                    <w:left w:val="none" w:sz="0" w:space="0" w:color="auto"/>
                    <w:bottom w:val="none" w:sz="0" w:space="0" w:color="auto"/>
                    <w:right w:val="none" w:sz="0" w:space="0" w:color="auto"/>
                  </w:divBdr>
                  <w:divsChild>
                    <w:div w:id="1373459571">
                      <w:marLeft w:val="0"/>
                      <w:marRight w:val="0"/>
                      <w:marTop w:val="0"/>
                      <w:marBottom w:val="0"/>
                      <w:divBdr>
                        <w:top w:val="none" w:sz="0" w:space="0" w:color="auto"/>
                        <w:left w:val="none" w:sz="0" w:space="0" w:color="auto"/>
                        <w:bottom w:val="none" w:sz="0" w:space="0" w:color="auto"/>
                        <w:right w:val="none" w:sz="0" w:space="0" w:color="auto"/>
                      </w:divBdr>
                      <w:divsChild>
                        <w:div w:id="1606234501">
                          <w:marLeft w:val="0"/>
                          <w:marRight w:val="0"/>
                          <w:marTop w:val="0"/>
                          <w:marBottom w:val="0"/>
                          <w:divBdr>
                            <w:top w:val="none" w:sz="0" w:space="0" w:color="auto"/>
                            <w:left w:val="none" w:sz="0" w:space="0" w:color="auto"/>
                            <w:bottom w:val="none" w:sz="0" w:space="0" w:color="auto"/>
                            <w:right w:val="none" w:sz="0" w:space="0" w:color="auto"/>
                          </w:divBdr>
                          <w:divsChild>
                            <w:div w:id="1582983491">
                              <w:marLeft w:val="0"/>
                              <w:marRight w:val="0"/>
                              <w:marTop w:val="0"/>
                              <w:marBottom w:val="0"/>
                              <w:divBdr>
                                <w:top w:val="none" w:sz="0" w:space="0" w:color="auto"/>
                                <w:left w:val="none" w:sz="0" w:space="0" w:color="auto"/>
                                <w:bottom w:val="none" w:sz="0" w:space="0" w:color="auto"/>
                                <w:right w:val="none" w:sz="0" w:space="0" w:color="auto"/>
                              </w:divBdr>
                              <w:divsChild>
                                <w:div w:id="1901093273">
                                  <w:marLeft w:val="0"/>
                                  <w:marRight w:val="0"/>
                                  <w:marTop w:val="0"/>
                                  <w:marBottom w:val="0"/>
                                  <w:divBdr>
                                    <w:top w:val="none" w:sz="0" w:space="0" w:color="auto"/>
                                    <w:left w:val="none" w:sz="0" w:space="0" w:color="auto"/>
                                    <w:bottom w:val="none" w:sz="0" w:space="0" w:color="auto"/>
                                    <w:right w:val="none" w:sz="0" w:space="0" w:color="auto"/>
                                  </w:divBdr>
                                  <w:divsChild>
                                    <w:div w:id="49808180">
                                      <w:marLeft w:val="0"/>
                                      <w:marRight w:val="0"/>
                                      <w:marTop w:val="0"/>
                                      <w:marBottom w:val="0"/>
                                      <w:divBdr>
                                        <w:top w:val="none" w:sz="0" w:space="0" w:color="auto"/>
                                        <w:left w:val="none" w:sz="0" w:space="0" w:color="auto"/>
                                        <w:bottom w:val="none" w:sz="0" w:space="0" w:color="auto"/>
                                        <w:right w:val="none" w:sz="0" w:space="0" w:color="auto"/>
                                      </w:divBdr>
                                      <w:divsChild>
                                        <w:div w:id="1270510433">
                                          <w:marLeft w:val="0"/>
                                          <w:marRight w:val="0"/>
                                          <w:marTop w:val="0"/>
                                          <w:marBottom w:val="0"/>
                                          <w:divBdr>
                                            <w:top w:val="none" w:sz="0" w:space="0" w:color="auto"/>
                                            <w:left w:val="none" w:sz="0" w:space="0" w:color="auto"/>
                                            <w:bottom w:val="none" w:sz="0" w:space="0" w:color="auto"/>
                                            <w:right w:val="none" w:sz="0" w:space="0" w:color="auto"/>
                                          </w:divBdr>
                                          <w:divsChild>
                                            <w:div w:id="1088037722">
                                              <w:marLeft w:val="0"/>
                                              <w:marRight w:val="0"/>
                                              <w:marTop w:val="0"/>
                                              <w:marBottom w:val="0"/>
                                              <w:divBdr>
                                                <w:top w:val="none" w:sz="0" w:space="0" w:color="auto"/>
                                                <w:left w:val="none" w:sz="0" w:space="0" w:color="auto"/>
                                                <w:bottom w:val="none" w:sz="0" w:space="0" w:color="auto"/>
                                                <w:right w:val="none" w:sz="0" w:space="0" w:color="auto"/>
                                              </w:divBdr>
                                              <w:divsChild>
                                                <w:div w:id="1202014892">
                                                  <w:marLeft w:val="0"/>
                                                  <w:marRight w:val="0"/>
                                                  <w:marTop w:val="0"/>
                                                  <w:marBottom w:val="0"/>
                                                  <w:divBdr>
                                                    <w:top w:val="none" w:sz="0" w:space="0" w:color="auto"/>
                                                    <w:left w:val="none" w:sz="0" w:space="0" w:color="auto"/>
                                                    <w:bottom w:val="none" w:sz="0" w:space="0" w:color="auto"/>
                                                    <w:right w:val="none" w:sz="0" w:space="0" w:color="auto"/>
                                                  </w:divBdr>
                                                  <w:divsChild>
                                                    <w:div w:id="1647129876">
                                                      <w:marLeft w:val="0"/>
                                                      <w:marRight w:val="0"/>
                                                      <w:marTop w:val="0"/>
                                                      <w:marBottom w:val="0"/>
                                                      <w:divBdr>
                                                        <w:top w:val="none" w:sz="0" w:space="0" w:color="auto"/>
                                                        <w:left w:val="none" w:sz="0" w:space="0" w:color="auto"/>
                                                        <w:bottom w:val="none" w:sz="0" w:space="0" w:color="auto"/>
                                                        <w:right w:val="none" w:sz="0" w:space="0" w:color="auto"/>
                                                      </w:divBdr>
                                                      <w:divsChild>
                                                        <w:div w:id="104524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648950">
                                              <w:marLeft w:val="0"/>
                                              <w:marRight w:val="0"/>
                                              <w:marTop w:val="0"/>
                                              <w:marBottom w:val="0"/>
                                              <w:divBdr>
                                                <w:top w:val="none" w:sz="0" w:space="0" w:color="auto"/>
                                                <w:left w:val="none" w:sz="0" w:space="0" w:color="auto"/>
                                                <w:bottom w:val="none" w:sz="0" w:space="0" w:color="auto"/>
                                                <w:right w:val="none" w:sz="0" w:space="0" w:color="auto"/>
                                              </w:divBdr>
                                            </w:div>
                                            <w:div w:id="1959339736">
                                              <w:marLeft w:val="0"/>
                                              <w:marRight w:val="0"/>
                                              <w:marTop w:val="0"/>
                                              <w:marBottom w:val="0"/>
                                              <w:divBdr>
                                                <w:top w:val="none" w:sz="0" w:space="0" w:color="auto"/>
                                                <w:left w:val="none" w:sz="0" w:space="0" w:color="auto"/>
                                                <w:bottom w:val="none" w:sz="0" w:space="0" w:color="auto"/>
                                                <w:right w:val="none" w:sz="0" w:space="0" w:color="auto"/>
                                              </w:divBdr>
                                              <w:divsChild>
                                                <w:div w:id="875586610">
                                                  <w:marLeft w:val="0"/>
                                                  <w:marRight w:val="0"/>
                                                  <w:marTop w:val="0"/>
                                                  <w:marBottom w:val="0"/>
                                                  <w:divBdr>
                                                    <w:top w:val="none" w:sz="0" w:space="0" w:color="auto"/>
                                                    <w:left w:val="none" w:sz="0" w:space="0" w:color="auto"/>
                                                    <w:bottom w:val="none" w:sz="0" w:space="0" w:color="auto"/>
                                                    <w:right w:val="none" w:sz="0" w:space="0" w:color="auto"/>
                                                  </w:divBdr>
                                                  <w:divsChild>
                                                    <w:div w:id="47341045">
                                                      <w:marLeft w:val="0"/>
                                                      <w:marRight w:val="0"/>
                                                      <w:marTop w:val="0"/>
                                                      <w:marBottom w:val="0"/>
                                                      <w:divBdr>
                                                        <w:top w:val="none" w:sz="0" w:space="0" w:color="auto"/>
                                                        <w:left w:val="none" w:sz="0" w:space="0" w:color="auto"/>
                                                        <w:bottom w:val="none" w:sz="0" w:space="0" w:color="auto"/>
                                                        <w:right w:val="none" w:sz="0" w:space="0" w:color="auto"/>
                                                      </w:divBdr>
                                                      <w:divsChild>
                                                        <w:div w:id="92853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8324630">
      <w:bodyDiv w:val="1"/>
      <w:marLeft w:val="0"/>
      <w:marRight w:val="0"/>
      <w:marTop w:val="0"/>
      <w:marBottom w:val="0"/>
      <w:divBdr>
        <w:top w:val="none" w:sz="0" w:space="0" w:color="auto"/>
        <w:left w:val="none" w:sz="0" w:space="0" w:color="auto"/>
        <w:bottom w:val="none" w:sz="0" w:space="0" w:color="auto"/>
        <w:right w:val="none" w:sz="0" w:space="0" w:color="auto"/>
      </w:divBdr>
    </w:div>
    <w:div w:id="1667979898">
      <w:bodyDiv w:val="1"/>
      <w:marLeft w:val="0"/>
      <w:marRight w:val="0"/>
      <w:marTop w:val="0"/>
      <w:marBottom w:val="0"/>
      <w:divBdr>
        <w:top w:val="none" w:sz="0" w:space="0" w:color="auto"/>
        <w:left w:val="none" w:sz="0" w:space="0" w:color="auto"/>
        <w:bottom w:val="none" w:sz="0" w:space="0" w:color="auto"/>
        <w:right w:val="none" w:sz="0" w:space="0" w:color="auto"/>
      </w:divBdr>
    </w:div>
    <w:div w:id="1772581634">
      <w:bodyDiv w:val="1"/>
      <w:marLeft w:val="0"/>
      <w:marRight w:val="0"/>
      <w:marTop w:val="0"/>
      <w:marBottom w:val="0"/>
      <w:divBdr>
        <w:top w:val="none" w:sz="0" w:space="0" w:color="auto"/>
        <w:left w:val="none" w:sz="0" w:space="0" w:color="auto"/>
        <w:bottom w:val="none" w:sz="0" w:space="0" w:color="auto"/>
        <w:right w:val="none" w:sz="0" w:space="0" w:color="auto"/>
      </w:divBdr>
    </w:div>
    <w:div w:id="2004045192">
      <w:bodyDiv w:val="1"/>
      <w:marLeft w:val="0"/>
      <w:marRight w:val="0"/>
      <w:marTop w:val="0"/>
      <w:marBottom w:val="0"/>
      <w:divBdr>
        <w:top w:val="none" w:sz="0" w:space="0" w:color="auto"/>
        <w:left w:val="none" w:sz="0" w:space="0" w:color="auto"/>
        <w:bottom w:val="none" w:sz="0" w:space="0" w:color="auto"/>
        <w:right w:val="none" w:sz="0" w:space="0" w:color="auto"/>
      </w:divBdr>
    </w:div>
    <w:div w:id="213424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yperlink" Target="http://eur-lex.europa.eu/budget/www/index-bg.htm" TargetMode="Externa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FAECC-048C-41CC-8C42-2C1C35C50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6000</Words>
  <Characters>30065</Characters>
  <Application>Microsoft Office Word</Application>
  <DocSecurity>0</DocSecurity>
  <Lines>1036</Lines>
  <Paragraphs>667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35398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22</cp:revision>
  <cp:lastPrinted>2017-10-12T12:21:00Z</cp:lastPrinted>
  <dcterms:created xsi:type="dcterms:W3CDTF">2017-10-12T13:06:00Z</dcterms:created>
  <dcterms:modified xsi:type="dcterms:W3CDTF">2017-10-25T06:18:00Z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_NewReviewCycle">
    <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ies>
</file>