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EF9" w:rsidRDefault="00073E89" w:rsidP="00073E89">
      <w:pPr>
        <w:pStyle w:val="Pagedecouverture"/>
        <w:rPr>
          <w:noProof/>
          <w:lang w:eastAsia="de-DE"/>
        </w:rPr>
      </w:pPr>
      <w:bookmarkStart w:id="0" w:name="LW_BM_COVERPAGE"/>
      <w:r>
        <w:rPr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0FDC13DF7C854D5F90A527B5267C18CD" style="width:451.7pt;height:434.05pt">
            <v:imagedata r:id="rId9" o:title=""/>
          </v:shape>
        </w:pict>
      </w:r>
    </w:p>
    <w:bookmarkEnd w:id="0"/>
    <w:p w:rsidR="00555EF9" w:rsidRDefault="00555EF9">
      <w:pPr>
        <w:rPr>
          <w:noProof/>
          <w:lang w:eastAsia="de-DE"/>
        </w:rPr>
        <w:sectPr w:rsidR="00555EF9" w:rsidSect="00073E8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 w:rsidR="00555EF9" w:rsidRDefault="00FB00E8">
      <w:pPr>
        <w:spacing w:after="600"/>
        <w:jc w:val="center"/>
        <w:outlineLvl w:val="0"/>
        <w:rPr>
          <w:rFonts w:ascii="Times New Roman" w:hAnsi="Times New Roman"/>
          <w:b/>
          <w:i/>
          <w:noProof/>
          <w:sz w:val="20"/>
          <w:szCs w:val="20"/>
          <w:highlight w:val="yellow"/>
          <w:u w:val="single"/>
          <w:lang w:eastAsia="de-DE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8"/>
          <w:szCs w:val="28"/>
          <w:u w:val="single"/>
          <w:lang w:eastAsia="de-DE"/>
        </w:rPr>
        <w:lastRenderedPageBreak/>
        <w:t>Annex II: REFIT initiatives</w:t>
      </w:r>
      <w:r>
        <w:rPr>
          <w:rStyle w:val="FootnoteReference"/>
          <w:rFonts w:ascii="Times New Roman" w:hAnsi="Times New Roman"/>
          <w:b/>
          <w:noProof/>
          <w:sz w:val="28"/>
          <w:szCs w:val="28"/>
          <w:u w:val="single"/>
          <w:lang w:eastAsia="de-DE"/>
        </w:rPr>
        <w:footnoteReference w:id="1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81"/>
        <w:gridCol w:w="4197"/>
        <w:gridCol w:w="9596"/>
      </w:tblGrid>
      <w:tr w:rsidR="00555EF9">
        <w:trPr>
          <w:cantSplit/>
          <w:tblHeader/>
        </w:trPr>
        <w:tc>
          <w:tcPr>
            <w:tcW w:w="134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555EF9" w:rsidRDefault="00FB00E8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b/>
                <w:bCs/>
                <w:noProof/>
                <w:sz w:val="20"/>
                <w:szCs w:val="20"/>
                <w:lang w:eastAsia="ja-JP"/>
              </w:rPr>
              <w:t>Nº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555EF9" w:rsidRDefault="00FB00E8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Title</w:t>
            </w:r>
          </w:p>
        </w:tc>
        <w:tc>
          <w:tcPr>
            <w:tcW w:w="3385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555EF9" w:rsidRDefault="00FB00E8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Description</w:t>
            </w:r>
            <w:r>
              <w:rPr>
                <w:rStyle w:val="FootnoteReference"/>
                <w:rFonts w:ascii="Times New Roman" w:hAnsi="Times New Roman"/>
                <w:b/>
                <w:noProof/>
                <w:sz w:val="20"/>
                <w:szCs w:val="20"/>
              </w:rPr>
              <w:footnoteReference w:id="2"/>
            </w:r>
          </w:p>
        </w:tc>
      </w:tr>
      <w:tr w:rsidR="00555EF9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555EF9" w:rsidRDefault="00FB00E8">
            <w:pPr>
              <w:keepNext/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A New Boost for Jobs, Growth and Investment</w:t>
            </w:r>
            <w:r>
              <w:rPr>
                <w:rFonts w:cs="EC Square Sans Pro"/>
                <w:b/>
                <w:bCs/>
                <w:iCs/>
                <w:noProof/>
                <w:color w:val="000000"/>
                <w:sz w:val="23"/>
                <w:szCs w:val="23"/>
              </w:rPr>
              <w:t xml:space="preserve"> </w:t>
            </w:r>
          </w:p>
        </w:tc>
      </w:tr>
      <w:tr w:rsidR="00555EF9">
        <w:trPr>
          <w:cantSplit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F9" w:rsidRDefault="00555E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F9" w:rsidRDefault="00FB00E8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Follow up to Environmental Monitoring &amp; Reporting Fitness Check</w:t>
            </w:r>
          </w:p>
        </w:tc>
        <w:tc>
          <w:tcPr>
            <w:tcW w:w="3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EF9" w:rsidRDefault="00FB00E8"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Initiative to streamline requirements in follow-up to a Fitness Check on Environmental Monitoring &amp; Reporting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(Art. 95, 175, 192 TFEU, Q1 2018)</w:t>
            </w:r>
          </w:p>
        </w:tc>
      </w:tr>
      <w:tr w:rsidR="00555EF9">
        <w:trPr>
          <w:cantSplit/>
        </w:trPr>
        <w:tc>
          <w:tcPr>
            <w:tcW w:w="5000" w:type="pct"/>
            <w:gridSpan w:val="3"/>
            <w:shd w:val="clear" w:color="auto" w:fill="92D050"/>
          </w:tcPr>
          <w:p w:rsidR="00555EF9" w:rsidRDefault="00FB00E8">
            <w:pPr>
              <w:keepNext/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A Connected Digital Single Market </w:t>
            </w:r>
          </w:p>
        </w:tc>
      </w:tr>
      <w:tr w:rsidR="00555EF9">
        <w:trPr>
          <w:cantSplit/>
        </w:trPr>
        <w:tc>
          <w:tcPr>
            <w:tcW w:w="134" w:type="pct"/>
            <w:tcBorders>
              <w:bottom w:val="single" w:sz="4" w:space="0" w:color="auto"/>
            </w:tcBorders>
            <w:shd w:val="clear" w:color="auto" w:fill="auto"/>
          </w:tcPr>
          <w:p w:rsidR="00555EF9" w:rsidRDefault="00555E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81" w:type="pct"/>
            <w:tcBorders>
              <w:bottom w:val="single" w:sz="4" w:space="0" w:color="auto"/>
            </w:tcBorders>
          </w:tcPr>
          <w:p w:rsidR="00555EF9" w:rsidRDefault="00FB00E8">
            <w:pPr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Public 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Sector Information</w:t>
            </w:r>
          </w:p>
        </w:tc>
        <w:tc>
          <w:tcPr>
            <w:tcW w:w="3385" w:type="pct"/>
            <w:tcBorders>
              <w:bottom w:val="single" w:sz="4" w:space="0" w:color="auto"/>
            </w:tcBorders>
          </w:tcPr>
          <w:p w:rsidR="00555EF9" w:rsidRDefault="00FB00E8">
            <w:pPr>
              <w:spacing w:after="0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  <w:t xml:space="preserve">Review of Directive 2013/37/EU on the re-use of public sector information will create opportunities to open up government data for the benefit of society, reduce regulatory costs and simplify the existing legislation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(legislative, incl.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impact assessment, Art.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en"/>
              </w:rPr>
              <w:t>114 TFEU,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Q2 2018)</w:t>
            </w:r>
          </w:p>
        </w:tc>
      </w:tr>
      <w:tr w:rsidR="00555EF9">
        <w:trPr>
          <w:cantSplit/>
        </w:trPr>
        <w:tc>
          <w:tcPr>
            <w:tcW w:w="5000" w:type="pct"/>
            <w:gridSpan w:val="3"/>
            <w:shd w:val="clear" w:color="auto" w:fill="92D050"/>
          </w:tcPr>
          <w:p w:rsidR="00555EF9" w:rsidRDefault="00FB00E8">
            <w:pPr>
              <w:keepNext/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A Resilient Energy Union with a Forward-Looking Climate Change Policy</w:t>
            </w:r>
            <w:r>
              <w:rPr>
                <w:rFonts w:cs="EC Square Sans Pro"/>
                <w:b/>
                <w:bCs/>
                <w:iCs/>
                <w:noProof/>
                <w:color w:val="000000"/>
                <w:sz w:val="23"/>
                <w:szCs w:val="23"/>
              </w:rPr>
              <w:t xml:space="preserve"> </w:t>
            </w:r>
          </w:p>
        </w:tc>
      </w:tr>
      <w:tr w:rsidR="00555EF9">
        <w:trPr>
          <w:cantSplit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F9" w:rsidRDefault="00555E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F9" w:rsidRDefault="00FB00E8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  <w:t>Review of the Fisheries Control System</w:t>
            </w:r>
          </w:p>
        </w:tc>
        <w:tc>
          <w:tcPr>
            <w:tcW w:w="3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EF9" w:rsidRDefault="00FB00E8">
            <w:pPr>
              <w:spacing w:after="0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  <w:t xml:space="preserve">Based on the results of the evaluation 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val="en"/>
              </w:rPr>
              <w:t>SWD(2017)134 final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  <w:t>, the initiative aims at simplifying the current legislative framework (Council Regulation (EC) No 1224/2009, Council Regulation (EC) No 768/2005, Council Regulation (EC) No 1005/2008) and making it more effective by e.g. streamlining the rules, harmonisin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  <w:t xml:space="preserve">g the catalogue of serious infringements, reducing administrative burdens and promoting the use of harmonised IT tools. This initiative responds to an opinion of the REFIT Platform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(legislative, incl. impact assessment, Art. 43 TFEU, Q2 2018)</w:t>
            </w:r>
          </w:p>
        </w:tc>
      </w:tr>
      <w:tr w:rsidR="00555EF9">
        <w:trPr>
          <w:cantSplit/>
        </w:trPr>
        <w:tc>
          <w:tcPr>
            <w:tcW w:w="5000" w:type="pct"/>
            <w:gridSpan w:val="3"/>
            <w:shd w:val="clear" w:color="auto" w:fill="92D050"/>
          </w:tcPr>
          <w:p w:rsidR="00555EF9" w:rsidRDefault="00FB00E8">
            <w:pPr>
              <w:keepNext/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lastRenderedPageBreak/>
              <w:t>A Deeper and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Fairer Internal Market with a Strengthened Industrial Base</w:t>
            </w:r>
          </w:p>
        </w:tc>
      </w:tr>
      <w:tr w:rsidR="00555EF9">
        <w:trPr>
          <w:cantSplit/>
        </w:trPr>
        <w:tc>
          <w:tcPr>
            <w:tcW w:w="134" w:type="pct"/>
            <w:shd w:val="clear" w:color="auto" w:fill="auto"/>
          </w:tcPr>
          <w:p w:rsidR="00555EF9" w:rsidRDefault="00555E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81" w:type="pct"/>
          </w:tcPr>
          <w:p w:rsidR="00555EF9" w:rsidRDefault="00FB00E8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Recognition of electronic transport documents for freight carriage by public authorities and/or commercial partners</w:t>
            </w:r>
          </w:p>
        </w:tc>
        <w:tc>
          <w:tcPr>
            <w:tcW w:w="3385" w:type="pct"/>
          </w:tcPr>
          <w:p w:rsidR="00555EF9" w:rsidRDefault="00FB00E8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The initiative will aim at leveraging the potential of digitalisation in the transport sector through fostering the recognition of freight transport documents in an electronic form by authorities and /or commercial partners, and their wider use by transpor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t operators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(legislative, incl. impact assessment, Art. 91 TFEU, Q2 2018)</w:t>
            </w:r>
          </w:p>
        </w:tc>
      </w:tr>
      <w:tr w:rsidR="00555EF9">
        <w:trPr>
          <w:cantSplit/>
        </w:trPr>
        <w:tc>
          <w:tcPr>
            <w:tcW w:w="134" w:type="pct"/>
            <w:shd w:val="clear" w:color="auto" w:fill="auto"/>
          </w:tcPr>
          <w:p w:rsidR="00555EF9" w:rsidRDefault="00555E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81" w:type="pct"/>
            <w:shd w:val="clear" w:color="auto" w:fill="auto"/>
          </w:tcPr>
          <w:p w:rsidR="00555EF9" w:rsidRDefault="00FB00E8">
            <w:pPr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Single Maritime Window Initiative</w:t>
            </w:r>
          </w:p>
        </w:tc>
        <w:tc>
          <w:tcPr>
            <w:tcW w:w="3385" w:type="pct"/>
            <w:shd w:val="clear" w:color="auto" w:fill="auto"/>
          </w:tcPr>
          <w:p w:rsidR="00555EF9" w:rsidRDefault="00FB00E8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Revision of Directive 2010/65/EU on Reporting Formalities for ships arriving in and/or departing from ports of the Member States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(legislative, inc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l. impact assessment, Art. 100(2) TFEU, Q2 2018)</w:t>
            </w:r>
          </w:p>
        </w:tc>
      </w:tr>
      <w:tr w:rsidR="00555EF9">
        <w:trPr>
          <w:cantSplit/>
        </w:trPr>
        <w:tc>
          <w:tcPr>
            <w:tcW w:w="134" w:type="pct"/>
            <w:shd w:val="clear" w:color="auto" w:fill="auto"/>
          </w:tcPr>
          <w:p w:rsidR="00555EF9" w:rsidRDefault="00555E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81" w:type="pct"/>
            <w:shd w:val="clear" w:color="auto" w:fill="auto"/>
          </w:tcPr>
          <w:p w:rsidR="00555EF9" w:rsidRDefault="00FB00E8">
            <w:pPr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TEN-T investments</w:t>
            </w:r>
          </w:p>
        </w:tc>
        <w:tc>
          <w:tcPr>
            <w:tcW w:w="3385" w:type="pct"/>
            <w:shd w:val="clear" w:color="auto" w:fill="auto"/>
          </w:tcPr>
          <w:p w:rsidR="00555EF9" w:rsidRDefault="00FB00E8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Style w:val="truncate"/>
                <w:rFonts w:ascii="Times New Roman" w:hAnsi="Times New Roman"/>
                <w:b/>
                <w:noProof/>
                <w:sz w:val="20"/>
                <w:szCs w:val="20"/>
              </w:rPr>
              <w:t xml:space="preserve">Regulation on streamlining measures for swifter implementation of the projects of common interest on the Trans-European Transport Network </w:t>
            </w:r>
            <w:r>
              <w:rPr>
                <w:rStyle w:val="truncate"/>
                <w:rFonts w:ascii="Times New Roman" w:hAnsi="Times New Roman"/>
                <w:noProof/>
                <w:sz w:val="20"/>
                <w:szCs w:val="20"/>
              </w:rPr>
              <w:t xml:space="preserve">(legislative,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incl. impact assessment, Art.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171-172 TFEU, Q1 2018)</w:t>
            </w:r>
          </w:p>
        </w:tc>
      </w:tr>
      <w:tr w:rsidR="00555EF9">
        <w:trPr>
          <w:cantSplit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F9" w:rsidRDefault="00555E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F9" w:rsidRDefault="00FB00E8">
            <w:pPr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General arrangements for excise duty</w:t>
            </w:r>
            <w:r>
              <w:rPr>
                <w:rStyle w:val="FootnoteReference"/>
                <w:rFonts w:ascii="Times New Roman" w:hAnsi="Times New Roman"/>
                <w:b/>
                <w:noProof/>
                <w:sz w:val="20"/>
                <w:szCs w:val="20"/>
              </w:rPr>
              <w:footnoteReference w:id="3"/>
            </w:r>
          </w:p>
        </w:tc>
        <w:tc>
          <w:tcPr>
            <w:tcW w:w="3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F9" w:rsidRDefault="00FB00E8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Revision of Directive 2008/118/EC to align and ensure coherence between customs and excise legislation, improve legal certainty and ensure the uniform application of EU legislation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(legislative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, incl. impact assessment, Art 113 TFEU, Q1/2018).</w:t>
            </w:r>
          </w:p>
        </w:tc>
      </w:tr>
      <w:tr w:rsidR="00555EF9">
        <w:trPr>
          <w:cantSplit/>
        </w:trPr>
        <w:tc>
          <w:tcPr>
            <w:tcW w:w="5000" w:type="pct"/>
            <w:gridSpan w:val="3"/>
            <w:shd w:val="clear" w:color="auto" w:fill="92D050"/>
          </w:tcPr>
          <w:p w:rsidR="00555EF9" w:rsidRDefault="00FB00E8">
            <w:pPr>
              <w:keepNext/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An Area of Justice and Fundamental Rights Based on Mutual Trust</w:t>
            </w:r>
            <w:r>
              <w:rPr>
                <w:rFonts w:cs="EC Square Sans Pro"/>
                <w:b/>
                <w:bCs/>
                <w:iCs/>
                <w:noProof/>
                <w:color w:val="000000"/>
                <w:sz w:val="23"/>
                <w:szCs w:val="23"/>
              </w:rPr>
              <w:t xml:space="preserve"> </w:t>
            </w:r>
          </w:p>
        </w:tc>
      </w:tr>
      <w:tr w:rsidR="00555EF9">
        <w:trPr>
          <w:cantSplit/>
        </w:trPr>
        <w:tc>
          <w:tcPr>
            <w:tcW w:w="134" w:type="pct"/>
            <w:tcBorders>
              <w:bottom w:val="single" w:sz="4" w:space="0" w:color="auto"/>
            </w:tcBorders>
            <w:shd w:val="clear" w:color="auto" w:fill="auto"/>
          </w:tcPr>
          <w:p w:rsidR="00555EF9" w:rsidRDefault="00555E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481" w:type="pct"/>
            <w:tcBorders>
              <w:bottom w:val="single" w:sz="4" w:space="0" w:color="auto"/>
            </w:tcBorders>
          </w:tcPr>
          <w:p w:rsidR="00555EF9" w:rsidRDefault="00FB00E8">
            <w:pPr>
              <w:spacing w:after="0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  <w:t>A new Deal for Consumers</w:t>
            </w:r>
          </w:p>
        </w:tc>
        <w:tc>
          <w:tcPr>
            <w:tcW w:w="3385" w:type="pct"/>
            <w:tcBorders>
              <w:bottom w:val="single" w:sz="4" w:space="0" w:color="auto"/>
            </w:tcBorders>
          </w:tcPr>
          <w:p w:rsidR="00555EF9" w:rsidRDefault="00FB00E8">
            <w:pPr>
              <w:spacing w:after="0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  <w:t xml:space="preserve">Targeted revision of the EU consumer directives following on the Fitness Check of EU consumer and marketing laws finalised on 23 May 2017. Initiative to facilitate </w:t>
            </w:r>
            <w:r>
              <w:rPr>
                <w:rFonts w:ascii="Times New Roman" w:hAnsi="Times New Roman"/>
                <w:b/>
                <w:bCs/>
                <w:iCs/>
                <w:noProof/>
                <w:color w:val="000000" w:themeColor="text1"/>
                <w:sz w:val="20"/>
                <w:szCs w:val="20"/>
              </w:rPr>
              <w:t>coordination and effective action from national consumer authorities at EU level and reinfor</w:t>
            </w:r>
            <w:r>
              <w:rPr>
                <w:rFonts w:ascii="Times New Roman" w:hAnsi="Times New Roman"/>
                <w:b/>
                <w:bCs/>
                <w:iCs/>
                <w:noProof/>
                <w:color w:val="000000" w:themeColor="text1"/>
                <w:sz w:val="20"/>
                <w:szCs w:val="20"/>
              </w:rPr>
              <w:t xml:space="preserve">cing public enforcement action and better protection of consumer rights </w:t>
            </w:r>
            <w:r>
              <w:rPr>
                <w:rFonts w:ascii="Times New Roman" w:hAnsi="Times New Roman"/>
                <w:bCs/>
                <w:iCs/>
                <w:noProof/>
                <w:color w:val="000000" w:themeColor="text1"/>
                <w:sz w:val="20"/>
                <w:szCs w:val="20"/>
              </w:rPr>
              <w:t xml:space="preserve">(legislative,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incl. impact assessment, Art 114 TFEU, </w:t>
            </w:r>
            <w:r>
              <w:rPr>
                <w:rFonts w:ascii="Times New Roman" w:hAnsi="Times New Roman"/>
                <w:bCs/>
                <w:iCs/>
                <w:noProof/>
                <w:color w:val="000000" w:themeColor="text1"/>
                <w:sz w:val="20"/>
                <w:szCs w:val="20"/>
              </w:rPr>
              <w:t>Q1 2018)</w:t>
            </w:r>
            <w:r>
              <w:rPr>
                <w:rFonts w:ascii="Times New Roman" w:hAnsi="Times New Roman"/>
                <w:b/>
                <w:bCs/>
                <w:iCs/>
                <w:noProof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55EF9">
        <w:trPr>
          <w:cantSplit/>
        </w:trPr>
        <w:tc>
          <w:tcPr>
            <w:tcW w:w="134" w:type="pct"/>
            <w:shd w:val="clear" w:color="auto" w:fill="auto"/>
          </w:tcPr>
          <w:p w:rsidR="00555EF9" w:rsidRDefault="00555E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481" w:type="pct"/>
          </w:tcPr>
          <w:p w:rsidR="00555EF9" w:rsidRDefault="00FB00E8">
            <w:pPr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  <w:t>ID cards and Residence Documents</w:t>
            </w:r>
          </w:p>
        </w:tc>
        <w:tc>
          <w:tcPr>
            <w:tcW w:w="3385" w:type="pct"/>
          </w:tcPr>
          <w:p w:rsidR="00555EF9" w:rsidRDefault="00FB00E8">
            <w:pPr>
              <w:spacing w:after="0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  <w:t xml:space="preserve">Legislative Initiative to improve the security of ID cards and residence documents of 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  <w:t xml:space="preserve">EU citizens and of their non-EU family members. This initiative responds to an opinion of the REFIT Platform.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(legislative, incl. impact assessment, Art. 21 and/or 77(3) TFEU, Q2 2018)</w:t>
            </w:r>
          </w:p>
        </w:tc>
      </w:tr>
      <w:tr w:rsidR="00555EF9">
        <w:trPr>
          <w:cantSplit/>
        </w:trPr>
        <w:tc>
          <w:tcPr>
            <w:tcW w:w="134" w:type="pct"/>
            <w:shd w:val="clear" w:color="auto" w:fill="auto"/>
          </w:tcPr>
          <w:p w:rsidR="00555EF9" w:rsidRDefault="00555E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481" w:type="pct"/>
          </w:tcPr>
          <w:p w:rsidR="00555EF9" w:rsidRDefault="00FB00E8">
            <w:pPr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  <w:t>Revision of the Regulation on service of documents</w:t>
            </w:r>
          </w:p>
          <w:p w:rsidR="00555EF9" w:rsidRDefault="00555EF9">
            <w:pPr>
              <w:spacing w:after="0"/>
              <w:rPr>
                <w:rFonts w:ascii="Times New Roman" w:hAnsi="Times New Roman"/>
                <w:b/>
                <w:i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385" w:type="pct"/>
          </w:tcPr>
          <w:p w:rsidR="00555EF9" w:rsidRDefault="00FB00E8">
            <w:pPr>
              <w:spacing w:after="0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  <w:t xml:space="preserve">Revision of Regulation (EC) No 1393/2007 on the service in the Member States of judicial and extrajudicial documents in civil or commercial matters (service of documents)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(legislative, incl. impact assessment, Art. 81(2) TFEU, Q2 2018).</w:t>
            </w:r>
          </w:p>
        </w:tc>
      </w:tr>
      <w:tr w:rsidR="00555EF9">
        <w:trPr>
          <w:cantSplit/>
        </w:trPr>
        <w:tc>
          <w:tcPr>
            <w:tcW w:w="134" w:type="pct"/>
            <w:tcBorders>
              <w:bottom w:val="single" w:sz="4" w:space="0" w:color="auto"/>
            </w:tcBorders>
            <w:shd w:val="clear" w:color="auto" w:fill="auto"/>
          </w:tcPr>
          <w:p w:rsidR="00555EF9" w:rsidRDefault="00555E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481" w:type="pct"/>
            <w:tcBorders>
              <w:bottom w:val="single" w:sz="4" w:space="0" w:color="auto"/>
            </w:tcBorders>
          </w:tcPr>
          <w:p w:rsidR="00555EF9" w:rsidRDefault="00FB00E8">
            <w:pPr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  <w:t>Revision of the R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  <w:t>egulation on taking of evidence</w:t>
            </w:r>
          </w:p>
        </w:tc>
        <w:tc>
          <w:tcPr>
            <w:tcW w:w="3385" w:type="pct"/>
            <w:tcBorders>
              <w:bottom w:val="single" w:sz="4" w:space="0" w:color="auto"/>
            </w:tcBorders>
          </w:tcPr>
          <w:p w:rsidR="00555EF9" w:rsidRDefault="00FB00E8">
            <w:pPr>
              <w:spacing w:after="0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  <w:t xml:space="preserve">Revision of the Regulation 1206/2001 on taking of evidence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(legislative, incl. impact assessment, Art. 81(2) TFEU, Q2 2018)</w:t>
            </w:r>
          </w:p>
        </w:tc>
      </w:tr>
      <w:tr w:rsidR="00555EF9">
        <w:trPr>
          <w:cantSplit/>
        </w:trPr>
        <w:tc>
          <w:tcPr>
            <w:tcW w:w="134" w:type="pct"/>
            <w:tcBorders>
              <w:bottom w:val="single" w:sz="4" w:space="0" w:color="auto"/>
            </w:tcBorders>
            <w:shd w:val="clear" w:color="auto" w:fill="auto"/>
          </w:tcPr>
          <w:p w:rsidR="00555EF9" w:rsidRDefault="00555E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481" w:type="pct"/>
            <w:tcBorders>
              <w:bottom w:val="single" w:sz="4" w:space="0" w:color="auto"/>
            </w:tcBorders>
          </w:tcPr>
          <w:p w:rsidR="00555EF9" w:rsidRDefault="00FB00E8">
            <w:pPr>
              <w:spacing w:after="0"/>
              <w:rPr>
                <w:rFonts w:ascii="Times New Roman" w:hAnsi="Times New Roman"/>
                <w:b/>
                <w:i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  <w:t>Emergency Travel Documents</w:t>
            </w:r>
          </w:p>
        </w:tc>
        <w:tc>
          <w:tcPr>
            <w:tcW w:w="3385" w:type="pct"/>
            <w:tcBorders>
              <w:bottom w:val="single" w:sz="4" w:space="0" w:color="auto"/>
            </w:tcBorders>
          </w:tcPr>
          <w:p w:rsidR="00555EF9" w:rsidRDefault="00FB00E8">
            <w:pPr>
              <w:spacing w:after="0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  <w:t xml:space="preserve">Review of the Proposal for a Council Directive to replace the Decision on the establishment of an emergency travel document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(legislative, incl. impact assessmen, Art. 23 TFEU, Q2 2018)</w:t>
            </w:r>
          </w:p>
        </w:tc>
      </w:tr>
    </w:tbl>
    <w:p w:rsidR="00555EF9" w:rsidRDefault="00555EF9">
      <w:pPr>
        <w:spacing w:after="600"/>
        <w:outlineLvl w:val="0"/>
        <w:rPr>
          <w:noProof/>
        </w:rPr>
      </w:pPr>
    </w:p>
    <w:sectPr w:rsidR="00555EF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EF9" w:rsidRDefault="00FB00E8">
      <w:pPr>
        <w:spacing w:after="0" w:line="240" w:lineRule="auto"/>
      </w:pPr>
      <w:r>
        <w:separator/>
      </w:r>
    </w:p>
  </w:endnote>
  <w:endnote w:type="continuationSeparator" w:id="0">
    <w:p w:rsidR="00555EF9" w:rsidRDefault="00FB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 Square Sans Pro">
    <w:altName w:val="Segoe UI"/>
    <w:panose1 w:val="020B0506040000020004"/>
    <w:charset w:val="00"/>
    <w:family w:val="swiss"/>
    <w:pitch w:val="variable"/>
    <w:sig w:usb0="A00002B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0E8" w:rsidRDefault="00FB00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E89" w:rsidRPr="00073E89" w:rsidRDefault="00073E89" w:rsidP="00073E89">
    <w:pPr>
      <w:pStyle w:val="FooterCoverPage"/>
      <w:rPr>
        <w:rFonts w:ascii="Arial" w:hAnsi="Arial" w:cs="Arial"/>
        <w:b/>
        <w:sz w:val="48"/>
      </w:rPr>
    </w:pPr>
    <w:r w:rsidRPr="00073E89">
      <w:rPr>
        <w:rFonts w:ascii="Arial" w:hAnsi="Arial" w:cs="Arial"/>
        <w:b/>
        <w:sz w:val="48"/>
      </w:rPr>
      <w:t>EN</w:t>
    </w:r>
    <w:r w:rsidRPr="00073E89">
      <w:rPr>
        <w:rFonts w:ascii="Arial" w:hAnsi="Arial" w:cs="Arial"/>
        <w:b/>
        <w:sz w:val="48"/>
      </w:rPr>
      <w:tab/>
    </w:r>
    <w:r w:rsidRPr="00073E89">
      <w:rPr>
        <w:rFonts w:ascii="Arial" w:hAnsi="Arial" w:cs="Arial"/>
        <w:b/>
        <w:sz w:val="48"/>
      </w:rPr>
      <w:tab/>
    </w:r>
    <w:fldSimple w:instr=" DOCVARIABLE &quot;LW_Confidence&quot; \* MERGEFORMAT ">
      <w:r w:rsidR="00FB00E8">
        <w:t xml:space="preserve"> </w:t>
      </w:r>
    </w:fldSimple>
    <w:r w:rsidRPr="00073E89">
      <w:tab/>
    </w:r>
    <w:r w:rsidRPr="00073E89"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0E8" w:rsidRDefault="00FB00E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EF9" w:rsidRDefault="00555EF9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860127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555EF9" w:rsidRDefault="00FB00E8">
        <w:pPr>
          <w:pStyle w:val="Footer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   \* MERGEFORMAT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>
          <w:rPr>
            <w:rFonts w:ascii="Times New Roman" w:hAnsi="Times New Roman"/>
            <w:noProof/>
          </w:rPr>
          <w:fldChar w:fldCharType="end"/>
        </w:r>
      </w:p>
    </w:sdtContent>
  </w:sdt>
  <w:p w:rsidR="00555EF9" w:rsidRDefault="00555EF9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EF9" w:rsidRDefault="00555E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EF9" w:rsidRDefault="00FB00E8">
      <w:pPr>
        <w:spacing w:after="0" w:line="240" w:lineRule="auto"/>
      </w:pPr>
      <w:r>
        <w:separator/>
      </w:r>
    </w:p>
  </w:footnote>
  <w:footnote w:type="continuationSeparator" w:id="0">
    <w:p w:rsidR="00555EF9" w:rsidRDefault="00FB00E8">
      <w:pPr>
        <w:spacing w:after="0" w:line="240" w:lineRule="auto"/>
      </w:pPr>
      <w:r>
        <w:continuationSeparator/>
      </w:r>
    </w:p>
  </w:footnote>
  <w:footnote w:id="1">
    <w:p w:rsidR="00555EF9" w:rsidRDefault="00FB00E8">
      <w:pPr>
        <w:pStyle w:val="FootnoteText"/>
        <w:spacing w:after="60"/>
        <w:jc w:val="both"/>
      </w:pPr>
      <w:r>
        <w:rPr>
          <w:rStyle w:val="FootnoteReference"/>
        </w:rPr>
        <w:footnoteRef/>
      </w:r>
      <w:r>
        <w:t xml:space="preserve"> This annex lists legislative initiatives under REFIT foreseen for adoption in 2018. It complements the items listed with new initiatives in Annex I</w:t>
      </w:r>
    </w:p>
  </w:footnote>
  <w:footnote w:id="2">
    <w:p w:rsidR="00555EF9" w:rsidRDefault="00FB00E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In this annex the Commission provides further information, as far as available, on the initiatives includ</w:t>
      </w:r>
      <w:r>
        <w:t>ed in its Work Programme, in line with the Interinstitutional Agreement on Better Law-making. This information, which is provided in brackets under the description of each initiative, is indicative only and subject to change during the preparatory process,</w:t>
      </w:r>
      <w:r>
        <w:t xml:space="preserve"> notably in view of the outcome of an impact assessment process</w:t>
      </w:r>
    </w:p>
    <w:p w:rsidR="00555EF9" w:rsidRDefault="00555EF9">
      <w:pPr>
        <w:pStyle w:val="FootnoteText"/>
        <w:jc w:val="both"/>
      </w:pPr>
    </w:p>
  </w:footnote>
  <w:footnote w:id="3">
    <w:p w:rsidR="00555EF9" w:rsidRDefault="00FB00E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General arrangements for excise duty was already included in Annex II to the Commission Work Programme 2017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0E8" w:rsidRDefault="00FB00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0E8" w:rsidRDefault="00FB00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0E8" w:rsidRDefault="00FB00E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EF9" w:rsidRDefault="00555EF9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EF9" w:rsidRDefault="00555EF9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EF9" w:rsidRDefault="00555E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7A2"/>
    <w:multiLevelType w:val="hybridMultilevel"/>
    <w:tmpl w:val="DC52E516"/>
    <w:lvl w:ilvl="0" w:tplc="50041C60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D369E"/>
    <w:multiLevelType w:val="hybridMultilevel"/>
    <w:tmpl w:val="02CA5520"/>
    <w:lvl w:ilvl="0" w:tplc="FD7E75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E45813"/>
    <w:multiLevelType w:val="hybridMultilevel"/>
    <w:tmpl w:val="2C16C1E6"/>
    <w:lvl w:ilvl="0" w:tplc="50041C60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hideSpellingErrors/>
  <w:hideGrammaticalErrors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2"/>
    <w:docVar w:name="LW_ANNEX_NBR_LAST" w:val="2"/>
    <w:docVar w:name="LW_CONFIDENCE" w:val=" "/>
    <w:docVar w:name="LW_CONST_RESTREINT_UE" w:val="RESTREINT UE/EU RESTRICTED"/>
    <w:docVar w:name="LW_CORRIGENDUM" w:val="&lt;UNUSED&gt;"/>
    <w:docVar w:name="LW_COVERPAGE_GUID" w:val="0FDC13DF7C854D5F90A527B5267C18CD"/>
    <w:docVar w:name="LW_CROSSREFERENCE" w:val="&lt;UNUSED&gt;"/>
    <w:docVar w:name="LW_DocType" w:val="NORMAL"/>
    <w:docVar w:name="LW_EMISSION" w:val="24.10.2017"/>
    <w:docVar w:name="LW_EMISSION_ISODATE" w:val="2017-10-24"/>
    <w:docVar w:name="LW_EMISSION_LOCATION" w:val="STR"/>
    <w:docVar w:name="LW_EMISSION_PREFIX" w:val="Strasbourg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_x000b_Commission Work Programme 2018_x000b__x000b_An agenda for a more united, stronger and more democratic Europe"/>
    <w:docVar w:name="LW_PART_NBR" w:val="1"/>
    <w:docVar w:name="LW_PART_NBR_TOTAL" w:val="1"/>
    <w:docVar w:name="LW_REF.INST.NEW" w:val="COM"/>
    <w:docVar w:name="LW_REF.INST.NEW_ADOPTED" w:val="final"/>
    <w:docVar w:name="LW_REF.INST.NEW_TEXT" w:val="(2017) 650"/>
    <w:docVar w:name="LW_REF.INTERNE" w:val="&lt;UNUSED&gt;"/>
    <w:docVar w:name="LW_SUPERTITRE" w:val="&lt;UNUSED&gt;"/>
    <w:docVar w:name="LW_TITRE.OBJ.CP" w:val="&lt;UNUSED&gt;"/>
    <w:docVar w:name="LW_TYPE.DOC.CP" w:val="ANNEX_x000b_"/>
    <w:docVar w:name="LW_TYPEACTEPRINCIPAL.CP" w:val="COMMUNICATION FROM THE COMMISSION TO THE EUROPEAN PARLIAMENT, THE COUNCIL, THE EUROPEAN ECONOMIC AND SOCIAL COMMITTEE AND THE COMMITTEE OF THE REGIONS"/>
  </w:docVars>
  <w:rsids>
    <w:rsidRoot w:val="00555EF9"/>
    <w:rsid w:val="00073E89"/>
    <w:rsid w:val="00555EF9"/>
    <w:rsid w:val="00FB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,Fußnote"/>
    <w:basedOn w:val="Normal"/>
    <w:link w:val="FootnoteTextChar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aliases w:val="Footnote Reference Superscript,Footnote symbol,Footnote reference number,note TESI,SUPERS,EN Footnote Reference,Voetnootverwijzing,Times 10 Point,Exposant 3 Point,Appel note de bas de p,BVI fnr,Ref,de nota al pie,EN Footnote text,num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  <w:outlineLvl w:val="0"/>
    </w:pPr>
    <w:rPr>
      <w:rFonts w:ascii="Times New Roman" w:hAnsi="Times New Roman"/>
      <w:noProof/>
      <w:sz w:val="24"/>
      <w:szCs w:val="28"/>
      <w:lang w:eastAsia="de-DE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Calibri" w:hAnsi="Times New Roman" w:cs="Times New Roman"/>
      <w:noProof/>
      <w:sz w:val="24"/>
      <w:szCs w:val="28"/>
      <w:lang w:eastAsia="de-DE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  <w:outlineLvl w:val="0"/>
    </w:pPr>
    <w:rPr>
      <w:rFonts w:ascii="Times New Roman" w:hAnsi="Times New Roman"/>
      <w:noProof/>
      <w:sz w:val="24"/>
      <w:szCs w:val="28"/>
      <w:lang w:eastAsia="de-DE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Calibri" w:hAnsi="Times New Roman" w:cs="Times New Roman"/>
      <w:noProof/>
      <w:sz w:val="24"/>
      <w:szCs w:val="28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EC Square Sans Pro" w:hAnsi="EC Square Sans Pro" w:cs="EC Square Sans Pro"/>
      <w:color w:val="000000"/>
      <w:sz w:val="24"/>
      <w:szCs w:val="24"/>
    </w:rPr>
  </w:style>
  <w:style w:type="character" w:customStyle="1" w:styleId="truncate">
    <w:name w:val="truncate"/>
    <w:basedOn w:val="DefaultParagraphFont"/>
  </w:style>
  <w:style w:type="character" w:styleId="Emphasis">
    <w:name w:val="Emphasis"/>
    <w:basedOn w:val="DefaultParagraphFont"/>
    <w:uiPriority w:val="20"/>
    <w:qFormat/>
    <w:rPr>
      <w:b/>
      <w:bCs/>
      <w:i w:val="0"/>
      <w:iCs w:val="0"/>
    </w:rPr>
  </w:style>
  <w:style w:type="character" w:customStyle="1" w:styleId="st1">
    <w:name w:val="st1"/>
    <w:basedOn w:val="DefaultParagraphFont"/>
  </w:style>
  <w:style w:type="character" w:customStyle="1" w:styleId="tgc">
    <w:name w:val="_tgc"/>
    <w:basedOn w:val="DefaultParagraphFont"/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,Fußnote"/>
    <w:basedOn w:val="Normal"/>
    <w:link w:val="FootnoteTextChar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aliases w:val="Footnote Reference Superscript,Footnote symbol,Footnote reference number,note TESI,SUPERS,EN Footnote Reference,Voetnootverwijzing,Times 10 Point,Exposant 3 Point,Appel note de bas de p,BVI fnr,Ref,de nota al pie,EN Footnote text,num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  <w:outlineLvl w:val="0"/>
    </w:pPr>
    <w:rPr>
      <w:rFonts w:ascii="Times New Roman" w:hAnsi="Times New Roman"/>
      <w:noProof/>
      <w:sz w:val="24"/>
      <w:szCs w:val="28"/>
      <w:lang w:eastAsia="de-DE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Calibri" w:hAnsi="Times New Roman" w:cs="Times New Roman"/>
      <w:noProof/>
      <w:sz w:val="24"/>
      <w:szCs w:val="28"/>
      <w:lang w:eastAsia="de-DE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  <w:outlineLvl w:val="0"/>
    </w:pPr>
    <w:rPr>
      <w:rFonts w:ascii="Times New Roman" w:hAnsi="Times New Roman"/>
      <w:noProof/>
      <w:sz w:val="24"/>
      <w:szCs w:val="28"/>
      <w:lang w:eastAsia="de-DE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Calibri" w:hAnsi="Times New Roman" w:cs="Times New Roman"/>
      <w:noProof/>
      <w:sz w:val="24"/>
      <w:szCs w:val="28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EC Square Sans Pro" w:hAnsi="EC Square Sans Pro" w:cs="EC Square Sans Pro"/>
      <w:color w:val="000000"/>
      <w:sz w:val="24"/>
      <w:szCs w:val="24"/>
    </w:rPr>
  </w:style>
  <w:style w:type="character" w:customStyle="1" w:styleId="truncate">
    <w:name w:val="truncate"/>
    <w:basedOn w:val="DefaultParagraphFont"/>
  </w:style>
  <w:style w:type="character" w:styleId="Emphasis">
    <w:name w:val="Emphasis"/>
    <w:basedOn w:val="DefaultParagraphFont"/>
    <w:uiPriority w:val="20"/>
    <w:qFormat/>
    <w:rPr>
      <w:b/>
      <w:bCs/>
      <w:i w:val="0"/>
      <w:iCs w:val="0"/>
    </w:rPr>
  </w:style>
  <w:style w:type="character" w:customStyle="1" w:styleId="st1">
    <w:name w:val="st1"/>
    <w:basedOn w:val="DefaultParagraphFont"/>
  </w:style>
  <w:style w:type="character" w:customStyle="1" w:styleId="tgc">
    <w:name w:val="_tgc"/>
    <w:basedOn w:val="DefaultParagraphFont"/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123F8-6805-4C8A-A027-5AAD5414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595</Words>
  <Characters>3461</Characters>
  <Application>Microsoft Office Word</Application>
  <DocSecurity>0</DocSecurity>
  <Lines>76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2017-10-24T07:50:00Z</dcterms:created>
  <dcterms:modified xsi:type="dcterms:W3CDTF">2017-10-24T09:44:00Z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