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C34" w:rsidRDefault="003E3B0F" w:rsidP="003E3B0F"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34CD6F9E23AC4F70AEADDAE1FC2445C5" style="width:450.7pt;height:433.85pt">
            <v:imagedata r:id="rId9" o:title=""/>
          </v:shape>
        </w:pict>
      </w:r>
    </w:p>
    <w:p w:rsidR="00E05C34" w:rsidRDefault="00E05C34">
      <w:pPr>
        <w:rPr>
          <w:noProof/>
        </w:rPr>
        <w:sectPr w:rsidR="00E05C34" w:rsidSect="003E3B0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2"/>
          <w:cols w:space="720"/>
          <w:docGrid w:linePitch="360"/>
        </w:sectPr>
      </w:pPr>
      <w:bookmarkStart w:id="1" w:name="_GoBack"/>
      <w:bookmarkEnd w:id="0"/>
      <w:bookmarkEnd w:id="1"/>
    </w:p>
    <w:p w:rsidR="00E05C34" w:rsidRDefault="007F3C1A">
      <w:pPr>
        <w:spacing w:after="600"/>
        <w:jc w:val="center"/>
        <w:outlineLvl w:val="0"/>
        <w:rPr>
          <w:rFonts w:ascii="Times New Roman" w:hAnsi="Times New Roman"/>
          <w:b/>
          <w:i/>
          <w:noProof/>
          <w:sz w:val="20"/>
          <w:szCs w:val="20"/>
          <w:highlight w:val="yellow"/>
          <w:u w:val="single"/>
        </w:rPr>
      </w:pPr>
      <w:r>
        <w:rPr>
          <w:rFonts w:ascii="Times New Roman" w:hAnsi="Times New Roman"/>
          <w:b/>
          <w:noProof/>
          <w:sz w:val="28"/>
          <w:u w:val="single"/>
        </w:rPr>
        <w:lastRenderedPageBreak/>
        <w:t>Annexe II: initiatives REFIT</w:t>
      </w:r>
      <w:r>
        <w:rPr>
          <w:rStyle w:val="FootnoteReference"/>
          <w:rFonts w:ascii="Times New Roman" w:hAnsi="Times New Roman"/>
          <w:b/>
          <w:noProof/>
          <w:sz w:val="28"/>
          <w:u w:val="single"/>
        </w:rPr>
        <w:footnoteReference w:id="1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381"/>
        <w:gridCol w:w="4197"/>
        <w:gridCol w:w="9596"/>
      </w:tblGrid>
      <w:tr w:rsidR="00E05C34">
        <w:trPr>
          <w:cantSplit/>
          <w:tblHeader/>
        </w:trPr>
        <w:tc>
          <w:tcPr>
            <w:tcW w:w="134" w:type="pct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E05C34" w:rsidRDefault="007F3C1A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Nº</w:t>
            </w:r>
          </w:p>
        </w:tc>
        <w:tc>
          <w:tcPr>
            <w:tcW w:w="1481" w:type="pct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E05C34" w:rsidRDefault="007F3C1A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Intitulé</w:t>
            </w:r>
          </w:p>
        </w:tc>
        <w:tc>
          <w:tcPr>
            <w:tcW w:w="3385" w:type="pct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E05C34" w:rsidRDefault="007F3C1A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Description</w:t>
            </w:r>
            <w:r>
              <w:rPr>
                <w:rStyle w:val="FootnoteReference"/>
                <w:rFonts w:ascii="Times New Roman" w:hAnsi="Times New Roman"/>
                <w:b/>
                <w:noProof/>
                <w:sz w:val="20"/>
              </w:rPr>
              <w:footnoteReference w:id="2"/>
            </w:r>
          </w:p>
        </w:tc>
      </w:tr>
      <w:tr w:rsidR="00E05C34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E05C34" w:rsidRDefault="007F3C1A">
            <w:pPr>
              <w:keepNext/>
              <w:spacing w:before="60" w:after="6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Un nouvel élan pour l’emploi, la croissance</w:t>
            </w:r>
            <w:r>
              <w:rPr>
                <w:rFonts w:ascii="Times New Roman" w:hAnsi="Times New Roman"/>
                <w:b/>
                <w:noProof/>
                <w:sz w:val="20"/>
              </w:rPr>
              <w:t xml:space="preserve"> et l’investissement</w:t>
            </w:r>
          </w:p>
        </w:tc>
      </w:tr>
      <w:tr w:rsidR="00E05C34">
        <w:trPr>
          <w:cantSplit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C34" w:rsidRDefault="00E05C3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34" w:rsidRDefault="007F3C1A">
            <w:pPr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Suivi du bilan de qualité du suivi et de l’information dans le domaine de l’environnement</w:t>
            </w:r>
          </w:p>
        </w:tc>
        <w:tc>
          <w:tcPr>
            <w:tcW w:w="3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C34" w:rsidRDefault="007F3C1A"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Initiative de rationalisation des exigences à la suite d’un bilan de qualité portant sur le suivi et l’information dans le domaine de l’environnement </w:t>
            </w:r>
            <w:r>
              <w:rPr>
                <w:rFonts w:ascii="Times New Roman" w:hAnsi="Times New Roman"/>
                <w:noProof/>
                <w:sz w:val="20"/>
              </w:rPr>
              <w:t>(articles 95, 175 et 192 du TFUE, T1 2018)</w:t>
            </w:r>
          </w:p>
        </w:tc>
      </w:tr>
      <w:tr w:rsidR="00E05C34">
        <w:trPr>
          <w:cantSplit/>
        </w:trPr>
        <w:tc>
          <w:tcPr>
            <w:tcW w:w="5000" w:type="pct"/>
            <w:gridSpan w:val="3"/>
            <w:shd w:val="clear" w:color="auto" w:fill="92D050"/>
          </w:tcPr>
          <w:p w:rsidR="00E05C34" w:rsidRDefault="007F3C1A">
            <w:pPr>
              <w:keepNext/>
              <w:spacing w:before="60" w:after="6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Un marché unique numérique connecté</w:t>
            </w:r>
          </w:p>
        </w:tc>
      </w:tr>
      <w:tr w:rsidR="00E05C34">
        <w:trPr>
          <w:cantSplit/>
        </w:trPr>
        <w:tc>
          <w:tcPr>
            <w:tcW w:w="134" w:type="pct"/>
            <w:tcBorders>
              <w:bottom w:val="single" w:sz="4" w:space="0" w:color="auto"/>
            </w:tcBorders>
            <w:shd w:val="clear" w:color="auto" w:fill="auto"/>
          </w:tcPr>
          <w:p w:rsidR="00E05C34" w:rsidRDefault="00E05C3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81" w:type="pct"/>
            <w:tcBorders>
              <w:bottom w:val="single" w:sz="4" w:space="0" w:color="auto"/>
            </w:tcBorders>
          </w:tcPr>
          <w:p w:rsidR="00E05C34" w:rsidRDefault="007F3C1A">
            <w:pPr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Information du secteur </w:t>
            </w:r>
            <w:r>
              <w:rPr>
                <w:rFonts w:ascii="Times New Roman" w:hAnsi="Times New Roman"/>
                <w:b/>
                <w:noProof/>
                <w:sz w:val="20"/>
              </w:rPr>
              <w:t>public</w:t>
            </w:r>
          </w:p>
        </w:tc>
        <w:tc>
          <w:tcPr>
            <w:tcW w:w="3385" w:type="pct"/>
            <w:tcBorders>
              <w:bottom w:val="single" w:sz="4" w:space="0" w:color="auto"/>
            </w:tcBorders>
          </w:tcPr>
          <w:p w:rsidR="00E05C34" w:rsidRDefault="007F3C1A">
            <w:pPr>
              <w:spacing w:after="0"/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0"/>
              </w:rPr>
              <w:t xml:space="preserve">La révision de la directive 2013/37/UE concernant la réutilisation des informations du secteur public créera des possibilités d’ouverture des données publiques dans l’intérêt de la société, de réduction des coûts réglementaires et de simplification 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0"/>
              </w:rPr>
              <w:t xml:space="preserve">de la législation existante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</w:rPr>
              <w:t>(initiative législative, incluant une analyse d’impact, article 114 du TFUE, T2 2018)</w:t>
            </w:r>
          </w:p>
        </w:tc>
      </w:tr>
      <w:tr w:rsidR="00E05C34">
        <w:trPr>
          <w:cantSplit/>
        </w:trPr>
        <w:tc>
          <w:tcPr>
            <w:tcW w:w="5000" w:type="pct"/>
            <w:gridSpan w:val="3"/>
            <w:shd w:val="clear" w:color="auto" w:fill="92D050"/>
          </w:tcPr>
          <w:p w:rsidR="00E05C34" w:rsidRDefault="007F3C1A">
            <w:pPr>
              <w:keepNext/>
              <w:spacing w:before="60" w:after="6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Une Union plus résiliente sur le plan de l’énergie, dotée d’une politique visionnaire en matière de changement climatique</w:t>
            </w:r>
          </w:p>
        </w:tc>
      </w:tr>
      <w:tr w:rsidR="00E05C34">
        <w:trPr>
          <w:cantSplit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C34" w:rsidRDefault="00E05C3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34" w:rsidRDefault="007F3C1A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0"/>
              </w:rPr>
              <w:t xml:space="preserve">Révision du 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0"/>
              </w:rPr>
              <w:t>régime de contrôle des pêches</w:t>
            </w:r>
          </w:p>
        </w:tc>
        <w:tc>
          <w:tcPr>
            <w:tcW w:w="3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C34" w:rsidRDefault="007F3C1A">
            <w:pPr>
              <w:spacing w:after="0"/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0"/>
              </w:rPr>
              <w:t>Fondée sur les résultats de l’évaluation [SWD(2017)134 final], l’initiative vise à simplifier le cadre législatif actuel [règlement (CE) nº 1224/2009 du Conseil, règlement (CE) nº 768/2005 du Conseil, règlement (CE) nº 1005/20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0"/>
              </w:rPr>
              <w:t>08 du Conseil] et à le rendre plus efficace, notamment en rationalisant les règles, en harmonisant le catalogue des infractions graves, en réduisant la charge administrative et en promouvant l’utilisation d’outils informatiques harmonisés. Cette initiative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0"/>
              </w:rPr>
              <w:t xml:space="preserve"> fait suite à un avis de la plateforme REFIT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</w:rPr>
              <w:t>(initiative législative, incluant une analyse d’impact, article 43 du TFUE, T2 2018)</w:t>
            </w:r>
          </w:p>
        </w:tc>
      </w:tr>
      <w:tr w:rsidR="00E05C34">
        <w:trPr>
          <w:cantSplit/>
        </w:trPr>
        <w:tc>
          <w:tcPr>
            <w:tcW w:w="5000" w:type="pct"/>
            <w:gridSpan w:val="3"/>
            <w:shd w:val="clear" w:color="auto" w:fill="92D050"/>
          </w:tcPr>
          <w:p w:rsidR="00E05C34" w:rsidRDefault="007F3C1A">
            <w:pPr>
              <w:keepNext/>
              <w:spacing w:before="60" w:after="6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lastRenderedPageBreak/>
              <w:t>Un marché intérieur plus approfondi et plus équitable, doté d’une base industrielle renforcée</w:t>
            </w:r>
          </w:p>
        </w:tc>
      </w:tr>
      <w:tr w:rsidR="00E05C34">
        <w:trPr>
          <w:cantSplit/>
        </w:trPr>
        <w:tc>
          <w:tcPr>
            <w:tcW w:w="134" w:type="pct"/>
            <w:shd w:val="clear" w:color="auto" w:fill="auto"/>
          </w:tcPr>
          <w:p w:rsidR="00E05C34" w:rsidRDefault="00E05C3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81" w:type="pct"/>
          </w:tcPr>
          <w:p w:rsidR="00E05C34" w:rsidRDefault="007F3C1A"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Reconnaissance, par les </w:t>
            </w:r>
            <w:r>
              <w:rPr>
                <w:rFonts w:ascii="Times New Roman" w:hAnsi="Times New Roman"/>
                <w:b/>
                <w:noProof/>
                <w:sz w:val="20"/>
              </w:rPr>
              <w:t>pouvoirs publics et/ou les partenaires commerciaux, des documents pour le transport de marchandises</w:t>
            </w:r>
          </w:p>
        </w:tc>
        <w:tc>
          <w:tcPr>
            <w:tcW w:w="3385" w:type="pct"/>
          </w:tcPr>
          <w:p w:rsidR="00E05C34" w:rsidRDefault="007F3C1A"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L’initiative visera à exploiter le potentiel de la numérisation dans le secteur des transports en favorisant la reconnaissance, par les pouvoirs publics et/</w:t>
            </w:r>
            <w:r>
              <w:rPr>
                <w:rFonts w:ascii="Times New Roman" w:hAnsi="Times New Roman"/>
                <w:b/>
                <w:noProof/>
                <w:sz w:val="20"/>
              </w:rPr>
              <w:t xml:space="preserve">ou les partenaires commerciaux, des documents pour le transport de marchandises établis sous forme électronique, ainsi que leur utilisation plus large par les opérateurs de transport </w:t>
            </w:r>
            <w:r>
              <w:rPr>
                <w:rFonts w:ascii="Times New Roman" w:hAnsi="Times New Roman"/>
                <w:noProof/>
                <w:sz w:val="20"/>
              </w:rPr>
              <w:t>(initiative législative, incluant une analyse d’impact, article 91 du TFU</w:t>
            </w:r>
            <w:r>
              <w:rPr>
                <w:rFonts w:ascii="Times New Roman" w:hAnsi="Times New Roman"/>
                <w:noProof/>
                <w:sz w:val="20"/>
              </w:rPr>
              <w:t>E, T2 2018)</w:t>
            </w:r>
          </w:p>
        </w:tc>
      </w:tr>
      <w:tr w:rsidR="00E05C34">
        <w:trPr>
          <w:cantSplit/>
        </w:trPr>
        <w:tc>
          <w:tcPr>
            <w:tcW w:w="134" w:type="pct"/>
            <w:shd w:val="clear" w:color="auto" w:fill="auto"/>
          </w:tcPr>
          <w:p w:rsidR="00E05C34" w:rsidRDefault="00E05C3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81" w:type="pct"/>
            <w:shd w:val="clear" w:color="auto" w:fill="auto"/>
          </w:tcPr>
          <w:p w:rsidR="00E05C34" w:rsidRDefault="007F3C1A">
            <w:pPr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Initiative de guichet unique maritime</w:t>
            </w:r>
          </w:p>
        </w:tc>
        <w:tc>
          <w:tcPr>
            <w:tcW w:w="3385" w:type="pct"/>
            <w:shd w:val="clear" w:color="auto" w:fill="auto"/>
          </w:tcPr>
          <w:p w:rsidR="00E05C34" w:rsidRDefault="007F3C1A"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Révision de la directive 2010/65/UE concernant les formalités déclaratives applicables aux navires à l’entrée et/ou à la sortie des ports des États membres </w:t>
            </w:r>
            <w:r>
              <w:rPr>
                <w:rFonts w:ascii="Times New Roman" w:hAnsi="Times New Roman"/>
                <w:noProof/>
                <w:sz w:val="20"/>
              </w:rPr>
              <w:t>(initiative législative, incluant une analyse d’</w:t>
            </w:r>
            <w:r>
              <w:rPr>
                <w:rFonts w:ascii="Times New Roman" w:hAnsi="Times New Roman"/>
                <w:noProof/>
                <w:sz w:val="20"/>
              </w:rPr>
              <w:t>impact, article 100, paragraphe 2, du TFUE, T2 2018)</w:t>
            </w:r>
          </w:p>
        </w:tc>
      </w:tr>
      <w:tr w:rsidR="00E05C34">
        <w:trPr>
          <w:cantSplit/>
        </w:trPr>
        <w:tc>
          <w:tcPr>
            <w:tcW w:w="134" w:type="pct"/>
            <w:shd w:val="clear" w:color="auto" w:fill="auto"/>
          </w:tcPr>
          <w:p w:rsidR="00E05C34" w:rsidRDefault="00E05C3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81" w:type="pct"/>
            <w:shd w:val="clear" w:color="auto" w:fill="auto"/>
          </w:tcPr>
          <w:p w:rsidR="00E05C34" w:rsidRDefault="007F3C1A">
            <w:pPr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Investissements en faveur du RTE-T</w:t>
            </w:r>
          </w:p>
        </w:tc>
        <w:tc>
          <w:tcPr>
            <w:tcW w:w="3385" w:type="pct"/>
            <w:shd w:val="clear" w:color="auto" w:fill="auto"/>
          </w:tcPr>
          <w:p w:rsidR="00E05C34" w:rsidRDefault="007F3C1A"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Style w:val="truncate"/>
                <w:rFonts w:ascii="Times New Roman" w:hAnsi="Times New Roman"/>
                <w:b/>
                <w:noProof/>
                <w:sz w:val="20"/>
              </w:rPr>
              <w:t xml:space="preserve">Règlement concernant des mesures de rationalisation en vue d’une mise en œuvre plus rapide des projets d’intérêt commun relatifs au réseau transeuropéen de transport </w:t>
            </w:r>
            <w:r>
              <w:rPr>
                <w:rStyle w:val="truncate"/>
                <w:rFonts w:ascii="Times New Roman" w:hAnsi="Times New Roman"/>
                <w:noProof/>
                <w:sz w:val="20"/>
              </w:rPr>
              <w:t xml:space="preserve">(initiative législative, </w:t>
            </w:r>
            <w:r>
              <w:rPr>
                <w:rFonts w:ascii="Times New Roman" w:hAnsi="Times New Roman"/>
                <w:noProof/>
                <w:sz w:val="20"/>
              </w:rPr>
              <w:t>incluant une analyse d’impact, articles 171 et 172 du TFUE, T1 2018)</w:t>
            </w:r>
          </w:p>
        </w:tc>
      </w:tr>
      <w:tr w:rsidR="00E05C34">
        <w:trPr>
          <w:cantSplit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C34" w:rsidRDefault="00E05C3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34" w:rsidRDefault="007F3C1A">
            <w:pPr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Régime général d’accise</w:t>
            </w:r>
            <w:r>
              <w:rPr>
                <w:rStyle w:val="FootnoteReference"/>
                <w:rFonts w:ascii="Times New Roman" w:hAnsi="Times New Roman"/>
                <w:b/>
                <w:noProof/>
                <w:sz w:val="20"/>
              </w:rPr>
              <w:footnoteReference w:id="3"/>
            </w:r>
          </w:p>
        </w:tc>
        <w:tc>
          <w:tcPr>
            <w:tcW w:w="3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34" w:rsidRDefault="007F3C1A"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Révision de la directive 2008/118/CE en vue d’harmoniser la législation en matière de douanes et d’accise et d’en garantir la cohérence</w:t>
            </w:r>
            <w:r>
              <w:rPr>
                <w:rFonts w:ascii="Times New Roman" w:hAnsi="Times New Roman"/>
                <w:b/>
                <w:noProof/>
                <w:sz w:val="20"/>
              </w:rPr>
              <w:t xml:space="preserve">, de renforcer la sécurité juridique et de garantir l’application uniforme de la législation de l’UE </w:t>
            </w:r>
            <w:r>
              <w:rPr>
                <w:rFonts w:ascii="Times New Roman" w:hAnsi="Times New Roman"/>
                <w:noProof/>
                <w:sz w:val="20"/>
              </w:rPr>
              <w:t>(initiative législative, incluant une analyse d’impact, article 113 du TFUE, T1 2018)</w:t>
            </w:r>
          </w:p>
        </w:tc>
      </w:tr>
      <w:tr w:rsidR="00E05C34">
        <w:trPr>
          <w:cantSplit/>
        </w:trPr>
        <w:tc>
          <w:tcPr>
            <w:tcW w:w="5000" w:type="pct"/>
            <w:gridSpan w:val="3"/>
            <w:shd w:val="clear" w:color="auto" w:fill="92D050"/>
          </w:tcPr>
          <w:p w:rsidR="00E05C34" w:rsidRDefault="007F3C1A">
            <w:pPr>
              <w:keepNext/>
              <w:spacing w:before="60" w:after="6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Un espace de justice et de droits fondamentaux fondé sur la </w:t>
            </w:r>
            <w:r>
              <w:rPr>
                <w:rFonts w:ascii="Times New Roman" w:hAnsi="Times New Roman"/>
                <w:b/>
                <w:noProof/>
                <w:sz w:val="20"/>
              </w:rPr>
              <w:t>confiance mutuelle</w:t>
            </w:r>
          </w:p>
        </w:tc>
      </w:tr>
      <w:tr w:rsidR="00E05C34">
        <w:trPr>
          <w:cantSplit/>
        </w:trPr>
        <w:tc>
          <w:tcPr>
            <w:tcW w:w="134" w:type="pct"/>
            <w:tcBorders>
              <w:bottom w:val="single" w:sz="4" w:space="0" w:color="auto"/>
            </w:tcBorders>
            <w:shd w:val="clear" w:color="auto" w:fill="auto"/>
          </w:tcPr>
          <w:p w:rsidR="00E05C34" w:rsidRDefault="00E05C3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481" w:type="pct"/>
            <w:tcBorders>
              <w:bottom w:val="single" w:sz="4" w:space="0" w:color="auto"/>
            </w:tcBorders>
          </w:tcPr>
          <w:p w:rsidR="00E05C34" w:rsidRDefault="007F3C1A">
            <w:pPr>
              <w:spacing w:after="0"/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0"/>
              </w:rPr>
              <w:t>Une nouvelle donne pour les consommateurs</w:t>
            </w:r>
          </w:p>
        </w:tc>
        <w:tc>
          <w:tcPr>
            <w:tcW w:w="3385" w:type="pct"/>
            <w:tcBorders>
              <w:bottom w:val="single" w:sz="4" w:space="0" w:color="auto"/>
            </w:tcBorders>
          </w:tcPr>
          <w:p w:rsidR="00E05C34" w:rsidRDefault="007F3C1A">
            <w:pPr>
              <w:spacing w:after="0"/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0"/>
              </w:rPr>
              <w:t>Révision ciblée des directives européennes concernant les droits des consommateurs à la suite du bilan de qualité de la législation de l’UE en matière de consommation et de commercialisation, achevé le 23 mai 2017 Initiative visant à faciliter la coordinat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0"/>
              </w:rPr>
              <w:t xml:space="preserve">ion et une action efficace des autorités nationales de protection des consommateurs à l’échelle de l’UE et à renforcer le contrôle public de l’application des mesures et la protection des droits du consommateur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</w:rPr>
              <w:t>(initiative législative, incluant une analyse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</w:rPr>
              <w:t xml:space="preserve"> d’impact, article 114 du TFUE, T1 2018)</w:t>
            </w:r>
          </w:p>
        </w:tc>
      </w:tr>
      <w:tr w:rsidR="00E05C34">
        <w:trPr>
          <w:cantSplit/>
        </w:trPr>
        <w:tc>
          <w:tcPr>
            <w:tcW w:w="134" w:type="pct"/>
            <w:shd w:val="clear" w:color="auto" w:fill="auto"/>
          </w:tcPr>
          <w:p w:rsidR="00E05C34" w:rsidRDefault="00E05C3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481" w:type="pct"/>
          </w:tcPr>
          <w:p w:rsidR="00E05C34" w:rsidRDefault="007F3C1A">
            <w:pPr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0"/>
              </w:rPr>
              <w:t>Cartes d’identité et titres de séjour</w:t>
            </w:r>
          </w:p>
        </w:tc>
        <w:tc>
          <w:tcPr>
            <w:tcW w:w="3385" w:type="pct"/>
          </w:tcPr>
          <w:p w:rsidR="00E05C34" w:rsidRDefault="007F3C1A">
            <w:pPr>
              <w:spacing w:after="0"/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0"/>
              </w:rPr>
              <w:t xml:space="preserve">Initiative législative visant à améliorer la sécurité des cartes d’identité et des titres de séjour des citoyens de l’UE et des membres de leur famille ressortissants de pays 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0"/>
              </w:rPr>
              <w:t xml:space="preserve">tiers Cette initiative fait suite à un avis de la plateforme REFIT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</w:rPr>
              <w:t>(initiative législative, incluant une analyse d’impact, article 21 et/ou article 77, paragraphe 3, du TFUE, T2 2018)</w:t>
            </w:r>
          </w:p>
        </w:tc>
      </w:tr>
      <w:tr w:rsidR="00E05C34">
        <w:trPr>
          <w:cantSplit/>
        </w:trPr>
        <w:tc>
          <w:tcPr>
            <w:tcW w:w="134" w:type="pct"/>
            <w:shd w:val="clear" w:color="auto" w:fill="auto"/>
          </w:tcPr>
          <w:p w:rsidR="00E05C34" w:rsidRDefault="00E05C3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481" w:type="pct"/>
          </w:tcPr>
          <w:p w:rsidR="00E05C34" w:rsidRDefault="007F3C1A">
            <w:pPr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0"/>
              </w:rPr>
              <w:t xml:space="preserve">Révision du règlement concernant la signification ou la notification 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0"/>
              </w:rPr>
              <w:t>des actes</w:t>
            </w:r>
          </w:p>
          <w:p w:rsidR="00E05C34" w:rsidRDefault="00E05C34">
            <w:pPr>
              <w:spacing w:after="0"/>
              <w:rPr>
                <w:rFonts w:ascii="Times New Roman" w:hAnsi="Times New Roman"/>
                <w:b/>
                <w:i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385" w:type="pct"/>
          </w:tcPr>
          <w:p w:rsidR="00E05C34" w:rsidRDefault="007F3C1A">
            <w:pPr>
              <w:spacing w:after="0"/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0"/>
              </w:rPr>
              <w:t xml:space="preserve">Règlement (CE) nº 1393/2007 relatif à la signification et à la notification dans les États membres des actes judiciaires et extrajudiciaires en matière civile ou commerciale (signification ou notification des actes)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</w:rPr>
              <w:t>(initiative législative, incl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</w:rPr>
              <w:t>uant une analyse d’impact, article 81, paragraphe 2, du TFUE, T2 2018)</w:t>
            </w:r>
          </w:p>
        </w:tc>
      </w:tr>
      <w:tr w:rsidR="00E05C34">
        <w:trPr>
          <w:cantSplit/>
        </w:trPr>
        <w:tc>
          <w:tcPr>
            <w:tcW w:w="134" w:type="pct"/>
            <w:tcBorders>
              <w:bottom w:val="single" w:sz="4" w:space="0" w:color="auto"/>
            </w:tcBorders>
            <w:shd w:val="clear" w:color="auto" w:fill="auto"/>
          </w:tcPr>
          <w:p w:rsidR="00E05C34" w:rsidRDefault="00E05C3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481" w:type="pct"/>
            <w:tcBorders>
              <w:bottom w:val="single" w:sz="4" w:space="0" w:color="auto"/>
            </w:tcBorders>
          </w:tcPr>
          <w:p w:rsidR="00E05C34" w:rsidRDefault="007F3C1A">
            <w:pPr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0"/>
              </w:rPr>
              <w:t>Révision du règlement concernant l’obtention des preuves</w:t>
            </w:r>
          </w:p>
        </w:tc>
        <w:tc>
          <w:tcPr>
            <w:tcW w:w="3385" w:type="pct"/>
            <w:tcBorders>
              <w:bottom w:val="single" w:sz="4" w:space="0" w:color="auto"/>
            </w:tcBorders>
          </w:tcPr>
          <w:p w:rsidR="00E05C34" w:rsidRDefault="007F3C1A">
            <w:pPr>
              <w:spacing w:after="0"/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0"/>
              </w:rPr>
              <w:t xml:space="preserve">Révision du règlement (CE) nº 1206/2001 concernant l’obtention des preuves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</w:rPr>
              <w:t xml:space="preserve">(initiative législative, incluant une analyse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</w:rPr>
              <w:t>d’impact, article 81, paragraphe 2, du TFUE, T2 2018)</w:t>
            </w:r>
          </w:p>
        </w:tc>
      </w:tr>
      <w:tr w:rsidR="00E05C34">
        <w:trPr>
          <w:cantSplit/>
        </w:trPr>
        <w:tc>
          <w:tcPr>
            <w:tcW w:w="134" w:type="pct"/>
            <w:tcBorders>
              <w:bottom w:val="single" w:sz="4" w:space="0" w:color="auto"/>
            </w:tcBorders>
            <w:shd w:val="clear" w:color="auto" w:fill="auto"/>
          </w:tcPr>
          <w:p w:rsidR="00E05C34" w:rsidRDefault="00E05C3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481" w:type="pct"/>
            <w:tcBorders>
              <w:bottom w:val="single" w:sz="4" w:space="0" w:color="auto"/>
            </w:tcBorders>
          </w:tcPr>
          <w:p w:rsidR="00E05C34" w:rsidRDefault="007F3C1A">
            <w:pPr>
              <w:spacing w:after="0"/>
              <w:rPr>
                <w:rFonts w:ascii="Times New Roman" w:hAnsi="Times New Roman"/>
                <w:b/>
                <w:i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0"/>
              </w:rPr>
              <w:t>Titres de voyage provisoires</w:t>
            </w:r>
          </w:p>
        </w:tc>
        <w:tc>
          <w:tcPr>
            <w:tcW w:w="3385" w:type="pct"/>
            <w:tcBorders>
              <w:bottom w:val="single" w:sz="4" w:space="0" w:color="auto"/>
            </w:tcBorders>
          </w:tcPr>
          <w:p w:rsidR="00E05C34" w:rsidRDefault="007F3C1A">
            <w:pPr>
              <w:spacing w:after="0"/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0"/>
              </w:rPr>
              <w:t xml:space="preserve">Réexamen de la proposition de directive du Conseil remplaçant la décision concernant l’établissement d’un titre de voyage provisoire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</w:rPr>
              <w:t xml:space="preserve">(initiative législative, incluant une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</w:rPr>
              <w:t>analyse d’impact, article 23 du TFUE, T2 2018)</w:t>
            </w:r>
          </w:p>
        </w:tc>
      </w:tr>
    </w:tbl>
    <w:p w:rsidR="00E05C34" w:rsidRDefault="00E05C34">
      <w:pPr>
        <w:spacing w:after="600"/>
        <w:outlineLvl w:val="0"/>
        <w:rPr>
          <w:noProof/>
        </w:rPr>
      </w:pPr>
    </w:p>
    <w:sectPr w:rsidR="00E05C3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417" w:right="1417" w:bottom="1417" w:left="1417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C34" w:rsidRDefault="007F3C1A">
      <w:pPr>
        <w:spacing w:after="0" w:line="240" w:lineRule="auto"/>
      </w:pPr>
      <w:r>
        <w:separator/>
      </w:r>
    </w:p>
  </w:endnote>
  <w:endnote w:type="continuationSeparator" w:id="0">
    <w:p w:rsidR="00E05C34" w:rsidRDefault="007F3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 Square Sans Pro">
    <w:panose1 w:val="020B0506040000020004"/>
    <w:charset w:val="00"/>
    <w:family w:val="swiss"/>
    <w:pitch w:val="variable"/>
    <w:sig w:usb0="A00002BF" w:usb1="5000E0F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C1A" w:rsidRDefault="007F3C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B0F" w:rsidRPr="003E3B0F" w:rsidRDefault="003E3B0F" w:rsidP="003E3B0F">
    <w:pPr>
      <w:pStyle w:val="FooterCoverPage"/>
      <w:rPr>
        <w:rFonts w:ascii="Arial" w:hAnsi="Arial" w:cs="Arial"/>
        <w:b/>
        <w:sz w:val="48"/>
      </w:rPr>
    </w:pPr>
    <w:r w:rsidRPr="003E3B0F">
      <w:rPr>
        <w:rFonts w:ascii="Arial" w:hAnsi="Arial" w:cs="Arial"/>
        <w:b/>
        <w:sz w:val="48"/>
      </w:rPr>
      <w:t>FR</w:t>
    </w:r>
    <w:r w:rsidRPr="003E3B0F">
      <w:rPr>
        <w:rFonts w:ascii="Arial" w:hAnsi="Arial" w:cs="Arial"/>
        <w:b/>
        <w:sz w:val="48"/>
      </w:rPr>
      <w:tab/>
    </w:r>
    <w:r w:rsidRPr="003E3B0F">
      <w:rPr>
        <w:rFonts w:ascii="Arial" w:hAnsi="Arial" w:cs="Arial"/>
        <w:b/>
        <w:sz w:val="48"/>
      </w:rPr>
      <w:tab/>
    </w:r>
    <w:fldSimple w:instr=" DOCVARIABLE &quot;LW_Confidence&quot; \* MERGEFORMAT ">
      <w:r w:rsidR="007F3C1A">
        <w:t xml:space="preserve"> </w:t>
      </w:r>
    </w:fldSimple>
    <w:r w:rsidRPr="003E3B0F">
      <w:tab/>
    </w:r>
    <w:r w:rsidRPr="003E3B0F"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C1A" w:rsidRDefault="007F3C1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34" w:rsidRDefault="00E05C34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1860127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E05C34" w:rsidRDefault="007F3C1A">
        <w:pPr>
          <w:pStyle w:val="Footer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 PAGE   \* MERGEFORMAT 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4</w:t>
        </w:r>
        <w:r>
          <w:rPr>
            <w:rFonts w:ascii="Times New Roman" w:hAnsi="Times New Roman"/>
            <w:noProof/>
          </w:rPr>
          <w:fldChar w:fldCharType="end"/>
        </w:r>
      </w:p>
    </w:sdtContent>
  </w:sdt>
  <w:p w:rsidR="00E05C34" w:rsidRDefault="00E05C34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34" w:rsidRDefault="00E05C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C34" w:rsidRDefault="007F3C1A">
      <w:pPr>
        <w:spacing w:after="0" w:line="240" w:lineRule="auto"/>
      </w:pPr>
      <w:r>
        <w:separator/>
      </w:r>
    </w:p>
  </w:footnote>
  <w:footnote w:type="continuationSeparator" w:id="0">
    <w:p w:rsidR="00E05C34" w:rsidRDefault="007F3C1A">
      <w:pPr>
        <w:spacing w:after="0" w:line="240" w:lineRule="auto"/>
      </w:pPr>
      <w:r>
        <w:continuationSeparator/>
      </w:r>
    </w:p>
  </w:footnote>
  <w:footnote w:id="1">
    <w:p w:rsidR="00E05C34" w:rsidRDefault="007F3C1A">
      <w:pPr>
        <w:pStyle w:val="FootnoteText"/>
        <w:spacing w:after="60"/>
        <w:jc w:val="both"/>
      </w:pPr>
      <w:r>
        <w:rPr>
          <w:rStyle w:val="FootnoteReference"/>
        </w:rPr>
        <w:footnoteRef/>
      </w:r>
      <w:r>
        <w:t xml:space="preserve"> La présente annexe dresse la liste des initiatives législatives relevant du programme REFIT, dont l’adoption est prévue en 2018. Elle complète les éléments accompagnant les nouvelles initiatives figurant dans l’annexe I.</w:t>
      </w:r>
    </w:p>
  </w:footnote>
  <w:footnote w:id="2">
    <w:p w:rsidR="00E05C34" w:rsidRDefault="007F3C1A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Dans la présente annexe, la Comm</w:t>
      </w:r>
      <w:r>
        <w:t xml:space="preserve">ission fournit de plus amples informations, pour autant qu’elles soient disponibles, sur les initiatives prévues dans son programme de travail, conformément à l’accord interinstitutionnel «Mieux légiférer». Les informations figurant entre parenthèses sous </w:t>
      </w:r>
      <w:r>
        <w:t>la description de chaque initiative sont fournies à titre indicatif uniquement et sont susceptibles de changer au cours du processus préparatoire, compte tenu notamment du résultat de l’analyse d’impact éventuelle.</w:t>
      </w:r>
    </w:p>
    <w:p w:rsidR="00E05C34" w:rsidRDefault="00E05C34">
      <w:pPr>
        <w:pStyle w:val="FootnoteText"/>
        <w:jc w:val="both"/>
      </w:pPr>
    </w:p>
  </w:footnote>
  <w:footnote w:id="3">
    <w:p w:rsidR="00E05C34" w:rsidRDefault="007F3C1A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Le régime général d’accise était déjà </w:t>
      </w:r>
      <w:r>
        <w:t>inscrit à l’annexe II du programme de travail de la Commission pour 2017.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C1A" w:rsidRDefault="007F3C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C1A" w:rsidRDefault="007F3C1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C1A" w:rsidRDefault="007F3C1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34" w:rsidRDefault="00E05C34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34" w:rsidRDefault="00E05C34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34" w:rsidRDefault="00E05C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37A2"/>
    <w:multiLevelType w:val="hybridMultilevel"/>
    <w:tmpl w:val="DC52E516"/>
    <w:lvl w:ilvl="0" w:tplc="50041C60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D369E"/>
    <w:multiLevelType w:val="hybridMultilevel"/>
    <w:tmpl w:val="02CA5520"/>
    <w:lvl w:ilvl="0" w:tplc="FD7E75A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E45813"/>
    <w:multiLevelType w:val="hybridMultilevel"/>
    <w:tmpl w:val="2C16C1E6"/>
    <w:lvl w:ilvl="0" w:tplc="50041C60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hideSpellingErrors/>
  <w:hideGrammaticalErrors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de la"/>
    <w:docVar w:name="LW_ANNEX_NBR_FIRST" w:val="2"/>
    <w:docVar w:name="LW_ANNEX_NBR_LAST" w:val="2"/>
    <w:docVar w:name="LW_CONFIDENCE" w:val=" "/>
    <w:docVar w:name="LW_CONST_RESTREINT_UE" w:val="RESTREINT UE/EU RESTRICTED"/>
    <w:docVar w:name="LW_CORRIGENDUM" w:val="&lt;UNUSED&gt;"/>
    <w:docVar w:name="LW_COVERPAGE_GUID" w:val="34CD6F9E23AC4F70AEADDAE1FC2445C5"/>
    <w:docVar w:name="LW_CROSSREFERENCE" w:val="&lt;UNUSED&gt;"/>
    <w:docVar w:name="LW_DocType" w:val="NORMAL"/>
    <w:docVar w:name="LW_EMISSION" w:val="24.10.2017"/>
    <w:docVar w:name="LW_EMISSION_ISODATE" w:val="2017-10-24"/>
    <w:docVar w:name="LW_EMISSION_LOCATION" w:val="STR"/>
    <w:docVar w:name="LW_EMISSION_PREFIX" w:val="Strasbourg, le "/>
    <w:docVar w:name="LW_EMISSION_SUFFIX" w:val=" "/>
    <w:docVar w:name="LW_ID_DOCTYPE_NONLW" w:val="CP-039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.CP" w:val="_x000b_Programme de travail de la Commission pour 2018_x000b__x000b_Un programme pour une Europe plus unie, plus forte et plus démocratique"/>
    <w:docVar w:name="LW_PART_NBR" w:val="1"/>
    <w:docVar w:name="LW_PART_NBR_TOTAL" w:val="1"/>
    <w:docVar w:name="LW_REF.INST.NEW" w:val="COM"/>
    <w:docVar w:name="LW_REF.INST.NEW_ADOPTED" w:val="final"/>
    <w:docVar w:name="LW_REF.INST.NEW_TEXT" w:val="(2017) 650"/>
    <w:docVar w:name="LW_REF.INTERNE" w:val="&lt;UNUSED&gt;"/>
    <w:docVar w:name="LW_SUPERTITRE" w:val="&lt;UNUSED&gt;"/>
    <w:docVar w:name="LW_TITRE.OBJ.CP" w:val="&lt;UNUSED&gt;"/>
    <w:docVar w:name="LW_TYPE.DOC.CP" w:val="ANNEXE_x000b_"/>
    <w:docVar w:name="LW_TYPEACTEPRINCIPAL.CP" w:val="COMMUNICATION DE LA COMMISSION AU PARLEMENT EUROPÉEN, AU CONSEIL, AU COMITÉ ÉCONOMIQUE ET SOCIAL EUROPÉEN ET AU COMITÉ DES RÉGIONS"/>
  </w:docVars>
  <w:rsids>
    <w:rsidRoot w:val="00E05C34"/>
    <w:rsid w:val="003E3B0F"/>
    <w:rsid w:val="007F3C1A"/>
    <w:rsid w:val="00E0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ootnote,Fußnote"/>
    <w:basedOn w:val="Normal"/>
    <w:link w:val="FootnoteTextChar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aliases w:val="Footnote Char,Fußnote Char"/>
    <w:basedOn w:val="DefaultParagraphFont"/>
    <w:link w:val="FootnoteText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FootnoteReference">
    <w:name w:val="footnote reference"/>
    <w:aliases w:val="Footnote Reference Superscript,Footnote symbol,Footnote reference number,note TESI,SUPERS,EN Footnote Reference,Voetnootverwijzing,Times 10 Point,Exposant 3 Point,Appel note de bas de p,BVI fnr,Ref,de nota al pie,EN Footnote text,num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  <w:outlineLvl w:val="0"/>
    </w:pPr>
    <w:rPr>
      <w:rFonts w:ascii="Times New Roman" w:hAnsi="Times New Roman"/>
      <w:noProof/>
      <w:sz w:val="24"/>
      <w:szCs w:val="28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Calibri" w:hAnsi="Times New Roman" w:cs="Times New Roman"/>
      <w:noProof/>
      <w:sz w:val="24"/>
      <w:szCs w:val="28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  <w:outlineLvl w:val="0"/>
    </w:pPr>
    <w:rPr>
      <w:rFonts w:ascii="Times New Roman" w:hAnsi="Times New Roman"/>
      <w:noProof/>
      <w:sz w:val="24"/>
      <w:szCs w:val="28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Calibri" w:hAnsi="Times New Roman" w:cs="Times New Roman"/>
      <w:noProof/>
      <w:sz w:val="24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EC Square Sans Pro" w:hAnsi="EC Square Sans Pro" w:cs="EC Square Sans Pro"/>
      <w:color w:val="000000"/>
      <w:sz w:val="24"/>
      <w:szCs w:val="24"/>
    </w:rPr>
  </w:style>
  <w:style w:type="character" w:customStyle="1" w:styleId="truncate">
    <w:name w:val="truncate"/>
    <w:basedOn w:val="DefaultParagraphFont"/>
  </w:style>
  <w:style w:type="character" w:styleId="Emphasis">
    <w:name w:val="Emphasis"/>
    <w:basedOn w:val="DefaultParagraphFont"/>
    <w:uiPriority w:val="20"/>
    <w:qFormat/>
    <w:rPr>
      <w:b/>
      <w:bCs/>
      <w:i w:val="0"/>
      <w:iCs w:val="0"/>
    </w:rPr>
  </w:style>
  <w:style w:type="character" w:customStyle="1" w:styleId="st1">
    <w:name w:val="st1"/>
    <w:basedOn w:val="DefaultParagraphFont"/>
  </w:style>
  <w:style w:type="character" w:customStyle="1" w:styleId="tgc">
    <w:name w:val="_tgc"/>
    <w:basedOn w:val="DefaultParagraphFont"/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ypedudocument">
    <w:name w:val="Type du document"/>
    <w:basedOn w:val="Normal"/>
    <w:next w:val="Normal"/>
    <w:pPr>
      <w:spacing w:before="360" w:after="0" w:line="240" w:lineRule="auto"/>
      <w:jc w:val="center"/>
    </w:pPr>
    <w:rPr>
      <w:rFonts w:ascii="Times New Roman" w:eastAsiaTheme="minorHAnsi" w:hAnsi="Times New Roman"/>
      <w:b/>
      <w:sz w:val="24"/>
      <w:lang w:eastAsia="en-US" w:bidi="ar-SA"/>
    </w:rPr>
  </w:style>
  <w:style w:type="paragraph" w:customStyle="1" w:styleId="Accompagnant">
    <w:name w:val="Accompagnant"/>
    <w:basedOn w:val="Normal"/>
    <w:next w:val="Normal"/>
    <w:pPr>
      <w:spacing w:after="240" w:line="240" w:lineRule="auto"/>
      <w:jc w:val="center"/>
    </w:pPr>
    <w:rPr>
      <w:rFonts w:ascii="Times New Roman" w:eastAsiaTheme="minorHAnsi" w:hAnsi="Times New Roman"/>
      <w:b/>
      <w:i/>
      <w:sz w:val="24"/>
      <w:lang w:eastAsia="en-US" w:bidi="ar-SA"/>
    </w:rPr>
  </w:style>
  <w:style w:type="paragraph" w:customStyle="1" w:styleId="Typeacteprincipal">
    <w:name w:val="Type acte principal"/>
    <w:basedOn w:val="Normal"/>
    <w:next w:val="Normal"/>
    <w:pPr>
      <w:spacing w:after="240" w:line="240" w:lineRule="auto"/>
      <w:jc w:val="center"/>
    </w:pPr>
    <w:rPr>
      <w:rFonts w:ascii="Times New Roman" w:eastAsiaTheme="minorHAnsi" w:hAnsi="Times New Roman"/>
      <w:b/>
      <w:sz w:val="24"/>
      <w:lang w:eastAsia="en-US" w:bidi="ar-SA"/>
    </w:rPr>
  </w:style>
  <w:style w:type="paragraph" w:customStyle="1" w:styleId="Objetacteprincipal">
    <w:name w:val="Objet acte principal"/>
    <w:basedOn w:val="Normal"/>
    <w:next w:val="Normal"/>
    <w:pPr>
      <w:spacing w:after="360" w:line="240" w:lineRule="auto"/>
      <w:jc w:val="center"/>
    </w:pPr>
    <w:rPr>
      <w:rFonts w:ascii="Times New Roman" w:eastAsiaTheme="minorHAnsi" w:hAnsi="Times New Roman"/>
      <w:b/>
      <w:sz w:val="24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ootnote,Fußnote"/>
    <w:basedOn w:val="Normal"/>
    <w:link w:val="FootnoteTextChar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aliases w:val="Footnote Char,Fußnote Char"/>
    <w:basedOn w:val="DefaultParagraphFont"/>
    <w:link w:val="FootnoteText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FootnoteReference">
    <w:name w:val="footnote reference"/>
    <w:aliases w:val="Footnote Reference Superscript,Footnote symbol,Footnote reference number,note TESI,SUPERS,EN Footnote Reference,Voetnootverwijzing,Times 10 Point,Exposant 3 Point,Appel note de bas de p,BVI fnr,Ref,de nota al pie,EN Footnote text,num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  <w:outlineLvl w:val="0"/>
    </w:pPr>
    <w:rPr>
      <w:rFonts w:ascii="Times New Roman" w:hAnsi="Times New Roman"/>
      <w:noProof/>
      <w:sz w:val="24"/>
      <w:szCs w:val="28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Calibri" w:hAnsi="Times New Roman" w:cs="Times New Roman"/>
      <w:noProof/>
      <w:sz w:val="24"/>
      <w:szCs w:val="28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  <w:outlineLvl w:val="0"/>
    </w:pPr>
    <w:rPr>
      <w:rFonts w:ascii="Times New Roman" w:hAnsi="Times New Roman"/>
      <w:noProof/>
      <w:sz w:val="24"/>
      <w:szCs w:val="28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Calibri" w:hAnsi="Times New Roman" w:cs="Times New Roman"/>
      <w:noProof/>
      <w:sz w:val="24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EC Square Sans Pro" w:hAnsi="EC Square Sans Pro" w:cs="EC Square Sans Pro"/>
      <w:color w:val="000000"/>
      <w:sz w:val="24"/>
      <w:szCs w:val="24"/>
    </w:rPr>
  </w:style>
  <w:style w:type="character" w:customStyle="1" w:styleId="truncate">
    <w:name w:val="truncate"/>
    <w:basedOn w:val="DefaultParagraphFont"/>
  </w:style>
  <w:style w:type="character" w:styleId="Emphasis">
    <w:name w:val="Emphasis"/>
    <w:basedOn w:val="DefaultParagraphFont"/>
    <w:uiPriority w:val="20"/>
    <w:qFormat/>
    <w:rPr>
      <w:b/>
      <w:bCs/>
      <w:i w:val="0"/>
      <w:iCs w:val="0"/>
    </w:rPr>
  </w:style>
  <w:style w:type="character" w:customStyle="1" w:styleId="st1">
    <w:name w:val="st1"/>
    <w:basedOn w:val="DefaultParagraphFont"/>
  </w:style>
  <w:style w:type="character" w:customStyle="1" w:styleId="tgc">
    <w:name w:val="_tgc"/>
    <w:basedOn w:val="DefaultParagraphFont"/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ypedudocument">
    <w:name w:val="Type du document"/>
    <w:basedOn w:val="Normal"/>
    <w:next w:val="Normal"/>
    <w:pPr>
      <w:spacing w:before="360" w:after="0" w:line="240" w:lineRule="auto"/>
      <w:jc w:val="center"/>
    </w:pPr>
    <w:rPr>
      <w:rFonts w:ascii="Times New Roman" w:eastAsiaTheme="minorHAnsi" w:hAnsi="Times New Roman"/>
      <w:b/>
      <w:sz w:val="24"/>
      <w:lang w:eastAsia="en-US" w:bidi="ar-SA"/>
    </w:rPr>
  </w:style>
  <w:style w:type="paragraph" w:customStyle="1" w:styleId="Accompagnant">
    <w:name w:val="Accompagnant"/>
    <w:basedOn w:val="Normal"/>
    <w:next w:val="Normal"/>
    <w:pPr>
      <w:spacing w:after="240" w:line="240" w:lineRule="auto"/>
      <w:jc w:val="center"/>
    </w:pPr>
    <w:rPr>
      <w:rFonts w:ascii="Times New Roman" w:eastAsiaTheme="minorHAnsi" w:hAnsi="Times New Roman"/>
      <w:b/>
      <w:i/>
      <w:sz w:val="24"/>
      <w:lang w:eastAsia="en-US" w:bidi="ar-SA"/>
    </w:rPr>
  </w:style>
  <w:style w:type="paragraph" w:customStyle="1" w:styleId="Typeacteprincipal">
    <w:name w:val="Type acte principal"/>
    <w:basedOn w:val="Normal"/>
    <w:next w:val="Normal"/>
    <w:pPr>
      <w:spacing w:after="240" w:line="240" w:lineRule="auto"/>
      <w:jc w:val="center"/>
    </w:pPr>
    <w:rPr>
      <w:rFonts w:ascii="Times New Roman" w:eastAsiaTheme="minorHAnsi" w:hAnsi="Times New Roman"/>
      <w:b/>
      <w:sz w:val="24"/>
      <w:lang w:eastAsia="en-US" w:bidi="ar-SA"/>
    </w:rPr>
  </w:style>
  <w:style w:type="paragraph" w:customStyle="1" w:styleId="Objetacteprincipal">
    <w:name w:val="Objet acte principal"/>
    <w:basedOn w:val="Normal"/>
    <w:next w:val="Normal"/>
    <w:pPr>
      <w:spacing w:after="360" w:line="240" w:lineRule="auto"/>
      <w:jc w:val="center"/>
    </w:pPr>
    <w:rPr>
      <w:rFonts w:ascii="Times New Roman" w:eastAsiaTheme="minorHAnsi" w:hAnsi="Times New Roman"/>
      <w:b/>
      <w:sz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9631E-CD6C-4458-B41C-C0E2BFC5F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758</Words>
  <Characters>4412</Characters>
  <Application>Microsoft Office Word</Application>
  <DocSecurity>0</DocSecurity>
  <Lines>84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2017-10-24T07:26:00Z</dcterms:created>
  <dcterms:modified xsi:type="dcterms:W3CDTF">2017-10-24T10:56:00Z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2</vt:lpwstr>
  </property>
  <property fmtid="{D5CDD505-2E9C-101B-9397-08002B2CF9AE}" pid="3" name="Last annex">
    <vt:lpwstr>2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