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E8" w:rsidRDefault="00104C49" w:rsidP="006C2903">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CF272DE85394ADCB7DABFE1910C29B2" style="width:451.4pt;height:447.65pt">
            <v:imagedata r:id="rId9" o:title=""/>
          </v:shape>
        </w:pict>
      </w:r>
    </w:p>
    <w:bookmarkEnd w:id="0"/>
    <w:p w:rsidR="00D65DE8" w:rsidRDefault="00D65DE8">
      <w:pPr>
        <w:rPr>
          <w:noProof/>
          <w:lang w:eastAsia="de-DE"/>
        </w:rPr>
        <w:sectPr w:rsidR="00D65DE8" w:rsidSect="006C290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65DE8" w:rsidRDefault="00EC7BD7">
      <w:pPr>
        <w:spacing w:after="600"/>
        <w:jc w:val="center"/>
        <w:outlineLvl w:val="0"/>
        <w:rPr>
          <w:rFonts w:ascii="Times New Roman" w:eastAsia="Calibri" w:hAnsi="Times New Roman" w:cs="Times New Roman"/>
          <w:b/>
          <w:noProof/>
          <w:sz w:val="28"/>
          <w:szCs w:val="28"/>
          <w:u w:val="single"/>
          <w:lang w:eastAsia="de-DE"/>
        </w:rPr>
      </w:pPr>
      <w:r>
        <w:rPr>
          <w:rFonts w:ascii="Times New Roman" w:eastAsia="Calibri" w:hAnsi="Times New Roman" w:cs="Times New Roman"/>
          <w:b/>
          <w:noProof/>
          <w:sz w:val="28"/>
          <w:szCs w:val="28"/>
          <w:u w:val="single"/>
          <w:lang w:eastAsia="de-DE"/>
        </w:rPr>
        <w:lastRenderedPageBreak/>
        <w:t>Annex IV: Withdrawals</w:t>
      </w:r>
      <w:r>
        <w:rPr>
          <w:rStyle w:val="FootnoteReference"/>
          <w:rFonts w:ascii="Times New Roman" w:eastAsia="Calibri" w:hAnsi="Times New Roman" w:cs="Times New Roman"/>
          <w:b/>
          <w:noProof/>
          <w:sz w:val="28"/>
          <w:szCs w:val="28"/>
          <w:u w:val="single"/>
          <w:lang w:eastAsia="de-DE"/>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22"/>
        <w:gridCol w:w="2474"/>
        <w:gridCol w:w="5080"/>
        <w:gridCol w:w="6098"/>
      </w:tblGrid>
      <w:tr w:rsidR="00D65DE8">
        <w:trPr>
          <w:cantSplit/>
          <w:tblHeader/>
        </w:trPr>
        <w:tc>
          <w:tcPr>
            <w:tcW w:w="184" w:type="pct"/>
            <w:shd w:val="clear" w:color="auto" w:fill="99CCFF"/>
          </w:tcPr>
          <w:p w:rsidR="00D65DE8" w:rsidRDefault="00EC7BD7">
            <w:pPr>
              <w:spacing w:after="0" w:line="240" w:lineRule="auto"/>
              <w:ind w:left="142"/>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w:t>
            </w:r>
            <w:r>
              <w:rPr>
                <w:rFonts w:ascii="Times New Roman" w:eastAsia="Times New Roman" w:hAnsi="Times New Roman" w:cs="Times New Roman"/>
                <w:noProof/>
                <w:sz w:val="20"/>
                <w:szCs w:val="20"/>
                <w:vertAlign w:val="superscript"/>
                <w:lang w:eastAsia="en-GB"/>
              </w:rPr>
              <w:t>o</w:t>
            </w:r>
          </w:p>
        </w:tc>
        <w:tc>
          <w:tcPr>
            <w:tcW w:w="873" w:type="pct"/>
            <w:shd w:val="clear" w:color="auto" w:fill="99CCFF"/>
          </w:tcPr>
          <w:p w:rsidR="00D65DE8" w:rsidRDefault="00EC7BD7">
            <w:pPr>
              <w:spacing w:after="0" w:line="240" w:lineRule="auto"/>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 Inter-institutional reference</w:t>
            </w:r>
          </w:p>
        </w:tc>
        <w:tc>
          <w:tcPr>
            <w:tcW w:w="1792" w:type="pct"/>
            <w:shd w:val="clear" w:color="auto" w:fill="99CCFF"/>
            <w:vAlign w:val="center"/>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
                <w:noProof/>
                <w:sz w:val="20"/>
                <w:szCs w:val="20"/>
                <w:lang w:eastAsia="en-GB"/>
              </w:rPr>
              <w:t>Title</w:t>
            </w:r>
          </w:p>
        </w:tc>
        <w:tc>
          <w:tcPr>
            <w:tcW w:w="2151" w:type="pct"/>
            <w:shd w:val="clear" w:color="auto" w:fill="99CCFF"/>
            <w:vAlign w:val="center"/>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Reasons for withdrawal</w:t>
            </w:r>
          </w:p>
        </w:tc>
      </w:tr>
      <w:tr w:rsidR="00D65DE8">
        <w:trPr>
          <w:cantSplit/>
        </w:trPr>
        <w:tc>
          <w:tcPr>
            <w:tcW w:w="5000" w:type="pct"/>
            <w:gridSpan w:val="4"/>
            <w:shd w:val="clear" w:color="auto" w:fill="92D050"/>
          </w:tcPr>
          <w:p w:rsidR="00D65DE8" w:rsidRDefault="00EC7BD7">
            <w:pPr>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Agriculture and rural development</w:t>
            </w: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noProof/>
                <w:sz w:val="20"/>
                <w:szCs w:val="20"/>
                <w:lang w:eastAsia="en-GB"/>
              </w:rPr>
            </w:pPr>
          </w:p>
        </w:tc>
        <w:tc>
          <w:tcPr>
            <w:tcW w:w="873" w:type="pct"/>
          </w:tcPr>
          <w:p w:rsidR="00D65DE8" w:rsidRDefault="00EC7BD7">
            <w:pPr>
              <w:spacing w:after="0" w:line="240" w:lineRule="auto"/>
              <w:rPr>
                <w:rFonts w:ascii="Times New Roman" w:eastAsia="Times New Roman" w:hAnsi="Times New Roman" w:cs="Times New Roman"/>
                <w:noProof/>
                <w:sz w:val="20"/>
                <w:szCs w:val="20"/>
                <w:lang w:eastAsia="en-GB"/>
              </w:rPr>
            </w:pPr>
            <w:r>
              <w:rPr>
                <w:rFonts w:ascii="Times New Roman" w:hAnsi="Times New Roman" w:cs="Times New Roman"/>
                <w:iCs/>
                <w:noProof/>
                <w:color w:val="000000"/>
                <w:sz w:val="20"/>
                <w:szCs w:val="20"/>
              </w:rPr>
              <w:t>COM/2017/0150 final</w:t>
            </w:r>
            <w:r>
              <w:rPr>
                <w:rFonts w:ascii="Times New Roman" w:hAnsi="Times New Roman" w:cs="Times New Roman"/>
                <w:iCs/>
                <w:noProof/>
                <w:color w:val="000000"/>
                <w:sz w:val="20"/>
                <w:szCs w:val="20"/>
              </w:rPr>
              <w:br/>
              <w:t>2017/068/COD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fixing the adjustment rate provided for in Regulation (EU) No 1306/2013 for direct payments in respect of the calendar year 2017</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Obsolete: the matter was dealt with in Commission Implementing Regulation (EU) 2017/1236 of 7 July 2017.</w:t>
            </w:r>
          </w:p>
          <w:p w:rsidR="00D65DE8" w:rsidRDefault="00D65DE8">
            <w:pPr>
              <w:spacing w:after="0" w:line="240" w:lineRule="auto"/>
              <w:jc w:val="both"/>
              <w:rPr>
                <w:rFonts w:ascii="Times New Roman" w:eastAsia="Times New Roman" w:hAnsi="Times New Roman" w:cs="Times New Roman"/>
                <w:noProof/>
                <w:sz w:val="20"/>
                <w:szCs w:val="20"/>
                <w:lang w:eastAsia="en-GB"/>
              </w:rPr>
            </w:pPr>
          </w:p>
          <w:p w:rsidR="00D65DE8" w:rsidRDefault="00D65DE8">
            <w:pPr>
              <w:spacing w:after="0" w:line="240" w:lineRule="auto"/>
              <w:jc w:val="both"/>
              <w:rPr>
                <w:rFonts w:ascii="Times New Roman" w:eastAsia="Times New Roman" w:hAnsi="Times New Roman" w:cs="Times New Roman"/>
                <w:noProof/>
                <w:sz w:val="20"/>
                <w:szCs w:val="20"/>
                <w:lang w:eastAsia="en-GB"/>
              </w:rPr>
            </w:pPr>
          </w:p>
        </w:tc>
      </w:tr>
      <w:tr w:rsidR="00D65DE8">
        <w:trPr>
          <w:cantSplit/>
        </w:trPr>
        <w:tc>
          <w:tcPr>
            <w:tcW w:w="5000" w:type="pct"/>
            <w:gridSpan w:val="4"/>
            <w:shd w:val="clear" w:color="auto" w:fill="92D050"/>
          </w:tcPr>
          <w:p w:rsidR="00D65DE8" w:rsidRDefault="00EC7BD7">
            <w:pPr>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Economic &amp; Financial Affairs, Taxation &amp; Customs</w:t>
            </w: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bCs/>
                <w:noProof/>
                <w:sz w:val="20"/>
                <w:szCs w:val="20"/>
                <w:lang w:eastAsia="en-GB"/>
              </w:rPr>
            </w:pPr>
          </w:p>
        </w:tc>
        <w:tc>
          <w:tcPr>
            <w:tcW w:w="873" w:type="pct"/>
          </w:tcPr>
          <w:p w:rsidR="00D65DE8" w:rsidRDefault="00EC7BD7">
            <w:pP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COM/2011/737 final</w:t>
            </w:r>
            <w:r>
              <w:rPr>
                <w:rFonts w:ascii="Times New Roman" w:eastAsia="Times New Roman" w:hAnsi="Times New Roman" w:cs="Times New Roman"/>
                <w:bCs/>
                <w:noProof/>
                <w:sz w:val="20"/>
                <w:szCs w:val="20"/>
                <w:lang w:eastAsia="en-GB"/>
              </w:rPr>
              <w:br/>
              <w:t>2011/333/CNS</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COUNCIL REGULATION on the methods and procedure for making available the own resource based on the value added tax</w:t>
            </w:r>
          </w:p>
          <w:p w:rsidR="00D65DE8" w:rsidRDefault="00D65DE8">
            <w:pPr>
              <w:spacing w:after="0" w:line="240" w:lineRule="auto"/>
              <w:jc w:val="both"/>
              <w:rPr>
                <w:rFonts w:ascii="Times New Roman" w:eastAsia="Times New Roman" w:hAnsi="Times New Roman" w:cs="Times New Roman"/>
                <w:bCs/>
                <w:i/>
                <w:noProof/>
                <w:sz w:val="20"/>
                <w:szCs w:val="20"/>
                <w:lang w:eastAsia="en-GB"/>
              </w:rPr>
            </w:pP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Commission will present new proposals on own resources in the comprehensive proposal for the future multi-annual financial programming beyond 2020. Thus this proposal will become obsolete as it will be replaced by new proposals in that context.</w:t>
            </w: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bCs/>
                <w:noProof/>
                <w:sz w:val="20"/>
                <w:szCs w:val="20"/>
                <w:lang w:eastAsia="en-GB"/>
              </w:rPr>
            </w:pPr>
          </w:p>
        </w:tc>
        <w:tc>
          <w:tcPr>
            <w:tcW w:w="873" w:type="pct"/>
          </w:tcPr>
          <w:p w:rsidR="00D65DE8" w:rsidRDefault="00EC7BD7">
            <w:pP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COM/2014/43 final</w:t>
            </w:r>
            <w:r>
              <w:rPr>
                <w:rFonts w:ascii="Times New Roman" w:eastAsia="Times New Roman" w:hAnsi="Times New Roman" w:cs="Times New Roman"/>
                <w:bCs/>
                <w:noProof/>
                <w:sz w:val="20"/>
                <w:szCs w:val="20"/>
                <w:lang w:eastAsia="en-GB"/>
              </w:rPr>
              <w:br/>
              <w:t>2014/0020/COD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on structural measures improving the resilience of EU credit institutions</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highlight w:val="yellow"/>
                <w:lang w:eastAsia="en-GB"/>
              </w:rPr>
            </w:pPr>
            <w:r>
              <w:rPr>
                <w:rFonts w:ascii="Times New Roman" w:eastAsia="Times New Roman" w:hAnsi="Times New Roman" w:cs="Times New Roman"/>
                <w:noProof/>
                <w:sz w:val="20"/>
                <w:szCs w:val="20"/>
                <w:lang w:eastAsia="en-GB"/>
              </w:rPr>
              <w:t>No foreseeable agreement. The file has not progressed since 2015..In addition, the main financial stability rationale of the proposal has in the meantime been addressed by other regulatory measures in the banking sector and most notably the entry into force of the Banking Union's supervisory and resolution arms.</w:t>
            </w:r>
          </w:p>
          <w:p w:rsidR="00D65DE8" w:rsidRDefault="00D65DE8">
            <w:pPr>
              <w:spacing w:after="0" w:line="240" w:lineRule="auto"/>
              <w:jc w:val="both"/>
              <w:rPr>
                <w:rFonts w:ascii="Times New Roman" w:eastAsia="Times New Roman" w:hAnsi="Times New Roman" w:cs="Times New Roman"/>
                <w:noProof/>
                <w:sz w:val="20"/>
                <w:szCs w:val="20"/>
                <w:lang w:eastAsia="en-GB"/>
              </w:rPr>
            </w:pPr>
          </w:p>
        </w:tc>
      </w:tr>
      <w:tr w:rsidR="00D65DE8">
        <w:trPr>
          <w:cantSplit/>
        </w:trPr>
        <w:tc>
          <w:tcPr>
            <w:tcW w:w="5000" w:type="pct"/>
            <w:gridSpan w:val="4"/>
            <w:shd w:val="clear" w:color="auto" w:fill="92D050"/>
          </w:tcPr>
          <w:p w:rsidR="00D65DE8" w:rsidRDefault="00EC7BD7">
            <w:pPr>
              <w:keepNext/>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lastRenderedPageBreak/>
              <w:t>Foreign Affairs &amp; Security Policy</w:t>
            </w: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noProof/>
                <w:sz w:val="20"/>
                <w:szCs w:val="20"/>
                <w:lang w:eastAsia="en-GB"/>
              </w:rPr>
            </w:pPr>
          </w:p>
        </w:tc>
        <w:tc>
          <w:tcPr>
            <w:tcW w:w="873" w:type="pct"/>
          </w:tcPr>
          <w:p w:rsidR="00D65DE8" w:rsidRDefault="00EC7BD7">
            <w:pPr>
              <w:rPr>
                <w:rFonts w:ascii="Times New Roman" w:hAnsi="Times New Roman" w:cs="Times New Roman"/>
                <w:noProof/>
                <w:color w:val="000000"/>
                <w:sz w:val="20"/>
                <w:szCs w:val="20"/>
              </w:rPr>
            </w:pPr>
            <w:r>
              <w:rPr>
                <w:rFonts w:ascii="Times New Roman" w:eastAsia="Times New Roman" w:hAnsi="Times New Roman" w:cs="Times New Roman"/>
                <w:bCs/>
                <w:noProof/>
                <w:sz w:val="20"/>
                <w:szCs w:val="20"/>
                <w:lang w:eastAsia="en-GB"/>
              </w:rPr>
              <w:t>COM/2003/695 final</w:t>
            </w:r>
            <w:r>
              <w:rPr>
                <w:rFonts w:ascii="Times New Roman" w:eastAsia="Times New Roman" w:hAnsi="Times New Roman" w:cs="Times New Roman"/>
                <w:bCs/>
                <w:noProof/>
                <w:sz w:val="20"/>
                <w:szCs w:val="20"/>
                <w:lang w:eastAsia="en-GB"/>
              </w:rPr>
              <w:br/>
            </w:r>
            <w:r>
              <w:rPr>
                <w:rFonts w:ascii="Times New Roman" w:hAnsi="Times New Roman" w:cs="Times New Roman"/>
                <w:noProof/>
                <w:color w:val="000000"/>
                <w:sz w:val="20"/>
                <w:szCs w:val="20"/>
              </w:rPr>
              <w:t>CNS 2003/0268</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 xml:space="preserve">Proposal for a COUNCIL DECISION on the conclusion of a Political Dialogue and Cooperation Agreement between the European Community and its Member States, of the one part, and the Andean Community and its member countries, the Republics of Bolivia, Colombia, Ecuador, Peru and the Bolivarian Republic of Venezuela, of the other part </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 xml:space="preserve">Obsolete: no longer in force as replaced by Joint proposal JOIN/2016/04 final of 3 February 2016. </w:t>
            </w:r>
          </w:p>
          <w:p w:rsidR="00D65DE8" w:rsidRDefault="00D65DE8">
            <w:pPr>
              <w:spacing w:after="0" w:line="240" w:lineRule="auto"/>
              <w:jc w:val="both"/>
              <w:rPr>
                <w:rFonts w:ascii="Times New Roman" w:eastAsia="Times New Roman" w:hAnsi="Times New Roman" w:cs="Times New Roman"/>
                <w:noProof/>
                <w:sz w:val="20"/>
                <w:szCs w:val="20"/>
                <w:lang w:eastAsia="en-GB"/>
              </w:rPr>
            </w:pP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noProof/>
                <w:sz w:val="20"/>
                <w:szCs w:val="20"/>
                <w:lang w:eastAsia="en-GB"/>
              </w:rPr>
            </w:pPr>
          </w:p>
        </w:tc>
        <w:tc>
          <w:tcPr>
            <w:tcW w:w="873" w:type="pct"/>
          </w:tcPr>
          <w:p w:rsidR="00D65DE8" w:rsidRDefault="00EC7BD7">
            <w:pP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COM/2014/360 final</w:t>
            </w:r>
            <w:r>
              <w:rPr>
                <w:rFonts w:ascii="Times New Roman" w:eastAsia="Times New Roman" w:hAnsi="Times New Roman" w:cs="Times New Roman"/>
                <w:bCs/>
                <w:noProof/>
                <w:sz w:val="20"/>
                <w:szCs w:val="20"/>
                <w:lang w:eastAsia="en-GB"/>
              </w:rPr>
              <w:br/>
              <w:t>2014/0182/NLE</w:t>
            </w:r>
          </w:p>
        </w:tc>
        <w:tc>
          <w:tcPr>
            <w:tcW w:w="1792" w:type="pct"/>
            <w:shd w:val="clear" w:color="auto" w:fill="auto"/>
          </w:tcPr>
          <w:p w:rsidR="00D65DE8" w:rsidRDefault="00EC7BD7">
            <w:pPr>
              <w:spacing w:after="0"/>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t>Proposal for a COUNCIL DECISION on the Union position with the Cooperation Council established by the European Union –Georgia Partnership and Cooperation Agreement between the European Community and its Member States, of the one part, and Georgia, of the other part with regard to the adoption of a Recommendation on the implementation of the EU-Georgia Association Agenda</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Obsolete: the Association Agenda was adopted by the FAC on 23 June 2014 (Georgia ST 10978/14) and OJ L 261 of 30.8.2014.</w:t>
            </w: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noProof/>
                <w:sz w:val="20"/>
                <w:szCs w:val="20"/>
                <w:lang w:eastAsia="en-GB"/>
              </w:rPr>
            </w:pPr>
          </w:p>
        </w:tc>
        <w:tc>
          <w:tcPr>
            <w:tcW w:w="873" w:type="pct"/>
          </w:tcPr>
          <w:p w:rsidR="00D65DE8" w:rsidRDefault="00EC7BD7">
            <w:pP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COM/2014/359 final</w:t>
            </w:r>
            <w:r>
              <w:rPr>
                <w:rFonts w:ascii="Times New Roman" w:eastAsia="Times New Roman" w:hAnsi="Times New Roman" w:cs="Times New Roman"/>
                <w:bCs/>
                <w:noProof/>
                <w:sz w:val="20"/>
                <w:szCs w:val="20"/>
                <w:lang w:eastAsia="en-GB"/>
              </w:rPr>
              <w:br/>
              <w:t>2014/0181/NLE</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COUNCIL DECISION on the Union’s position in the Cooperation Council established by the Partnership and Cooperation Agreement between the European Community and its Member States on the one hand and the Republic of Moldova on the other, with regard to adopting a Recommendation on implementing the EU-Moldova Association Agenda</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Obsolete: the Association Agenda was adopted by the FAC on 23 June 2014 (Moldova ST 9621/14 (I/A item note)).</w:t>
            </w:r>
          </w:p>
          <w:p w:rsidR="00D65DE8" w:rsidRDefault="00D65DE8">
            <w:pPr>
              <w:spacing w:after="0" w:line="240" w:lineRule="auto"/>
              <w:jc w:val="both"/>
              <w:rPr>
                <w:rFonts w:ascii="Times New Roman" w:eastAsia="Times New Roman" w:hAnsi="Times New Roman" w:cs="Times New Roman"/>
                <w:bCs/>
                <w:noProof/>
                <w:sz w:val="20"/>
                <w:szCs w:val="20"/>
                <w:lang w:eastAsia="en-GB"/>
              </w:rPr>
            </w:pPr>
          </w:p>
          <w:p w:rsidR="00D65DE8" w:rsidRDefault="00D65DE8">
            <w:pPr>
              <w:spacing w:after="0" w:line="240" w:lineRule="auto"/>
              <w:jc w:val="both"/>
              <w:rPr>
                <w:rFonts w:ascii="Times New Roman" w:eastAsia="Times New Roman" w:hAnsi="Times New Roman" w:cs="Times New Roman"/>
                <w:bCs/>
                <w:noProof/>
                <w:sz w:val="20"/>
                <w:szCs w:val="20"/>
                <w:lang w:eastAsia="en-GB"/>
              </w:rPr>
            </w:pPr>
          </w:p>
        </w:tc>
      </w:tr>
      <w:tr w:rsidR="00D65DE8">
        <w:trPr>
          <w:cantSplit/>
        </w:trPr>
        <w:tc>
          <w:tcPr>
            <w:tcW w:w="184" w:type="pct"/>
          </w:tcPr>
          <w:p w:rsidR="00D65DE8" w:rsidRDefault="00D65DE8">
            <w:pPr>
              <w:pStyle w:val="ListParagraph"/>
              <w:numPr>
                <w:ilvl w:val="0"/>
                <w:numId w:val="1"/>
              </w:numPr>
              <w:spacing w:after="0" w:line="240" w:lineRule="auto"/>
              <w:ind w:left="426"/>
              <w:rPr>
                <w:rFonts w:ascii="Times New Roman" w:eastAsia="Times New Roman" w:hAnsi="Times New Roman" w:cs="Times New Roman"/>
                <w:noProof/>
                <w:sz w:val="20"/>
                <w:szCs w:val="20"/>
                <w:lang w:eastAsia="en-GB"/>
              </w:rPr>
            </w:pPr>
          </w:p>
        </w:tc>
        <w:tc>
          <w:tcPr>
            <w:tcW w:w="873" w:type="pct"/>
          </w:tcPr>
          <w:p w:rsidR="00D65DE8" w:rsidRDefault="00104C49">
            <w:pPr>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JOIN</w:t>
            </w:r>
            <w:r w:rsidR="00EC7BD7">
              <w:rPr>
                <w:rFonts w:ascii="Times New Roman" w:eastAsia="Times New Roman" w:hAnsi="Times New Roman" w:cs="Times New Roman"/>
                <w:bCs/>
                <w:noProof/>
                <w:sz w:val="20"/>
                <w:szCs w:val="20"/>
                <w:lang w:eastAsia="en-GB"/>
              </w:rPr>
              <w:t>/2013/014 final</w:t>
            </w:r>
            <w:r w:rsidR="00EC7BD7">
              <w:rPr>
                <w:rFonts w:ascii="Times New Roman" w:eastAsia="Times New Roman" w:hAnsi="Times New Roman" w:cs="Times New Roman"/>
                <w:bCs/>
                <w:noProof/>
                <w:sz w:val="20"/>
                <w:szCs w:val="20"/>
                <w:lang w:eastAsia="en-GB"/>
              </w:rPr>
              <w:br/>
              <w:t>2013/0149/NLE</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Joint Proposal for a COUNCIL DECISION on the Union position within the Association Council established by the Euro-Mediterranean agreement establishing an Association between the Europe</w:t>
            </w:r>
            <w:bookmarkStart w:id="1" w:name="_GoBack"/>
            <w:bookmarkEnd w:id="1"/>
            <w:r>
              <w:rPr>
                <w:rFonts w:ascii="Times New Roman" w:eastAsia="Times New Roman" w:hAnsi="Times New Roman" w:cs="Times New Roman"/>
                <w:bCs/>
                <w:noProof/>
                <w:sz w:val="20"/>
                <w:szCs w:val="20"/>
                <w:lang w:eastAsia="en-GB"/>
              </w:rPr>
              <w:t>an Community and its Member States, of the one part, and the Republic of Lebanon, of the other part with regard to the adoption of a Recommendation on the implementation of the second EU-Lebanon ENP Action Plan</w:t>
            </w:r>
          </w:p>
        </w:tc>
        <w:tc>
          <w:tcPr>
            <w:tcW w:w="2151" w:type="pct"/>
            <w:shd w:val="clear" w:color="auto" w:fill="auto"/>
          </w:tcPr>
          <w:p w:rsidR="00D65DE8" w:rsidRDefault="00EC7BD7" w:rsidP="00104C49">
            <w:pPr>
              <w:spacing w:after="0" w:line="240" w:lineRule="auto"/>
              <w:jc w:val="both"/>
              <w:rPr>
                <w:rFonts w:ascii="Times New Roman" w:eastAsia="Times New Roman" w:hAnsi="Times New Roman" w:cs="Times New Roman"/>
                <w:bCs/>
                <w:noProof/>
                <w:sz w:val="20"/>
                <w:szCs w:val="20"/>
                <w:highlight w:val="yellow"/>
                <w:lang w:eastAsia="en-GB"/>
              </w:rPr>
            </w:pPr>
            <w:r>
              <w:rPr>
                <w:rFonts w:ascii="Times New Roman" w:eastAsia="Times New Roman" w:hAnsi="Times New Roman" w:cs="Times New Roman"/>
                <w:bCs/>
                <w:noProof/>
                <w:sz w:val="20"/>
                <w:szCs w:val="20"/>
                <w:lang w:eastAsia="en-GB"/>
              </w:rPr>
              <w:t xml:space="preserve">DECISION No 1/2016 OF THE EU-LEBANON ASSOCIATION COUNCIL of 11 November 2016 agreeing on EU-Lebanon Partnership Priorities explicitly states that rather than renewing the ENP Action Plan, the parties adopt the Partnership Priorities and Compact. The Joint Proposal </w:t>
            </w:r>
            <w:r w:rsidR="00104C49">
              <w:rPr>
                <w:rFonts w:ascii="Times New Roman" w:eastAsia="Times New Roman" w:hAnsi="Times New Roman" w:cs="Times New Roman"/>
                <w:bCs/>
                <w:noProof/>
                <w:sz w:val="20"/>
                <w:szCs w:val="20"/>
                <w:lang w:eastAsia="en-GB"/>
              </w:rPr>
              <w:t>JOIN</w:t>
            </w:r>
            <w:r>
              <w:rPr>
                <w:rFonts w:ascii="Times New Roman" w:eastAsia="Times New Roman" w:hAnsi="Times New Roman" w:cs="Times New Roman"/>
                <w:bCs/>
                <w:noProof/>
                <w:sz w:val="20"/>
                <w:szCs w:val="20"/>
                <w:lang w:eastAsia="en-GB"/>
              </w:rPr>
              <w:t>(2013)014 is therefore obsolete.</w:t>
            </w:r>
          </w:p>
        </w:tc>
      </w:tr>
      <w:tr w:rsidR="00D65DE8">
        <w:trPr>
          <w:cantSplit/>
        </w:trPr>
        <w:tc>
          <w:tcPr>
            <w:tcW w:w="5000" w:type="pct"/>
            <w:gridSpan w:val="4"/>
            <w:shd w:val="clear" w:color="auto" w:fill="92D050"/>
          </w:tcPr>
          <w:p w:rsidR="00D65DE8" w:rsidRDefault="00EC7BD7">
            <w:pPr>
              <w:keepNext/>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lastRenderedPageBreak/>
              <w:t>Internal Market, Industry, Entrepreneurship and SMEs</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COM/2012/164 </w:t>
            </w:r>
            <w:r>
              <w:rPr>
                <w:rFonts w:ascii="Times New Roman" w:eastAsia="Times New Roman" w:hAnsi="Times New Roman" w:cs="Times New Roman"/>
                <w:bCs/>
                <w:noProof/>
                <w:sz w:val="20"/>
                <w:szCs w:val="20"/>
                <w:lang w:eastAsia="en-GB"/>
              </w:rPr>
              <w:t>final</w:t>
            </w:r>
            <w:r>
              <w:rPr>
                <w:rFonts w:ascii="Times New Roman" w:hAnsi="Times New Roman" w:cs="Times New Roman"/>
                <w:noProof/>
                <w:color w:val="000000"/>
                <w:sz w:val="20"/>
                <w:szCs w:val="20"/>
              </w:rPr>
              <w:br/>
              <w:t>2012/82/COD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simplifying the transfer of motor vehicles registered in another Member State within the Single Market</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highlight w:val="yellow"/>
                <w:lang w:eastAsia="en-GB"/>
              </w:rPr>
            </w:pPr>
            <w:r>
              <w:rPr>
                <w:rFonts w:ascii="Times New Roman" w:eastAsia="Times New Roman" w:hAnsi="Times New Roman" w:cs="Times New Roman"/>
                <w:noProof/>
                <w:sz w:val="20"/>
                <w:szCs w:val="20"/>
                <w:lang w:eastAsia="en-GB"/>
              </w:rPr>
              <w:t>No foreseeable agreement. The file has not progressed since 2012. The Commission will reassess the issue, including by launching work to update the impact assessment.</w:t>
            </w:r>
          </w:p>
          <w:p w:rsidR="00D65DE8" w:rsidRDefault="00D65DE8">
            <w:pPr>
              <w:spacing w:after="0" w:line="240" w:lineRule="auto"/>
              <w:jc w:val="both"/>
              <w:rPr>
                <w:rFonts w:ascii="Times New Roman" w:eastAsia="Times New Roman" w:hAnsi="Times New Roman" w:cs="Times New Roman"/>
                <w:noProof/>
                <w:sz w:val="20"/>
                <w:szCs w:val="20"/>
                <w:lang w:eastAsia="en-GB"/>
              </w:rPr>
            </w:pPr>
          </w:p>
        </w:tc>
      </w:tr>
      <w:tr w:rsidR="00D65DE8">
        <w:trPr>
          <w:cantSplit/>
        </w:trPr>
        <w:tc>
          <w:tcPr>
            <w:tcW w:w="5000" w:type="pct"/>
            <w:gridSpan w:val="4"/>
            <w:shd w:val="clear" w:color="auto" w:fill="92D050"/>
          </w:tcPr>
          <w:p w:rsidR="00D65DE8" w:rsidRDefault="00EC7BD7">
            <w:pPr>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International Cooperation &amp; Development</w:t>
            </w:r>
          </w:p>
        </w:tc>
      </w:tr>
      <w:tr w:rsidR="00D65DE8">
        <w:trPr>
          <w:cantSplit/>
        </w:trPr>
        <w:tc>
          <w:tcPr>
            <w:tcW w:w="184" w:type="pct"/>
            <w:tcBorders>
              <w:bottom w:val="single" w:sz="4" w:space="0" w:color="auto"/>
            </w:tcBorders>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Borders>
              <w:bottom w:val="single" w:sz="4" w:space="0" w:color="auto"/>
            </w:tcBorders>
          </w:tcPr>
          <w:p w:rsidR="00D65DE8" w:rsidRDefault="00EC7BD7">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COM/2011/0861 final</w:t>
            </w:r>
            <w:r>
              <w:rPr>
                <w:rFonts w:ascii="Times New Roman" w:hAnsi="Times New Roman" w:cs="Times New Roman"/>
                <w:noProof/>
                <w:color w:val="000000"/>
                <w:sz w:val="20"/>
                <w:szCs w:val="20"/>
              </w:rPr>
              <w:br/>
              <w:t>2011/0420/NLE</w:t>
            </w:r>
          </w:p>
        </w:tc>
        <w:tc>
          <w:tcPr>
            <w:tcW w:w="1792" w:type="pct"/>
            <w:tcBorders>
              <w:bottom w:val="single" w:sz="4" w:space="0" w:color="auto"/>
            </w:tcBorders>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COUNCIL DECISION on EU accession to the International Cotton Advisory Committee (ICAC)</w:t>
            </w:r>
          </w:p>
        </w:tc>
        <w:tc>
          <w:tcPr>
            <w:tcW w:w="2151" w:type="pct"/>
            <w:tcBorders>
              <w:bottom w:val="single" w:sz="4" w:space="0" w:color="auto"/>
            </w:tcBorders>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Obsolete: a Council Decision was adopted on 18 May 2017 based on an updated Commission proposal (COM/2016/0712 final - 2016/0349 (NLE)).</w:t>
            </w:r>
          </w:p>
        </w:tc>
      </w:tr>
      <w:tr w:rsidR="00D65DE8">
        <w:trPr>
          <w:cantSplit/>
        </w:trPr>
        <w:tc>
          <w:tcPr>
            <w:tcW w:w="5000" w:type="pct"/>
            <w:gridSpan w:val="4"/>
            <w:shd w:val="clear" w:color="auto" w:fill="92D050"/>
          </w:tcPr>
          <w:p w:rsidR="00D65DE8" w:rsidRDefault="00EC7BD7">
            <w:pPr>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Justice, Consumers &amp; Gender Equality</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rPr>
                <w:rFonts w:ascii="Times New Roman" w:hAnsi="Times New Roman" w:cs="Times New Roman"/>
                <w:noProof/>
                <w:color w:val="000000"/>
                <w:sz w:val="20"/>
                <w:szCs w:val="20"/>
              </w:rPr>
            </w:pPr>
            <w:r>
              <w:rPr>
                <w:rFonts w:ascii="Times New Roman" w:hAnsi="Times New Roman" w:cs="Times New Roman"/>
                <w:noProof/>
                <w:color w:val="000000"/>
                <w:sz w:val="20"/>
                <w:szCs w:val="20"/>
              </w:rPr>
              <w:t>COM/2014/0212 final</w:t>
            </w:r>
            <w:r>
              <w:rPr>
                <w:rFonts w:ascii="Times New Roman" w:hAnsi="Times New Roman" w:cs="Times New Roman"/>
                <w:noProof/>
                <w:color w:val="000000"/>
                <w:sz w:val="20"/>
                <w:szCs w:val="20"/>
              </w:rPr>
              <w:br/>
              <w:t>2014/0120/COD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DIRECTIVE OF THE EUROPEAN PARLIAMENT AND OF THE COUNCIL on single-member private limited liability companies</w:t>
            </w:r>
          </w:p>
        </w:tc>
        <w:tc>
          <w:tcPr>
            <w:tcW w:w="2151" w:type="pct"/>
            <w:shd w:val="clear" w:color="auto" w:fill="auto"/>
          </w:tcPr>
          <w:p w:rsidR="00D65DE8" w:rsidRDefault="00EC7BD7">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Possible withdrawal was mentioned in the written replies to questions of the PANA Committee. The Commission will table new proposals on company law in Q4 2017 and this proposal will be subsequently withdrawn.</w:t>
            </w:r>
          </w:p>
        </w:tc>
      </w:tr>
      <w:tr w:rsidR="00D65DE8">
        <w:trPr>
          <w:cantSplit/>
        </w:trPr>
        <w:tc>
          <w:tcPr>
            <w:tcW w:w="5000" w:type="pct"/>
            <w:gridSpan w:val="4"/>
            <w:shd w:val="clear" w:color="auto" w:fill="92D050"/>
          </w:tcPr>
          <w:p w:rsidR="00D65DE8" w:rsidRDefault="00EC7BD7">
            <w:pPr>
              <w:keepNext/>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Maritime Affairs &amp; Fisheries</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spacing w:after="0" w:line="240" w:lineRule="auto"/>
              <w:rPr>
                <w:rFonts w:ascii="Times New Roman" w:hAnsi="Times New Roman" w:cs="Times New Roman"/>
                <w:iCs/>
                <w:noProof/>
                <w:color w:val="000000"/>
                <w:sz w:val="20"/>
                <w:szCs w:val="20"/>
              </w:rPr>
            </w:pPr>
            <w:r>
              <w:rPr>
                <w:rFonts w:ascii="Times New Roman" w:eastAsia="Times New Roman" w:hAnsi="Times New Roman" w:cs="Times New Roman"/>
                <w:bCs/>
                <w:noProof/>
                <w:sz w:val="20"/>
                <w:szCs w:val="20"/>
                <w:lang w:eastAsia="en-GB"/>
              </w:rPr>
              <w:t>COM/2011/0760 final</w:t>
            </w:r>
            <w:r>
              <w:rPr>
                <w:rFonts w:ascii="Times New Roman" w:eastAsia="Times New Roman" w:hAnsi="Times New Roman" w:cs="Times New Roman"/>
                <w:bCs/>
                <w:noProof/>
                <w:sz w:val="20"/>
                <w:szCs w:val="20"/>
                <w:lang w:eastAsia="en-GB"/>
              </w:rPr>
              <w:br/>
              <w:t>2011/0345/COD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amending Council Regulation (EC) No 1300/2008 of 18 December 2008 establishing a multi-annual plan for the stock of herring distributed to the west of Scotland and the fisheries</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Will become obsolete with the proposed repeal (see Annex V) of the Council Regulation (EC) No 1300/2008 of 18 December 2008 establishing a multi-annual plan for the stock of herring distributed to the west of Scotland.</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spacing w:after="0" w:line="240" w:lineRule="auto"/>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COM/2013/09 final</w:t>
            </w:r>
            <w:r>
              <w:rPr>
                <w:rFonts w:ascii="Times New Roman" w:eastAsia="Times New Roman" w:hAnsi="Times New Roman" w:cs="Times New Roman"/>
                <w:bCs/>
                <w:noProof/>
                <w:sz w:val="20"/>
                <w:szCs w:val="20"/>
                <w:lang w:eastAsia="en-GB"/>
              </w:rPr>
              <w:br/>
              <w:t>2013/0007/COD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amending Council Regulation (EC) No 1224/2009 establishing a Community control system for ensuring compliance with the rules of the Common Fisheries Policy</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Commission intends to present a new proposal on the substantial revision of the Fisheries Control System, foreseen for Q2/ 2018.</w:t>
            </w:r>
          </w:p>
        </w:tc>
      </w:tr>
      <w:tr w:rsidR="00D65DE8">
        <w:trPr>
          <w:cantSplit/>
        </w:trPr>
        <w:tc>
          <w:tcPr>
            <w:tcW w:w="5000" w:type="pct"/>
            <w:gridSpan w:val="4"/>
            <w:shd w:val="clear" w:color="auto" w:fill="92D050"/>
          </w:tcPr>
          <w:p w:rsidR="00D65DE8" w:rsidRDefault="00EC7BD7">
            <w:pPr>
              <w:keepNext/>
              <w:spacing w:before="60" w:after="60" w:line="240" w:lineRule="auto"/>
              <w:jc w:val="both"/>
              <w:rPr>
                <w:rFonts w:ascii="Times New Roman" w:hAnsi="Times New Roman" w:cs="Times New Roman"/>
                <w:noProof/>
                <w:sz w:val="20"/>
                <w:szCs w:val="20"/>
              </w:rPr>
            </w:pPr>
            <w:r>
              <w:rPr>
                <w:rFonts w:ascii="Times New Roman" w:eastAsia="Times New Roman" w:hAnsi="Times New Roman" w:cs="Times New Roman"/>
                <w:b/>
                <w:noProof/>
                <w:sz w:val="20"/>
                <w:szCs w:val="20"/>
                <w:lang w:eastAsia="en-GB"/>
              </w:rPr>
              <w:lastRenderedPageBreak/>
              <w:t>Migration, Home Affairs &amp; Citizenship</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spacing w:after="0" w:line="240" w:lineRule="auto"/>
              <w:rPr>
                <w:rFonts w:ascii="Times New Roman" w:eastAsia="Times New Roman" w:hAnsi="Times New Roman" w:cs="Times New Roman"/>
                <w:noProof/>
                <w:sz w:val="20"/>
                <w:szCs w:val="20"/>
                <w:lang w:val="en" w:eastAsia="en-GB"/>
              </w:rPr>
            </w:pPr>
            <w:r>
              <w:rPr>
                <w:rFonts w:ascii="Times New Roman" w:hAnsi="Times New Roman" w:cs="Times New Roman"/>
                <w:noProof/>
                <w:color w:val="000000"/>
                <w:sz w:val="20"/>
                <w:szCs w:val="20"/>
                <w:lang w:val="en"/>
              </w:rPr>
              <w:t xml:space="preserve">COM/2014/163 </w:t>
            </w:r>
            <w:r>
              <w:rPr>
                <w:rFonts w:ascii="Times New Roman" w:eastAsia="Times New Roman" w:hAnsi="Times New Roman" w:cs="Times New Roman"/>
                <w:bCs/>
                <w:noProof/>
                <w:sz w:val="20"/>
                <w:szCs w:val="20"/>
                <w:lang w:eastAsia="en-GB"/>
              </w:rPr>
              <w:t>final</w:t>
            </w:r>
            <w:r>
              <w:rPr>
                <w:rFonts w:ascii="Times New Roman" w:hAnsi="Times New Roman" w:cs="Times New Roman"/>
                <w:noProof/>
                <w:color w:val="000000"/>
                <w:sz w:val="20"/>
                <w:szCs w:val="20"/>
                <w:lang w:val="en"/>
              </w:rPr>
              <w:br/>
              <w:t>2014/0095/COD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val="en" w:eastAsia="en-GB"/>
              </w:rPr>
            </w:pPr>
            <w:r>
              <w:rPr>
                <w:rFonts w:ascii="Times New Roman" w:hAnsi="Times New Roman" w:cs="Times New Roman"/>
                <w:noProof/>
                <w:color w:val="000000"/>
                <w:sz w:val="20"/>
                <w:szCs w:val="20"/>
                <w:lang w:val="en"/>
              </w:rPr>
              <w:t xml:space="preserve">Proposal for a Regulation of the European Parliament and of the Council </w:t>
            </w:r>
            <w:r>
              <w:rPr>
                <w:rFonts w:ascii="Times New Roman" w:hAnsi="Times New Roman" w:cs="Times New Roman"/>
                <w:noProof/>
                <w:color w:val="000000"/>
                <w:sz w:val="20"/>
                <w:szCs w:val="20"/>
              </w:rPr>
              <w:t>establishing a touring visa and amending the Convention implementing the Schengen Agreement and Regulations (EC) No 562/2006 and (EC) No 767/2008</w:t>
            </w:r>
          </w:p>
        </w:tc>
        <w:tc>
          <w:tcPr>
            <w:tcW w:w="2151" w:type="pct"/>
            <w:shd w:val="clear" w:color="auto" w:fill="auto"/>
          </w:tcPr>
          <w:p w:rsidR="00D65DE8" w:rsidRDefault="00EC7BD7">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Proposal to be withdrawn in the context of the proposal for a revised Visa Code foreseen for Q1/2018.</w:t>
            </w:r>
          </w:p>
          <w:p w:rsidR="00D65DE8" w:rsidRDefault="00D65DE8">
            <w:pPr>
              <w:spacing w:after="0" w:line="240" w:lineRule="auto"/>
              <w:jc w:val="both"/>
              <w:rPr>
                <w:rFonts w:ascii="Times New Roman" w:hAnsi="Times New Roman" w:cs="Times New Roman"/>
                <w:noProof/>
                <w:sz w:val="20"/>
                <w:szCs w:val="20"/>
              </w:rPr>
            </w:pPr>
          </w:p>
          <w:p w:rsidR="00D65DE8" w:rsidRDefault="00D65DE8">
            <w:pPr>
              <w:spacing w:after="0" w:line="240" w:lineRule="auto"/>
              <w:jc w:val="both"/>
              <w:rPr>
                <w:rFonts w:ascii="Times New Roman" w:hAnsi="Times New Roman" w:cs="Times New Roman"/>
                <w:noProof/>
                <w:sz w:val="20"/>
                <w:szCs w:val="20"/>
                <w:highlight w:val="yellow"/>
              </w:rPr>
            </w:pP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spacing w:after="0" w:line="240" w:lineRule="auto"/>
              <w:rPr>
                <w:rFonts w:ascii="Times New Roman" w:eastAsia="Times New Roman" w:hAnsi="Times New Roman" w:cs="Times New Roman"/>
                <w:noProof/>
                <w:sz w:val="20"/>
                <w:szCs w:val="20"/>
                <w:lang w:eastAsia="en-GB"/>
              </w:rPr>
            </w:pPr>
            <w:r>
              <w:rPr>
                <w:rFonts w:ascii="Times New Roman" w:hAnsi="Times New Roman" w:cs="Times New Roman"/>
                <w:noProof/>
                <w:color w:val="000000"/>
                <w:sz w:val="20"/>
                <w:szCs w:val="20"/>
                <w:lang w:val="en"/>
              </w:rPr>
              <w:t xml:space="preserve">COM/2014/164 </w:t>
            </w:r>
            <w:r>
              <w:rPr>
                <w:rFonts w:ascii="Times New Roman" w:eastAsia="Times New Roman" w:hAnsi="Times New Roman" w:cs="Times New Roman"/>
                <w:bCs/>
                <w:noProof/>
                <w:sz w:val="20"/>
                <w:szCs w:val="20"/>
                <w:lang w:eastAsia="en-GB"/>
              </w:rPr>
              <w:t>final</w:t>
            </w:r>
            <w:r>
              <w:rPr>
                <w:rFonts w:ascii="Times New Roman" w:hAnsi="Times New Roman" w:cs="Times New Roman"/>
                <w:noProof/>
                <w:color w:val="000000"/>
                <w:sz w:val="20"/>
                <w:szCs w:val="20"/>
                <w:lang w:val="en"/>
              </w:rPr>
              <w:br/>
              <w:t>2014/0094/COD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hAnsi="Times New Roman" w:cs="Times New Roman"/>
                <w:noProof/>
                <w:color w:val="000000"/>
                <w:sz w:val="20"/>
                <w:szCs w:val="20"/>
                <w:lang w:val="en"/>
              </w:rPr>
              <w:t xml:space="preserve">Proposal for a Regulation of the European Parliament and of the Council on </w:t>
            </w:r>
            <w:r>
              <w:rPr>
                <w:rFonts w:ascii="Times New Roman" w:hAnsi="Times New Roman" w:cs="Times New Roman"/>
                <w:noProof/>
                <w:sz w:val="20"/>
                <w:szCs w:val="20"/>
                <w:lang w:val="en"/>
              </w:rPr>
              <w:t xml:space="preserve">the </w:t>
            </w:r>
            <w:hyperlink r:id="rId16" w:tgtFrame="_blank" w:history="1">
              <w:r>
                <w:rPr>
                  <w:rStyle w:val="Hyperlink"/>
                  <w:rFonts w:ascii="Times New Roman" w:hAnsi="Times New Roman" w:cs="Times New Roman"/>
                  <w:noProof/>
                  <w:color w:val="auto"/>
                  <w:sz w:val="20"/>
                  <w:szCs w:val="20"/>
                  <w:lang w:val="en"/>
                </w:rPr>
                <w:t>Union Code on Visas (Visa Code)</w:t>
              </w:r>
            </w:hyperlink>
            <w:r>
              <w:rPr>
                <w:rFonts w:ascii="Times New Roman" w:hAnsi="Times New Roman" w:cs="Times New Roman"/>
                <w:noProof/>
                <w:color w:val="000000"/>
                <w:sz w:val="20"/>
                <w:szCs w:val="20"/>
                <w:lang w:val="en"/>
              </w:rPr>
              <w:t xml:space="preserve"> </w:t>
            </w:r>
          </w:p>
        </w:tc>
        <w:tc>
          <w:tcPr>
            <w:tcW w:w="2151" w:type="pct"/>
            <w:shd w:val="clear" w:color="auto" w:fill="auto"/>
          </w:tcPr>
          <w:p w:rsidR="00D65DE8" w:rsidRDefault="00EC7BD7">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Proposal to be withdrawn in the context of the proposal for a revised Visa Code foreseen for Q1/2018.</w:t>
            </w:r>
          </w:p>
        </w:tc>
      </w:tr>
      <w:tr w:rsidR="00D65DE8">
        <w:trPr>
          <w:cantSplit/>
        </w:trPr>
        <w:tc>
          <w:tcPr>
            <w:tcW w:w="5000" w:type="pct"/>
            <w:gridSpan w:val="4"/>
            <w:shd w:val="clear" w:color="auto" w:fill="92D050"/>
          </w:tcPr>
          <w:p w:rsidR="00D65DE8" w:rsidRDefault="00EC7BD7">
            <w:pPr>
              <w:spacing w:before="60" w:after="60" w:line="240" w:lineRule="auto"/>
              <w:jc w:val="both"/>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Transport</w:t>
            </w:r>
          </w:p>
        </w:tc>
      </w:tr>
      <w:tr w:rsidR="00D65DE8">
        <w:trPr>
          <w:cantSplit/>
        </w:trPr>
        <w:tc>
          <w:tcPr>
            <w:tcW w:w="184" w:type="pct"/>
          </w:tcPr>
          <w:p w:rsidR="00D65DE8" w:rsidRDefault="00D65DE8">
            <w:pPr>
              <w:pStyle w:val="ListParagraph"/>
              <w:numPr>
                <w:ilvl w:val="0"/>
                <w:numId w:val="1"/>
              </w:numPr>
              <w:ind w:left="426"/>
              <w:rPr>
                <w:rFonts w:ascii="Times New Roman" w:hAnsi="Times New Roman" w:cs="Times New Roman"/>
                <w:noProof/>
                <w:color w:val="000000"/>
                <w:sz w:val="20"/>
                <w:szCs w:val="20"/>
              </w:rPr>
            </w:pPr>
          </w:p>
        </w:tc>
        <w:tc>
          <w:tcPr>
            <w:tcW w:w="873" w:type="pct"/>
          </w:tcPr>
          <w:p w:rsidR="00D65DE8" w:rsidRDefault="00EC7BD7">
            <w:pPr>
              <w:tabs>
                <w:tab w:val="center" w:pos="911"/>
              </w:tabs>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COM/2013/409 </w:t>
            </w:r>
            <w:r>
              <w:rPr>
                <w:rFonts w:ascii="Times New Roman" w:eastAsia="Times New Roman" w:hAnsi="Times New Roman" w:cs="Times New Roman"/>
                <w:bCs/>
                <w:noProof/>
                <w:sz w:val="20"/>
                <w:szCs w:val="20"/>
                <w:lang w:eastAsia="en-GB"/>
              </w:rPr>
              <w:t>final</w:t>
            </w:r>
            <w:r>
              <w:rPr>
                <w:rFonts w:ascii="Times New Roman" w:hAnsi="Times New Roman" w:cs="Times New Roman"/>
                <w:noProof/>
                <w:color w:val="000000"/>
                <w:sz w:val="20"/>
                <w:szCs w:val="20"/>
              </w:rPr>
              <w:br/>
              <w:t>2013/0187/COD</w:t>
            </w:r>
          </w:p>
        </w:tc>
        <w:tc>
          <w:tcPr>
            <w:tcW w:w="1792" w:type="pct"/>
            <w:shd w:val="clear" w:color="auto" w:fill="auto"/>
          </w:tcPr>
          <w:p w:rsidR="00D65DE8" w:rsidRDefault="00EC7BD7">
            <w:pPr>
              <w:spacing w:after="0" w:line="240" w:lineRule="auto"/>
              <w:jc w:val="both"/>
              <w:rPr>
                <w:rFonts w:ascii="Times New Roman" w:eastAsia="Times New Roman" w:hAnsi="Times New Roman" w:cs="Times New Roman"/>
                <w:bCs/>
                <w:noProof/>
                <w:sz w:val="20"/>
                <w:szCs w:val="20"/>
                <w:lang w:eastAsia="en-GB"/>
              </w:rPr>
            </w:pPr>
            <w:r>
              <w:rPr>
                <w:rFonts w:ascii="Times New Roman" w:eastAsia="Times New Roman" w:hAnsi="Times New Roman" w:cs="Times New Roman"/>
                <w:bCs/>
                <w:noProof/>
                <w:sz w:val="20"/>
                <w:szCs w:val="20"/>
                <w:lang w:eastAsia="en-GB"/>
              </w:rPr>
              <w:t>Proposal for a REGULATION OF THE EUROPEAN PARLIAMENT AND OF THE COUNCIL amending Regulation (EC) No 216/2008 in the field of aerodromes, air traffic management and air navigation services</w:t>
            </w:r>
          </w:p>
        </w:tc>
        <w:tc>
          <w:tcPr>
            <w:tcW w:w="2151" w:type="pct"/>
            <w:shd w:val="clear" w:color="auto" w:fill="auto"/>
          </w:tcPr>
          <w:p w:rsidR="00D65DE8" w:rsidRDefault="00EC7BD7">
            <w:pPr>
              <w:spacing w:after="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The substance was subsumed into the new proposal establishing EASA (COM(2015) 613 final) now in the inter-interinstitutional process. Thus this proposal will become obsolete.</w:t>
            </w:r>
          </w:p>
        </w:tc>
      </w:tr>
    </w:tbl>
    <w:p w:rsidR="00D65DE8" w:rsidRDefault="00D65DE8">
      <w:pPr>
        <w:rPr>
          <w:noProof/>
        </w:rPr>
      </w:pPr>
    </w:p>
    <w:sectPr w:rsidR="00D65DE8">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DE8" w:rsidRDefault="00EC7BD7">
      <w:pPr>
        <w:spacing w:after="0" w:line="240" w:lineRule="auto"/>
      </w:pPr>
      <w:r>
        <w:separator/>
      </w:r>
    </w:p>
  </w:endnote>
  <w:endnote w:type="continuationSeparator" w:id="0">
    <w:p w:rsidR="00D65DE8" w:rsidRDefault="00EC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D7" w:rsidRDefault="00EC7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903" w:rsidRPr="006C2903" w:rsidRDefault="006C2903" w:rsidP="006C2903">
    <w:pPr>
      <w:pStyle w:val="FooterCoverPage"/>
      <w:rPr>
        <w:rFonts w:ascii="Arial" w:hAnsi="Arial" w:cs="Arial"/>
        <w:b/>
        <w:sz w:val="48"/>
      </w:rPr>
    </w:pPr>
    <w:r w:rsidRPr="006C2903">
      <w:rPr>
        <w:rFonts w:ascii="Arial" w:hAnsi="Arial" w:cs="Arial"/>
        <w:b/>
        <w:sz w:val="48"/>
      </w:rPr>
      <w:t>EN</w:t>
    </w:r>
    <w:r w:rsidRPr="006C2903">
      <w:rPr>
        <w:rFonts w:ascii="Arial" w:hAnsi="Arial" w:cs="Arial"/>
        <w:b/>
        <w:sz w:val="48"/>
      </w:rPr>
      <w:tab/>
    </w:r>
    <w:r w:rsidRPr="006C2903">
      <w:rPr>
        <w:rFonts w:ascii="Arial" w:hAnsi="Arial" w:cs="Arial"/>
        <w:b/>
        <w:sz w:val="48"/>
      </w:rPr>
      <w:tab/>
    </w:r>
    <w:r w:rsidR="00104C49">
      <w:fldChar w:fldCharType="begin"/>
    </w:r>
    <w:r w:rsidR="00104C49">
      <w:instrText xml:space="preserve"> DOCVARIABLE "LW_Confidence" \* MERGEFORMAT </w:instrText>
    </w:r>
    <w:r w:rsidR="00104C49">
      <w:fldChar w:fldCharType="separate"/>
    </w:r>
    <w:r w:rsidR="00EC7BD7">
      <w:t xml:space="preserve"> </w:t>
    </w:r>
    <w:r w:rsidR="00104C49">
      <w:fldChar w:fldCharType="end"/>
    </w:r>
    <w:r w:rsidRPr="006C2903">
      <w:tab/>
    </w:r>
    <w:r w:rsidRPr="006C290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D7" w:rsidRDefault="00EC7B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E8" w:rsidRDefault="00D65D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1036"/>
      <w:docPartObj>
        <w:docPartGallery w:val="Page Numbers (Bottom of Page)"/>
        <w:docPartUnique/>
      </w:docPartObj>
    </w:sdtPr>
    <w:sdtEndPr>
      <w:rPr>
        <w:rFonts w:ascii="Times New Roman" w:hAnsi="Times New Roman"/>
        <w:noProof/>
      </w:rPr>
    </w:sdtEndPr>
    <w:sdtContent>
      <w:p w:rsidR="00D65DE8" w:rsidRDefault="00EC7BD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04C49">
          <w:rPr>
            <w:rFonts w:ascii="Times New Roman" w:hAnsi="Times New Roman"/>
            <w:noProof/>
          </w:rPr>
          <w:t>4</w:t>
        </w:r>
        <w:r>
          <w:rPr>
            <w:rFonts w:ascii="Times New Roman" w:hAnsi="Times New Roman"/>
            <w:noProof/>
          </w:rPr>
          <w:fldChar w:fldCharType="end"/>
        </w:r>
      </w:p>
    </w:sdtContent>
  </w:sdt>
  <w:p w:rsidR="00D65DE8" w:rsidRDefault="00D65D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E8" w:rsidRDefault="00D65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DE8" w:rsidRDefault="00EC7BD7">
      <w:pPr>
        <w:spacing w:after="0" w:line="240" w:lineRule="auto"/>
      </w:pPr>
      <w:r>
        <w:separator/>
      </w:r>
    </w:p>
  </w:footnote>
  <w:footnote w:type="continuationSeparator" w:id="0">
    <w:p w:rsidR="00D65DE8" w:rsidRDefault="00EC7BD7">
      <w:pPr>
        <w:spacing w:after="0" w:line="240" w:lineRule="auto"/>
      </w:pPr>
      <w:r>
        <w:continuationSeparator/>
      </w:r>
    </w:p>
  </w:footnote>
  <w:footnote w:id="1">
    <w:p w:rsidR="00D65DE8" w:rsidRDefault="00EC7BD7">
      <w:pPr>
        <w:pStyle w:val="FootnoteText"/>
        <w:rPr>
          <w:rFonts w:ascii="Times New Roman" w:eastAsia="Times New Roman" w:hAnsi="Times New Roman" w:cs="Times New Roman"/>
          <w:bCs/>
          <w:lang w:eastAsia="en-GB"/>
        </w:rPr>
      </w:pPr>
      <w:r>
        <w:rPr>
          <w:rStyle w:val="FootnoteReference"/>
        </w:rPr>
        <w:footnoteRef/>
      </w:r>
      <w:r>
        <w:t xml:space="preserve"> </w:t>
      </w:r>
      <w:r>
        <w:rPr>
          <w:rFonts w:ascii="Times New Roman" w:eastAsia="Times New Roman" w:hAnsi="Times New Roman" w:cs="Times New Roman"/>
          <w:bCs/>
          <w:lang w:eastAsia="en-GB"/>
        </w:rPr>
        <w:t>This list includes pending legislative proposals, which the Commission intends to withdraw within six months (by April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D7" w:rsidRDefault="00EC7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D7" w:rsidRDefault="00EC7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D7" w:rsidRDefault="00EC7B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E8" w:rsidRDefault="00D65D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E8" w:rsidRDefault="00D65D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E8" w:rsidRDefault="00D65D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82F"/>
    <w:multiLevelType w:val="hybridMultilevel"/>
    <w:tmpl w:val="5A9C81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3EF74B90"/>
    <w:multiLevelType w:val="hybridMultilevel"/>
    <w:tmpl w:val="B9768E9E"/>
    <w:lvl w:ilvl="0" w:tplc="BCD0181C">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094D17"/>
    <w:multiLevelType w:val="hybridMultilevel"/>
    <w:tmpl w:val="B9768E9E"/>
    <w:lvl w:ilvl="0" w:tplc="BCD0181C">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4"/>
    <w:docVar w:name="LW_ANNEX_NBR_LAST" w:val="4"/>
    <w:docVar w:name="LW_CONFIDENCE" w:val=" "/>
    <w:docVar w:name="LW_CONST_RESTREINT_UE" w:val="RESTREINT UE/EU RESTRICTED"/>
    <w:docVar w:name="LW_CORRIGENDUM" w:val="&lt;UNUSED&gt;"/>
    <w:docVar w:name="LW_COVERPAGE_GUID" w:val="6CF272DE85394ADCB7DABFE1910C29B2"/>
    <w:docVar w:name="LW_CROSSREFERENCE" w:val="&lt;UNUSED&gt;"/>
    <w:docVar w:name="LW_DocType" w:val="NORMAL"/>
    <w:docVar w:name="LW_EMISSION" w:val="24.10.2017"/>
    <w:docVar w:name="LW_EMISSION_ISODATE" w:val="2017-10-24"/>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8_x000b__x000b_An agenda for a more united, stronger and more democratic Europ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_x000b_"/>
  </w:docVars>
  <w:rsids>
    <w:rsidRoot w:val="00D65DE8"/>
    <w:rsid w:val="00104C49"/>
    <w:rsid w:val="006C2903"/>
    <w:rsid w:val="00D65DE8"/>
    <w:rsid w:val="00EC7B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Calibri" w:hAnsi="Times New Roman" w:cs="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Calibri" w:hAnsi="Times New Roman" w:cs="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Calibri" w:hAnsi="Times New Roman" w:cs="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Calibri" w:hAnsi="Times New Roman" w:cs="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9997">
      <w:bodyDiv w:val="1"/>
      <w:marLeft w:val="0"/>
      <w:marRight w:val="0"/>
      <w:marTop w:val="0"/>
      <w:marBottom w:val="0"/>
      <w:divBdr>
        <w:top w:val="none" w:sz="0" w:space="0" w:color="auto"/>
        <w:left w:val="none" w:sz="0" w:space="0" w:color="auto"/>
        <w:bottom w:val="none" w:sz="0" w:space="0" w:color="auto"/>
        <w:right w:val="none" w:sz="0" w:space="0" w:color="auto"/>
      </w:divBdr>
    </w:div>
    <w:div w:id="1668433468">
      <w:bodyDiv w:val="1"/>
      <w:marLeft w:val="0"/>
      <w:marRight w:val="0"/>
      <w:marTop w:val="0"/>
      <w:marBottom w:val="0"/>
      <w:divBdr>
        <w:top w:val="none" w:sz="0" w:space="0" w:color="auto"/>
        <w:left w:val="none" w:sz="0" w:space="0" w:color="auto"/>
        <w:bottom w:val="none" w:sz="0" w:space="0" w:color="auto"/>
        <w:right w:val="none" w:sz="0" w:space="0" w:color="auto"/>
      </w:divBdr>
    </w:div>
    <w:div w:id="1921713621">
      <w:bodyDiv w:val="1"/>
      <w:marLeft w:val="0"/>
      <w:marRight w:val="0"/>
      <w:marTop w:val="0"/>
      <w:marBottom w:val="0"/>
      <w:divBdr>
        <w:top w:val="none" w:sz="0" w:space="0" w:color="auto"/>
        <w:left w:val="none" w:sz="0" w:space="0" w:color="auto"/>
        <w:bottom w:val="none" w:sz="0" w:space="0" w:color="auto"/>
        <w:right w:val="none" w:sz="0" w:space="0" w:color="auto"/>
      </w:divBdr>
    </w:div>
    <w:div w:id="2029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sites/homeaffairs/files/e-library/documents/policies/borders-and-visas/visa-policy/docs/proposal_regulation_union_code_on_visas_en.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2FCF6-816C-4C00-B32E-FF836692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5963</Characters>
  <Application>Microsoft Office Word</Application>
  <DocSecurity>0</DocSecurity>
  <Lines>198</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2017-10-24T07:52:00Z</dcterms:created>
  <dcterms:modified xsi:type="dcterms:W3CDTF">2017-10-24T12:44:00Z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