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A7" w:rsidRDefault="00237148" w:rsidP="00FC5CD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C725B4CDF4F459DB6FC0D2A830B419A" style="width:450.15pt;height:448.3pt">
            <v:imagedata r:id="rId9" o:title=""/>
          </v:shape>
        </w:pict>
      </w:r>
    </w:p>
    <w:bookmarkEnd w:id="0"/>
    <w:p w:rsidR="00CE7FA7" w:rsidRDefault="00CE7FA7">
      <w:pPr>
        <w:rPr>
          <w:noProof/>
        </w:rPr>
        <w:sectPr w:rsidR="00CE7FA7" w:rsidSect="00FC5CD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E7FA7" w:rsidRDefault="00872487">
      <w:pPr>
        <w:spacing w:after="600"/>
        <w:jc w:val="center"/>
        <w:outlineLvl w:val="0"/>
        <w:rPr>
          <w:rFonts w:ascii="Times New Roman" w:eastAsia="Calibri" w:hAnsi="Times New Roman" w:cs="Times New Roman"/>
          <w:b/>
          <w:noProof/>
          <w:sz w:val="28"/>
          <w:szCs w:val="28"/>
          <w:u w:val="single"/>
        </w:rPr>
      </w:pPr>
      <w:r>
        <w:rPr>
          <w:rFonts w:ascii="Times New Roman" w:hAnsi="Times New Roman"/>
          <w:b/>
          <w:noProof/>
          <w:sz w:val="28"/>
          <w:u w:val="single"/>
        </w:rPr>
        <w:lastRenderedPageBreak/>
        <w:t>Annexe IV: Retraits</w:t>
      </w:r>
      <w:r>
        <w:rPr>
          <w:rStyle w:val="FootnoteReference"/>
          <w:rFonts w:ascii="Times New Roman" w:hAnsi="Times New Roman"/>
          <w:b/>
          <w:noProof/>
          <w:sz w:val="28"/>
          <w:u w:val="single"/>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21"/>
        <w:gridCol w:w="2475"/>
        <w:gridCol w:w="5080"/>
        <w:gridCol w:w="6098"/>
      </w:tblGrid>
      <w:tr w:rsidR="00CE7FA7">
        <w:trPr>
          <w:cantSplit/>
          <w:tblHeader/>
        </w:trPr>
        <w:tc>
          <w:tcPr>
            <w:tcW w:w="184" w:type="pct"/>
            <w:shd w:val="clear" w:color="auto" w:fill="99CCFF"/>
          </w:tcPr>
          <w:p w:rsidR="00CE7FA7" w:rsidRDefault="00872487">
            <w:pPr>
              <w:spacing w:after="0" w:line="240" w:lineRule="auto"/>
              <w:ind w:left="142"/>
              <w:rPr>
                <w:rFonts w:ascii="Times New Roman" w:eastAsia="Times New Roman" w:hAnsi="Times New Roman" w:cs="Times New Roman"/>
                <w:b/>
                <w:noProof/>
                <w:sz w:val="20"/>
                <w:szCs w:val="20"/>
              </w:rPr>
            </w:pPr>
            <w:r>
              <w:rPr>
                <w:rFonts w:ascii="Times New Roman" w:hAnsi="Times New Roman"/>
                <w:b/>
                <w:noProof/>
                <w:sz w:val="20"/>
              </w:rPr>
              <w:t>N</w:t>
            </w:r>
            <w:r>
              <w:rPr>
                <w:rFonts w:ascii="Times New Roman" w:hAnsi="Times New Roman"/>
                <w:noProof/>
                <w:sz w:val="20"/>
                <w:vertAlign w:val="superscript"/>
              </w:rPr>
              <w:t>º</w:t>
            </w:r>
          </w:p>
        </w:tc>
        <w:tc>
          <w:tcPr>
            <w:tcW w:w="873" w:type="pct"/>
            <w:shd w:val="clear" w:color="auto" w:fill="99CCFF"/>
          </w:tcPr>
          <w:p w:rsidR="00CE7FA7" w:rsidRDefault="00872487">
            <w:pPr>
              <w:spacing w:after="0" w:line="240" w:lineRule="auto"/>
              <w:rPr>
                <w:rFonts w:ascii="Times New Roman" w:eastAsia="Times New Roman" w:hAnsi="Times New Roman" w:cs="Times New Roman"/>
                <w:b/>
                <w:noProof/>
                <w:sz w:val="20"/>
                <w:szCs w:val="20"/>
              </w:rPr>
            </w:pPr>
            <w:r>
              <w:rPr>
                <w:rFonts w:ascii="Times New Roman" w:hAnsi="Times New Roman"/>
                <w:b/>
                <w:noProof/>
                <w:sz w:val="20"/>
              </w:rPr>
              <w:t>Référence COM/interinstitutionnelle</w:t>
            </w:r>
          </w:p>
        </w:tc>
        <w:tc>
          <w:tcPr>
            <w:tcW w:w="1792" w:type="pct"/>
            <w:shd w:val="clear" w:color="auto" w:fill="99CCFF"/>
            <w:vAlign w:val="center"/>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b/>
                <w:noProof/>
                <w:sz w:val="20"/>
              </w:rPr>
              <w:t>Intitulé</w:t>
            </w:r>
          </w:p>
        </w:tc>
        <w:tc>
          <w:tcPr>
            <w:tcW w:w="2151" w:type="pct"/>
            <w:shd w:val="clear" w:color="auto" w:fill="99CCFF"/>
            <w:vAlign w:val="center"/>
          </w:tcPr>
          <w:p w:rsidR="00CE7FA7" w:rsidRDefault="00872487">
            <w:pPr>
              <w:spacing w:after="0" w:line="240" w:lineRule="auto"/>
              <w:jc w:val="both"/>
              <w:rPr>
                <w:rFonts w:ascii="Times New Roman" w:eastAsia="Times New Roman" w:hAnsi="Times New Roman" w:cs="Times New Roman"/>
                <w:noProof/>
                <w:sz w:val="20"/>
                <w:szCs w:val="20"/>
              </w:rPr>
            </w:pPr>
            <w:r>
              <w:rPr>
                <w:rFonts w:ascii="Times New Roman" w:hAnsi="Times New Roman"/>
                <w:b/>
                <w:noProof/>
                <w:sz w:val="20"/>
              </w:rPr>
              <w:t>Motifs du retrait</w:t>
            </w:r>
          </w:p>
        </w:tc>
      </w:tr>
      <w:tr w:rsidR="00CE7FA7">
        <w:trPr>
          <w:cantSplit/>
        </w:trPr>
        <w:tc>
          <w:tcPr>
            <w:tcW w:w="5000" w:type="pct"/>
            <w:gridSpan w:val="4"/>
            <w:shd w:val="clear" w:color="auto" w:fill="92D050"/>
          </w:tcPr>
          <w:p w:rsidR="00CE7FA7" w:rsidRDefault="00872487">
            <w:pPr>
              <w:spacing w:before="60" w:after="60" w:line="240" w:lineRule="auto"/>
              <w:jc w:val="both"/>
              <w:rPr>
                <w:rFonts w:ascii="Times New Roman" w:eastAsia="Times New Roman" w:hAnsi="Times New Roman" w:cs="Times New Roman"/>
                <w:b/>
                <w:noProof/>
                <w:sz w:val="20"/>
                <w:szCs w:val="20"/>
              </w:rPr>
            </w:pPr>
            <w:r>
              <w:rPr>
                <w:rFonts w:ascii="Times New Roman" w:hAnsi="Times New Roman"/>
                <w:b/>
                <w:noProof/>
                <w:sz w:val="20"/>
              </w:rPr>
              <w:t>Agriculture et développement rural</w:t>
            </w:r>
          </w:p>
        </w:tc>
      </w:tr>
      <w:tr w:rsidR="00CE7FA7">
        <w:trPr>
          <w:cantSplit/>
        </w:trPr>
        <w:tc>
          <w:tcPr>
            <w:tcW w:w="184" w:type="pct"/>
          </w:tcPr>
          <w:p w:rsidR="00CE7FA7" w:rsidRDefault="00CE7FA7">
            <w:pPr>
              <w:pStyle w:val="ListParagraph"/>
              <w:numPr>
                <w:ilvl w:val="0"/>
                <w:numId w:val="1"/>
              </w:numPr>
              <w:spacing w:after="0" w:line="240" w:lineRule="auto"/>
              <w:ind w:left="426"/>
              <w:rPr>
                <w:rFonts w:ascii="Times New Roman" w:eastAsia="Times New Roman" w:hAnsi="Times New Roman" w:cs="Times New Roman"/>
                <w:noProof/>
                <w:sz w:val="20"/>
                <w:szCs w:val="20"/>
              </w:rPr>
            </w:pPr>
          </w:p>
        </w:tc>
        <w:tc>
          <w:tcPr>
            <w:tcW w:w="873" w:type="pct"/>
          </w:tcPr>
          <w:p w:rsidR="00CE7FA7" w:rsidRDefault="00872487">
            <w:pPr>
              <w:spacing w:after="0" w:line="240" w:lineRule="auto"/>
              <w:rPr>
                <w:rFonts w:ascii="Times New Roman" w:eastAsia="Times New Roman" w:hAnsi="Times New Roman" w:cs="Times New Roman"/>
                <w:noProof/>
                <w:sz w:val="20"/>
                <w:szCs w:val="20"/>
              </w:rPr>
            </w:pPr>
            <w:r>
              <w:rPr>
                <w:rFonts w:ascii="Times New Roman" w:hAnsi="Times New Roman"/>
                <w:noProof/>
                <w:color w:val="000000"/>
                <w:sz w:val="20"/>
              </w:rPr>
              <w:t>COM/2017/0150 final</w:t>
            </w:r>
            <w:r>
              <w:rPr>
                <w:rFonts w:ascii="Times New Roman" w:hAnsi="Times New Roman" w:cs="Times New Roman"/>
                <w:iCs/>
                <w:noProof/>
                <w:color w:val="000000"/>
                <w:sz w:val="20"/>
                <w:szCs w:val="20"/>
              </w:rPr>
              <w:br/>
            </w:r>
            <w:r>
              <w:rPr>
                <w:rFonts w:ascii="Times New Roman" w:hAnsi="Times New Roman"/>
                <w:noProof/>
                <w:color w:val="000000"/>
                <w:sz w:val="20"/>
              </w:rPr>
              <w:t>2017/068/COD</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RÈGLEMENT DU PARLEMENT EUROPÉEN ET DU CONSEIL fixant le taux d’ajustement prévu par le règlement (UE) nº 1306/2013 pour les paiements directs en ce qui concerne l’année civile 2017</w:t>
            </w: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noProof/>
                <w:sz w:val="20"/>
                <w:szCs w:val="20"/>
              </w:rPr>
            </w:pPr>
            <w:r>
              <w:rPr>
                <w:rFonts w:ascii="Times New Roman" w:hAnsi="Times New Roman"/>
                <w:noProof/>
                <w:sz w:val="20"/>
              </w:rPr>
              <w:t>Obsolète: cette question a fait l’objet du règlement d’exécution (UE) 2017/1236 du 7 juillet 2017.</w:t>
            </w:r>
          </w:p>
          <w:p w:rsidR="00CE7FA7" w:rsidRDefault="00CE7FA7">
            <w:pPr>
              <w:spacing w:after="0" w:line="240" w:lineRule="auto"/>
              <w:jc w:val="both"/>
              <w:rPr>
                <w:rFonts w:ascii="Times New Roman" w:eastAsia="Times New Roman" w:hAnsi="Times New Roman" w:cs="Times New Roman"/>
                <w:noProof/>
                <w:sz w:val="20"/>
                <w:szCs w:val="20"/>
              </w:rPr>
            </w:pPr>
          </w:p>
          <w:p w:rsidR="00CE7FA7" w:rsidRDefault="00CE7FA7">
            <w:pPr>
              <w:spacing w:after="0" w:line="240" w:lineRule="auto"/>
              <w:jc w:val="both"/>
              <w:rPr>
                <w:rFonts w:ascii="Times New Roman" w:eastAsia="Times New Roman" w:hAnsi="Times New Roman" w:cs="Times New Roman"/>
                <w:noProof/>
                <w:sz w:val="20"/>
                <w:szCs w:val="20"/>
              </w:rPr>
            </w:pPr>
          </w:p>
        </w:tc>
      </w:tr>
      <w:tr w:rsidR="00CE7FA7">
        <w:trPr>
          <w:cantSplit/>
        </w:trPr>
        <w:tc>
          <w:tcPr>
            <w:tcW w:w="5000" w:type="pct"/>
            <w:gridSpan w:val="4"/>
            <w:shd w:val="clear" w:color="auto" w:fill="92D050"/>
          </w:tcPr>
          <w:p w:rsidR="00CE7FA7" w:rsidRDefault="00872487">
            <w:pPr>
              <w:spacing w:before="60" w:after="60" w:line="240" w:lineRule="auto"/>
              <w:jc w:val="both"/>
              <w:rPr>
                <w:rFonts w:ascii="Times New Roman" w:eastAsia="Times New Roman" w:hAnsi="Times New Roman" w:cs="Times New Roman"/>
                <w:b/>
                <w:noProof/>
                <w:sz w:val="20"/>
                <w:szCs w:val="20"/>
              </w:rPr>
            </w:pPr>
            <w:r>
              <w:rPr>
                <w:rFonts w:ascii="Times New Roman" w:hAnsi="Times New Roman"/>
                <w:b/>
                <w:noProof/>
                <w:sz w:val="20"/>
              </w:rPr>
              <w:t>Affaires économiques et financières, fiscalité et douanes</w:t>
            </w:r>
          </w:p>
        </w:tc>
      </w:tr>
      <w:tr w:rsidR="00CE7FA7">
        <w:trPr>
          <w:cantSplit/>
        </w:trPr>
        <w:tc>
          <w:tcPr>
            <w:tcW w:w="184" w:type="pct"/>
          </w:tcPr>
          <w:p w:rsidR="00CE7FA7" w:rsidRDefault="00CE7FA7">
            <w:pPr>
              <w:pStyle w:val="ListParagraph"/>
              <w:numPr>
                <w:ilvl w:val="0"/>
                <w:numId w:val="1"/>
              </w:numPr>
              <w:spacing w:after="0" w:line="240" w:lineRule="auto"/>
              <w:ind w:left="426"/>
              <w:rPr>
                <w:rFonts w:ascii="Times New Roman" w:eastAsia="Times New Roman" w:hAnsi="Times New Roman" w:cs="Times New Roman"/>
                <w:bCs/>
                <w:noProof/>
                <w:sz w:val="20"/>
                <w:szCs w:val="20"/>
              </w:rPr>
            </w:pPr>
          </w:p>
        </w:tc>
        <w:tc>
          <w:tcPr>
            <w:tcW w:w="873" w:type="pct"/>
          </w:tcPr>
          <w:p w:rsidR="00CE7FA7" w:rsidRDefault="00872487">
            <w:pPr>
              <w:rPr>
                <w:rFonts w:ascii="Times New Roman" w:eastAsia="Times New Roman" w:hAnsi="Times New Roman" w:cs="Times New Roman"/>
                <w:bCs/>
                <w:noProof/>
                <w:sz w:val="20"/>
                <w:szCs w:val="20"/>
              </w:rPr>
            </w:pPr>
            <w:r>
              <w:rPr>
                <w:rFonts w:ascii="Times New Roman" w:hAnsi="Times New Roman"/>
                <w:noProof/>
                <w:sz w:val="20"/>
              </w:rPr>
              <w:t>COM/2011/737 final</w:t>
            </w:r>
            <w:r>
              <w:rPr>
                <w:rFonts w:ascii="Times New Roman" w:eastAsia="Times New Roman" w:hAnsi="Times New Roman" w:cs="Times New Roman"/>
                <w:bCs/>
                <w:noProof/>
                <w:sz w:val="20"/>
                <w:szCs w:val="20"/>
              </w:rPr>
              <w:br/>
            </w:r>
            <w:r>
              <w:rPr>
                <w:rFonts w:ascii="Times New Roman" w:hAnsi="Times New Roman"/>
                <w:noProof/>
                <w:sz w:val="20"/>
              </w:rPr>
              <w:t>2011/333/CNS</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RÈGLEMENT DU CONSEIL relatif aux modalités et à la procédure de mise à disposition de la ressource propre fondée sur la taxe sur la valeur ajoutée</w:t>
            </w:r>
          </w:p>
          <w:p w:rsidR="00CE7FA7" w:rsidRDefault="00CE7FA7">
            <w:pPr>
              <w:spacing w:after="0" w:line="240" w:lineRule="auto"/>
              <w:jc w:val="both"/>
              <w:rPr>
                <w:rFonts w:ascii="Times New Roman" w:eastAsia="Times New Roman" w:hAnsi="Times New Roman" w:cs="Times New Roman"/>
                <w:bCs/>
                <w:i/>
                <w:noProof/>
                <w:sz w:val="20"/>
                <w:szCs w:val="20"/>
              </w:rPr>
            </w:pP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noProof/>
                <w:sz w:val="20"/>
                <w:szCs w:val="20"/>
              </w:rPr>
            </w:pPr>
            <w:r>
              <w:rPr>
                <w:rFonts w:ascii="Times New Roman" w:hAnsi="Times New Roman"/>
                <w:noProof/>
                <w:sz w:val="20"/>
              </w:rPr>
              <w:t>La Commission présentera de nouvelles propositions relatives aux ressources propres dans le cadre de la proposition globale concernant la future programmation financière pluriannuelle pour la période postérieure à 2020. Cette proposition deviendra donc obsolète dans la mesure où elle sera remplacée par de nouvelles propositions dans ce contexte.</w:t>
            </w:r>
          </w:p>
        </w:tc>
      </w:tr>
      <w:tr w:rsidR="00CE7FA7">
        <w:trPr>
          <w:cantSplit/>
        </w:trPr>
        <w:tc>
          <w:tcPr>
            <w:tcW w:w="184" w:type="pct"/>
          </w:tcPr>
          <w:p w:rsidR="00CE7FA7" w:rsidRDefault="00CE7FA7">
            <w:pPr>
              <w:pStyle w:val="ListParagraph"/>
              <w:numPr>
                <w:ilvl w:val="0"/>
                <w:numId w:val="1"/>
              </w:numPr>
              <w:spacing w:after="0" w:line="240" w:lineRule="auto"/>
              <w:ind w:left="426"/>
              <w:rPr>
                <w:rFonts w:ascii="Times New Roman" w:eastAsia="Times New Roman" w:hAnsi="Times New Roman" w:cs="Times New Roman"/>
                <w:bCs/>
                <w:noProof/>
                <w:sz w:val="20"/>
                <w:szCs w:val="20"/>
              </w:rPr>
            </w:pPr>
          </w:p>
        </w:tc>
        <w:tc>
          <w:tcPr>
            <w:tcW w:w="873" w:type="pct"/>
          </w:tcPr>
          <w:p w:rsidR="00CE7FA7" w:rsidRDefault="00872487">
            <w:pPr>
              <w:rPr>
                <w:rFonts w:ascii="Times New Roman" w:eastAsia="Times New Roman" w:hAnsi="Times New Roman" w:cs="Times New Roman"/>
                <w:bCs/>
                <w:noProof/>
                <w:sz w:val="20"/>
                <w:szCs w:val="20"/>
              </w:rPr>
            </w:pPr>
            <w:r>
              <w:rPr>
                <w:rFonts w:ascii="Times New Roman" w:hAnsi="Times New Roman"/>
                <w:noProof/>
                <w:sz w:val="20"/>
              </w:rPr>
              <w:t>COM/2014/43 final</w:t>
            </w:r>
            <w:r>
              <w:rPr>
                <w:rFonts w:ascii="Times New Roman" w:eastAsia="Times New Roman" w:hAnsi="Times New Roman" w:cs="Times New Roman"/>
                <w:bCs/>
                <w:noProof/>
                <w:sz w:val="20"/>
                <w:szCs w:val="20"/>
              </w:rPr>
              <w:br/>
            </w:r>
            <w:r>
              <w:rPr>
                <w:rFonts w:ascii="Times New Roman" w:hAnsi="Times New Roman"/>
                <w:noProof/>
                <w:sz w:val="20"/>
              </w:rPr>
              <w:t>2014/0020/COD</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RÈGLEMENT DU PARLEMENT EUROPÉEN ET DU CONSEIL relatif à des mesures structurelles améliorant la résilience des établissements de crédit de l’UE</w:t>
            </w: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noProof/>
                <w:sz w:val="20"/>
                <w:szCs w:val="20"/>
                <w:highlight w:val="yellow"/>
              </w:rPr>
            </w:pPr>
            <w:r>
              <w:rPr>
                <w:rFonts w:ascii="Times New Roman" w:hAnsi="Times New Roman"/>
                <w:noProof/>
                <w:sz w:val="20"/>
              </w:rPr>
              <w:t>Pas d’accord prévisible. Le dossier n’a pas progressé depuis 2015.En outre, l’objectif principal de stabilité financière qui sous-tend la proposition a donné lieu à d’autres mesures réglementaires visant le secteur bancaire, en particulier l’entrée en vigueur des mécanismes de surveillance et de résolution de l’union bancaire.</w:t>
            </w:r>
          </w:p>
          <w:p w:rsidR="00CE7FA7" w:rsidRDefault="00CE7FA7">
            <w:pPr>
              <w:spacing w:after="0" w:line="240" w:lineRule="auto"/>
              <w:jc w:val="both"/>
              <w:rPr>
                <w:rFonts w:ascii="Times New Roman" w:eastAsia="Times New Roman" w:hAnsi="Times New Roman" w:cs="Times New Roman"/>
                <w:noProof/>
                <w:sz w:val="20"/>
                <w:szCs w:val="20"/>
              </w:rPr>
            </w:pPr>
          </w:p>
        </w:tc>
      </w:tr>
      <w:tr w:rsidR="00CE7FA7">
        <w:trPr>
          <w:cantSplit/>
        </w:trPr>
        <w:tc>
          <w:tcPr>
            <w:tcW w:w="5000" w:type="pct"/>
            <w:gridSpan w:val="4"/>
            <w:shd w:val="clear" w:color="auto" w:fill="92D050"/>
          </w:tcPr>
          <w:p w:rsidR="00CE7FA7" w:rsidRDefault="00872487">
            <w:pPr>
              <w:keepNext/>
              <w:spacing w:before="60" w:after="60" w:line="240" w:lineRule="auto"/>
              <w:jc w:val="both"/>
              <w:rPr>
                <w:rFonts w:ascii="Times New Roman" w:eastAsia="Times New Roman" w:hAnsi="Times New Roman" w:cs="Times New Roman"/>
                <w:b/>
                <w:noProof/>
                <w:sz w:val="20"/>
                <w:szCs w:val="20"/>
              </w:rPr>
            </w:pPr>
            <w:r>
              <w:rPr>
                <w:rFonts w:ascii="Times New Roman" w:hAnsi="Times New Roman"/>
                <w:b/>
                <w:noProof/>
                <w:sz w:val="20"/>
              </w:rPr>
              <w:lastRenderedPageBreak/>
              <w:t>Affaires étrangères et politique de sécurité</w:t>
            </w:r>
          </w:p>
        </w:tc>
      </w:tr>
      <w:tr w:rsidR="00CE7FA7">
        <w:trPr>
          <w:cantSplit/>
        </w:trPr>
        <w:tc>
          <w:tcPr>
            <w:tcW w:w="184" w:type="pct"/>
          </w:tcPr>
          <w:p w:rsidR="00CE7FA7" w:rsidRDefault="00CE7FA7">
            <w:pPr>
              <w:pStyle w:val="ListParagraph"/>
              <w:numPr>
                <w:ilvl w:val="0"/>
                <w:numId w:val="1"/>
              </w:numPr>
              <w:spacing w:after="0" w:line="240" w:lineRule="auto"/>
              <w:ind w:left="426"/>
              <w:rPr>
                <w:rFonts w:ascii="Times New Roman" w:eastAsia="Times New Roman" w:hAnsi="Times New Roman" w:cs="Times New Roman"/>
                <w:noProof/>
                <w:sz w:val="20"/>
                <w:szCs w:val="20"/>
              </w:rPr>
            </w:pPr>
          </w:p>
        </w:tc>
        <w:tc>
          <w:tcPr>
            <w:tcW w:w="873" w:type="pct"/>
          </w:tcPr>
          <w:p w:rsidR="00CE7FA7" w:rsidRDefault="00872487">
            <w:pPr>
              <w:rPr>
                <w:rFonts w:ascii="Times New Roman" w:hAnsi="Times New Roman" w:cs="Times New Roman"/>
                <w:noProof/>
                <w:color w:val="000000"/>
                <w:sz w:val="20"/>
                <w:szCs w:val="20"/>
              </w:rPr>
            </w:pPr>
            <w:r>
              <w:rPr>
                <w:rFonts w:ascii="Times New Roman" w:hAnsi="Times New Roman"/>
                <w:noProof/>
                <w:sz w:val="20"/>
              </w:rPr>
              <w:t>COM/2003/695 final</w:t>
            </w:r>
            <w:r>
              <w:rPr>
                <w:rFonts w:ascii="Times New Roman" w:eastAsia="Times New Roman" w:hAnsi="Times New Roman" w:cs="Times New Roman"/>
                <w:bCs/>
                <w:noProof/>
                <w:sz w:val="20"/>
                <w:szCs w:val="20"/>
              </w:rPr>
              <w:br/>
            </w:r>
            <w:r>
              <w:rPr>
                <w:rFonts w:ascii="Times New Roman" w:hAnsi="Times New Roman"/>
                <w:noProof/>
                <w:color w:val="000000"/>
                <w:sz w:val="20"/>
              </w:rPr>
              <w:t>CNS 2003/0268</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DÉCISION DU CONSEIL relative à la conclusion d’un accord de dialogue politique et de coopération entre la Communauté européenne et ses États membres, d’une part, et la Communauté andine et ses pays membres, à savoir les républiques de Bolivie, de Colombie, de l’Équateur, du Pérou et la République bolivarienne du Venezuela, d’autre part</w:t>
            </w: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Obsolète: n’est plus en vigueur, ayant été remplacée par la proposition conjointe JOIN(2016) 4 final du 3 février 2016.</w:t>
            </w:r>
          </w:p>
          <w:p w:rsidR="00CE7FA7" w:rsidRDefault="00CE7FA7">
            <w:pPr>
              <w:spacing w:after="0" w:line="240" w:lineRule="auto"/>
              <w:jc w:val="both"/>
              <w:rPr>
                <w:rFonts w:ascii="Times New Roman" w:eastAsia="Times New Roman" w:hAnsi="Times New Roman" w:cs="Times New Roman"/>
                <w:noProof/>
                <w:sz w:val="20"/>
                <w:szCs w:val="20"/>
              </w:rPr>
            </w:pPr>
          </w:p>
        </w:tc>
      </w:tr>
      <w:tr w:rsidR="00CE7FA7">
        <w:trPr>
          <w:cantSplit/>
        </w:trPr>
        <w:tc>
          <w:tcPr>
            <w:tcW w:w="184" w:type="pct"/>
          </w:tcPr>
          <w:p w:rsidR="00CE7FA7" w:rsidRDefault="00CE7FA7">
            <w:pPr>
              <w:pStyle w:val="ListParagraph"/>
              <w:numPr>
                <w:ilvl w:val="0"/>
                <w:numId w:val="1"/>
              </w:numPr>
              <w:spacing w:after="0" w:line="240" w:lineRule="auto"/>
              <w:ind w:left="426"/>
              <w:rPr>
                <w:rFonts w:ascii="Times New Roman" w:eastAsia="Times New Roman" w:hAnsi="Times New Roman" w:cs="Times New Roman"/>
                <w:noProof/>
                <w:sz w:val="20"/>
                <w:szCs w:val="20"/>
              </w:rPr>
            </w:pPr>
          </w:p>
        </w:tc>
        <w:tc>
          <w:tcPr>
            <w:tcW w:w="873" w:type="pct"/>
          </w:tcPr>
          <w:p w:rsidR="00CE7FA7" w:rsidRDefault="00872487">
            <w:pPr>
              <w:rPr>
                <w:rFonts w:ascii="Times New Roman" w:eastAsia="Times New Roman" w:hAnsi="Times New Roman" w:cs="Times New Roman"/>
                <w:bCs/>
                <w:noProof/>
                <w:sz w:val="20"/>
                <w:szCs w:val="20"/>
              </w:rPr>
            </w:pPr>
            <w:r>
              <w:rPr>
                <w:rFonts w:ascii="Times New Roman" w:hAnsi="Times New Roman"/>
                <w:noProof/>
                <w:sz w:val="20"/>
              </w:rPr>
              <w:t>COM/2014/360 final</w:t>
            </w:r>
            <w:r>
              <w:rPr>
                <w:rFonts w:ascii="Times New Roman" w:eastAsia="Times New Roman" w:hAnsi="Times New Roman" w:cs="Times New Roman"/>
                <w:bCs/>
                <w:noProof/>
                <w:sz w:val="20"/>
                <w:szCs w:val="20"/>
              </w:rPr>
              <w:br/>
            </w:r>
            <w:r>
              <w:rPr>
                <w:rFonts w:ascii="Times New Roman" w:hAnsi="Times New Roman"/>
                <w:noProof/>
                <w:sz w:val="20"/>
              </w:rPr>
              <w:t>2014/0182/NLE</w:t>
            </w:r>
          </w:p>
        </w:tc>
        <w:tc>
          <w:tcPr>
            <w:tcW w:w="1792" w:type="pct"/>
            <w:shd w:val="clear" w:color="auto" w:fill="auto"/>
          </w:tcPr>
          <w:p w:rsidR="00CE7FA7" w:rsidRDefault="00872487">
            <w:pPr>
              <w:spacing w:after="0"/>
              <w:jc w:val="both"/>
              <w:rPr>
                <w:rFonts w:ascii="Times New Roman" w:hAnsi="Times New Roman" w:cs="Times New Roman"/>
                <w:noProof/>
                <w:color w:val="000000"/>
                <w:sz w:val="20"/>
                <w:szCs w:val="20"/>
              </w:rPr>
            </w:pPr>
            <w:r>
              <w:rPr>
                <w:rFonts w:ascii="Times New Roman" w:hAnsi="Times New Roman"/>
                <w:noProof/>
                <w:color w:val="000000"/>
                <w:sz w:val="20"/>
              </w:rPr>
              <w:t>Proposition de DÉCISION DU CONSEIL relative à la position de l’Union au sein du conseil de coopération institué par l’accord de partenariat et de coopération UE-Géorgie entre les Communautés européennes et leurs États membres, d’une part, et la République de Géorgie, d’autre part, en ce qui concerne l’adoption d’une recommandation relative à la mise en œuvre du programme d’association UE-Géorgie</w:t>
            </w: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Obsolète: le programme d’association a été adopté par le Conseil des affaires étrangères le 23 juin 2014 (Géorgie ST 10978/14) et JO L 261 du 30.8.2014.</w:t>
            </w:r>
          </w:p>
        </w:tc>
      </w:tr>
      <w:tr w:rsidR="00CE7FA7">
        <w:trPr>
          <w:cantSplit/>
        </w:trPr>
        <w:tc>
          <w:tcPr>
            <w:tcW w:w="184" w:type="pct"/>
          </w:tcPr>
          <w:p w:rsidR="00CE7FA7" w:rsidRDefault="00CE7FA7">
            <w:pPr>
              <w:pStyle w:val="ListParagraph"/>
              <w:numPr>
                <w:ilvl w:val="0"/>
                <w:numId w:val="1"/>
              </w:numPr>
              <w:spacing w:after="0" w:line="240" w:lineRule="auto"/>
              <w:ind w:left="426"/>
              <w:rPr>
                <w:rFonts w:ascii="Times New Roman" w:eastAsia="Times New Roman" w:hAnsi="Times New Roman" w:cs="Times New Roman"/>
                <w:noProof/>
                <w:sz w:val="20"/>
                <w:szCs w:val="20"/>
              </w:rPr>
            </w:pPr>
          </w:p>
        </w:tc>
        <w:tc>
          <w:tcPr>
            <w:tcW w:w="873" w:type="pct"/>
          </w:tcPr>
          <w:p w:rsidR="00CE7FA7" w:rsidRDefault="00872487">
            <w:pPr>
              <w:rPr>
                <w:rFonts w:ascii="Times New Roman" w:eastAsia="Times New Roman" w:hAnsi="Times New Roman" w:cs="Times New Roman"/>
                <w:bCs/>
                <w:noProof/>
                <w:sz w:val="20"/>
                <w:szCs w:val="20"/>
              </w:rPr>
            </w:pPr>
            <w:r>
              <w:rPr>
                <w:rFonts w:ascii="Times New Roman" w:hAnsi="Times New Roman"/>
                <w:noProof/>
                <w:sz w:val="20"/>
              </w:rPr>
              <w:t>COM/2014/359 final</w:t>
            </w:r>
            <w:r>
              <w:rPr>
                <w:rFonts w:ascii="Times New Roman" w:eastAsia="Times New Roman" w:hAnsi="Times New Roman" w:cs="Times New Roman"/>
                <w:bCs/>
                <w:noProof/>
                <w:sz w:val="20"/>
                <w:szCs w:val="20"/>
              </w:rPr>
              <w:br/>
            </w:r>
            <w:r>
              <w:rPr>
                <w:rFonts w:ascii="Times New Roman" w:hAnsi="Times New Roman"/>
                <w:noProof/>
                <w:sz w:val="20"/>
              </w:rPr>
              <w:t>2014/0181/NLE</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DÉCISION DU CONSEIL relative à la position de l’Union au sein du conseil de coopération institué par l’accord de partenariat et de coopération entre les Communautés européennes et leurs États membres, d’une part, et la République de Moldova, d’autre part, en ce qui concerne l’adoption d’une recommandation relative à la mise en œuvre du programme d’association UE-Moldavie</w:t>
            </w: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Obsolète: le programme d’association a été adopté par le Conseil des affaires étrangères le 23 juin 2014 [Moldavie ST 9621/14 (note point I/A)].</w:t>
            </w:r>
          </w:p>
          <w:p w:rsidR="00CE7FA7" w:rsidRDefault="00CE7FA7">
            <w:pPr>
              <w:spacing w:after="0" w:line="240" w:lineRule="auto"/>
              <w:jc w:val="both"/>
              <w:rPr>
                <w:rFonts w:ascii="Times New Roman" w:eastAsia="Times New Roman" w:hAnsi="Times New Roman" w:cs="Times New Roman"/>
                <w:bCs/>
                <w:noProof/>
                <w:sz w:val="20"/>
                <w:szCs w:val="20"/>
              </w:rPr>
            </w:pPr>
          </w:p>
          <w:p w:rsidR="00CE7FA7" w:rsidRDefault="00CE7FA7">
            <w:pPr>
              <w:spacing w:after="0" w:line="240" w:lineRule="auto"/>
              <w:jc w:val="both"/>
              <w:rPr>
                <w:rFonts w:ascii="Times New Roman" w:eastAsia="Times New Roman" w:hAnsi="Times New Roman" w:cs="Times New Roman"/>
                <w:bCs/>
                <w:noProof/>
                <w:sz w:val="20"/>
                <w:szCs w:val="20"/>
              </w:rPr>
            </w:pPr>
          </w:p>
        </w:tc>
      </w:tr>
      <w:tr w:rsidR="00CE7FA7">
        <w:trPr>
          <w:cantSplit/>
        </w:trPr>
        <w:tc>
          <w:tcPr>
            <w:tcW w:w="184" w:type="pct"/>
          </w:tcPr>
          <w:p w:rsidR="00CE7FA7" w:rsidRDefault="00CE7FA7">
            <w:pPr>
              <w:pStyle w:val="ListParagraph"/>
              <w:numPr>
                <w:ilvl w:val="0"/>
                <w:numId w:val="1"/>
              </w:numPr>
              <w:spacing w:after="0" w:line="240" w:lineRule="auto"/>
              <w:ind w:left="426"/>
              <w:rPr>
                <w:rFonts w:ascii="Times New Roman" w:eastAsia="Times New Roman" w:hAnsi="Times New Roman" w:cs="Times New Roman"/>
                <w:noProof/>
                <w:sz w:val="20"/>
                <w:szCs w:val="20"/>
              </w:rPr>
            </w:pPr>
          </w:p>
        </w:tc>
        <w:tc>
          <w:tcPr>
            <w:tcW w:w="873" w:type="pct"/>
          </w:tcPr>
          <w:p w:rsidR="00CE7FA7" w:rsidRDefault="00237148">
            <w:pPr>
              <w:rPr>
                <w:rFonts w:ascii="Times New Roman" w:eastAsia="Times New Roman" w:hAnsi="Times New Roman" w:cs="Times New Roman"/>
                <w:bCs/>
                <w:noProof/>
                <w:sz w:val="20"/>
                <w:szCs w:val="20"/>
              </w:rPr>
            </w:pPr>
            <w:r>
              <w:rPr>
                <w:rFonts w:ascii="Times New Roman" w:hAnsi="Times New Roman"/>
                <w:noProof/>
                <w:sz w:val="20"/>
              </w:rPr>
              <w:t>JOIN</w:t>
            </w:r>
            <w:r w:rsidR="00872487">
              <w:rPr>
                <w:rFonts w:ascii="Times New Roman" w:hAnsi="Times New Roman"/>
                <w:noProof/>
                <w:sz w:val="20"/>
              </w:rPr>
              <w:t>/2013/014 final</w:t>
            </w:r>
            <w:r w:rsidR="00872487">
              <w:rPr>
                <w:rFonts w:ascii="Times New Roman" w:eastAsia="Times New Roman" w:hAnsi="Times New Roman" w:cs="Times New Roman"/>
                <w:bCs/>
                <w:noProof/>
                <w:sz w:val="20"/>
                <w:szCs w:val="20"/>
              </w:rPr>
              <w:br/>
            </w:r>
            <w:r w:rsidR="00872487">
              <w:rPr>
                <w:rFonts w:ascii="Times New Roman" w:hAnsi="Times New Roman"/>
                <w:noProof/>
                <w:sz w:val="20"/>
              </w:rPr>
              <w:t>2013/0149/NLE</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conjointe de DÉCISION DU CONSEIL concernant la position de l’Union au sein du Conseil d’association institué par l’accord euro-méditerranéen établissant une association entre la Communauté européenne et ses États membres, d’une part, et la République libanaise, d’autre part, en ce qui concerne l’adoption d’une recommandation portant sur la mise en œuvre du deuxième plan d’action UE-Liban dans le cadre de la PEV</w:t>
            </w:r>
          </w:p>
        </w:tc>
        <w:tc>
          <w:tcPr>
            <w:tcW w:w="2151" w:type="pct"/>
            <w:shd w:val="clear" w:color="auto" w:fill="auto"/>
          </w:tcPr>
          <w:p w:rsidR="00CE7FA7" w:rsidRDefault="00872487" w:rsidP="00237148">
            <w:pPr>
              <w:spacing w:after="0" w:line="240" w:lineRule="auto"/>
              <w:jc w:val="both"/>
              <w:rPr>
                <w:rFonts w:ascii="Times New Roman" w:eastAsia="Times New Roman" w:hAnsi="Times New Roman" w:cs="Times New Roman"/>
                <w:bCs/>
                <w:noProof/>
                <w:sz w:val="20"/>
                <w:szCs w:val="20"/>
                <w:highlight w:val="yellow"/>
              </w:rPr>
            </w:pPr>
            <w:r>
              <w:rPr>
                <w:rFonts w:ascii="Times New Roman" w:hAnsi="Times New Roman"/>
                <w:noProof/>
                <w:sz w:val="20"/>
              </w:rPr>
              <w:t xml:space="preserve">La DÉCISION nº 1/2016 du Conseil d’association UE-Liban du 11 novembre 2016 approuvant les priorités de partenariat UE-Liban précise expressément qu’au lieu de renouveler le plan d’action de la PEV, les parties adoptent les priorités de partenariat et le pacte. La proposition conjointe </w:t>
            </w:r>
            <w:r w:rsidR="00237148">
              <w:rPr>
                <w:rFonts w:ascii="Times New Roman" w:hAnsi="Times New Roman"/>
                <w:noProof/>
                <w:sz w:val="20"/>
              </w:rPr>
              <w:t>JOIN</w:t>
            </w:r>
            <w:bookmarkStart w:id="1" w:name="_GoBack"/>
            <w:bookmarkEnd w:id="1"/>
            <w:r>
              <w:rPr>
                <w:rFonts w:ascii="Times New Roman" w:hAnsi="Times New Roman"/>
                <w:noProof/>
                <w:sz w:val="20"/>
              </w:rPr>
              <w:t>(2013) 14 est par conséquent obsolète.</w:t>
            </w:r>
          </w:p>
        </w:tc>
      </w:tr>
      <w:tr w:rsidR="00CE7FA7">
        <w:trPr>
          <w:cantSplit/>
        </w:trPr>
        <w:tc>
          <w:tcPr>
            <w:tcW w:w="5000" w:type="pct"/>
            <w:gridSpan w:val="4"/>
            <w:shd w:val="clear" w:color="auto" w:fill="92D050"/>
          </w:tcPr>
          <w:p w:rsidR="00CE7FA7" w:rsidRDefault="00872487">
            <w:pPr>
              <w:keepNext/>
              <w:spacing w:before="60" w:after="60" w:line="240" w:lineRule="auto"/>
              <w:jc w:val="both"/>
              <w:rPr>
                <w:rFonts w:ascii="Times New Roman" w:eastAsia="Times New Roman" w:hAnsi="Times New Roman" w:cs="Times New Roman"/>
                <w:b/>
                <w:noProof/>
                <w:sz w:val="20"/>
                <w:szCs w:val="20"/>
              </w:rPr>
            </w:pPr>
            <w:r>
              <w:rPr>
                <w:rFonts w:ascii="Times New Roman" w:hAnsi="Times New Roman"/>
                <w:b/>
                <w:noProof/>
                <w:sz w:val="20"/>
              </w:rPr>
              <w:lastRenderedPageBreak/>
              <w:t>Marché intérieur, industrie, entrepreneuriat et PME</w:t>
            </w:r>
          </w:p>
        </w:tc>
      </w:tr>
      <w:tr w:rsidR="00CE7FA7">
        <w:trPr>
          <w:cantSplit/>
        </w:trPr>
        <w:tc>
          <w:tcPr>
            <w:tcW w:w="184" w:type="pct"/>
          </w:tcPr>
          <w:p w:rsidR="00CE7FA7" w:rsidRDefault="00CE7FA7">
            <w:pPr>
              <w:pStyle w:val="ListParagraph"/>
              <w:numPr>
                <w:ilvl w:val="0"/>
                <w:numId w:val="1"/>
              </w:numPr>
              <w:ind w:left="426"/>
              <w:rPr>
                <w:rFonts w:ascii="Times New Roman" w:hAnsi="Times New Roman" w:cs="Times New Roman"/>
                <w:noProof/>
                <w:color w:val="000000"/>
                <w:sz w:val="20"/>
                <w:szCs w:val="20"/>
              </w:rPr>
            </w:pPr>
          </w:p>
        </w:tc>
        <w:tc>
          <w:tcPr>
            <w:tcW w:w="873" w:type="pct"/>
          </w:tcPr>
          <w:p w:rsidR="00CE7FA7" w:rsidRDefault="00872487">
            <w:pPr>
              <w:rPr>
                <w:rFonts w:ascii="Times New Roman" w:hAnsi="Times New Roman" w:cs="Times New Roman"/>
                <w:noProof/>
                <w:color w:val="000000"/>
                <w:sz w:val="20"/>
                <w:szCs w:val="20"/>
              </w:rPr>
            </w:pPr>
            <w:r>
              <w:rPr>
                <w:rFonts w:ascii="Times New Roman" w:hAnsi="Times New Roman"/>
                <w:noProof/>
                <w:color w:val="000000"/>
                <w:sz w:val="20"/>
              </w:rPr>
              <w:t xml:space="preserve">COM/2012/164 </w:t>
            </w:r>
            <w:r>
              <w:rPr>
                <w:rFonts w:ascii="Times New Roman" w:hAnsi="Times New Roman"/>
                <w:noProof/>
                <w:sz w:val="20"/>
              </w:rPr>
              <w:t>final</w:t>
            </w:r>
            <w:r>
              <w:rPr>
                <w:rFonts w:ascii="Times New Roman" w:hAnsi="Times New Roman" w:cs="Times New Roman"/>
                <w:noProof/>
                <w:color w:val="000000"/>
                <w:sz w:val="20"/>
                <w:szCs w:val="20"/>
              </w:rPr>
              <w:br/>
            </w:r>
            <w:r>
              <w:rPr>
                <w:rFonts w:ascii="Times New Roman" w:hAnsi="Times New Roman"/>
                <w:noProof/>
                <w:color w:val="000000"/>
                <w:sz w:val="20"/>
              </w:rPr>
              <w:t>2012/82/COD</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RÈGLEMENT DU PARLEMENT EUROPÉEN ET DU CONSEIL relatif à la simplification du transfert des véhicules à moteur immatriculés dans un autre État membre à l’intérieur du marché unique</w:t>
            </w: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noProof/>
                <w:sz w:val="20"/>
                <w:szCs w:val="20"/>
                <w:highlight w:val="yellow"/>
              </w:rPr>
            </w:pPr>
            <w:r>
              <w:rPr>
                <w:rFonts w:ascii="Times New Roman" w:hAnsi="Times New Roman"/>
                <w:noProof/>
                <w:sz w:val="20"/>
              </w:rPr>
              <w:t>Pas d’accord prévisible. Le dossier n’a pas progressé depuis 2012. La Commission réexaminera la question, y compris en entamant des travaux d’actualisation de l’analyse d’impact.</w:t>
            </w:r>
          </w:p>
          <w:p w:rsidR="00CE7FA7" w:rsidRDefault="00CE7FA7">
            <w:pPr>
              <w:spacing w:after="0" w:line="240" w:lineRule="auto"/>
              <w:jc w:val="both"/>
              <w:rPr>
                <w:rFonts w:ascii="Times New Roman" w:eastAsia="Times New Roman" w:hAnsi="Times New Roman" w:cs="Times New Roman"/>
                <w:noProof/>
                <w:sz w:val="20"/>
                <w:szCs w:val="20"/>
              </w:rPr>
            </w:pPr>
          </w:p>
        </w:tc>
      </w:tr>
      <w:tr w:rsidR="00CE7FA7">
        <w:trPr>
          <w:cantSplit/>
        </w:trPr>
        <w:tc>
          <w:tcPr>
            <w:tcW w:w="5000" w:type="pct"/>
            <w:gridSpan w:val="4"/>
            <w:shd w:val="clear" w:color="auto" w:fill="92D050"/>
          </w:tcPr>
          <w:p w:rsidR="00CE7FA7" w:rsidRDefault="00872487">
            <w:pPr>
              <w:spacing w:before="60" w:after="60" w:line="240" w:lineRule="auto"/>
              <w:jc w:val="both"/>
              <w:rPr>
                <w:rFonts w:ascii="Times New Roman" w:eastAsia="Times New Roman" w:hAnsi="Times New Roman" w:cs="Times New Roman"/>
                <w:b/>
                <w:noProof/>
                <w:sz w:val="20"/>
                <w:szCs w:val="20"/>
              </w:rPr>
            </w:pPr>
            <w:r>
              <w:rPr>
                <w:rFonts w:ascii="Times New Roman" w:hAnsi="Times New Roman"/>
                <w:b/>
                <w:noProof/>
                <w:sz w:val="20"/>
              </w:rPr>
              <w:t>Coopération internationale et développement</w:t>
            </w:r>
          </w:p>
        </w:tc>
      </w:tr>
      <w:tr w:rsidR="00CE7FA7">
        <w:trPr>
          <w:cantSplit/>
        </w:trPr>
        <w:tc>
          <w:tcPr>
            <w:tcW w:w="184" w:type="pct"/>
            <w:tcBorders>
              <w:bottom w:val="single" w:sz="4" w:space="0" w:color="auto"/>
            </w:tcBorders>
          </w:tcPr>
          <w:p w:rsidR="00CE7FA7" w:rsidRDefault="00CE7FA7">
            <w:pPr>
              <w:pStyle w:val="ListParagraph"/>
              <w:numPr>
                <w:ilvl w:val="0"/>
                <w:numId w:val="1"/>
              </w:numPr>
              <w:ind w:left="426"/>
              <w:rPr>
                <w:rFonts w:ascii="Times New Roman" w:hAnsi="Times New Roman" w:cs="Times New Roman"/>
                <w:noProof/>
                <w:color w:val="000000"/>
                <w:sz w:val="20"/>
                <w:szCs w:val="20"/>
              </w:rPr>
            </w:pPr>
          </w:p>
        </w:tc>
        <w:tc>
          <w:tcPr>
            <w:tcW w:w="873" w:type="pct"/>
            <w:tcBorders>
              <w:bottom w:val="single" w:sz="4" w:space="0" w:color="auto"/>
            </w:tcBorders>
          </w:tcPr>
          <w:p w:rsidR="00CE7FA7" w:rsidRDefault="00872487">
            <w:pPr>
              <w:rPr>
                <w:rFonts w:ascii="Times New Roman" w:hAnsi="Times New Roman" w:cs="Times New Roman"/>
                <w:noProof/>
                <w:color w:val="000000"/>
                <w:sz w:val="20"/>
                <w:szCs w:val="20"/>
              </w:rPr>
            </w:pPr>
            <w:r>
              <w:rPr>
                <w:rFonts w:ascii="Times New Roman" w:hAnsi="Times New Roman"/>
                <w:noProof/>
                <w:color w:val="000000"/>
                <w:sz w:val="20"/>
              </w:rPr>
              <w:t>COM/2011/0861 final</w:t>
            </w:r>
            <w:r>
              <w:rPr>
                <w:rFonts w:ascii="Times New Roman" w:hAnsi="Times New Roman" w:cs="Times New Roman"/>
                <w:noProof/>
                <w:color w:val="000000"/>
                <w:sz w:val="20"/>
                <w:szCs w:val="20"/>
              </w:rPr>
              <w:br/>
            </w:r>
            <w:r>
              <w:rPr>
                <w:rFonts w:ascii="Times New Roman" w:hAnsi="Times New Roman"/>
                <w:noProof/>
                <w:color w:val="000000"/>
                <w:sz w:val="20"/>
              </w:rPr>
              <w:t>2011/0420/NLE</w:t>
            </w:r>
          </w:p>
        </w:tc>
        <w:tc>
          <w:tcPr>
            <w:tcW w:w="1792" w:type="pct"/>
            <w:tcBorders>
              <w:bottom w:val="single" w:sz="4" w:space="0" w:color="auto"/>
            </w:tcBorders>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DÉCISION DU CONSEIL relative à l’adhésion de l’Union européenne au Comité consultatif international du coton (CCIC)</w:t>
            </w:r>
          </w:p>
        </w:tc>
        <w:tc>
          <w:tcPr>
            <w:tcW w:w="2151" w:type="pct"/>
            <w:tcBorders>
              <w:bottom w:val="single" w:sz="4" w:space="0" w:color="auto"/>
            </w:tcBorders>
            <w:shd w:val="clear" w:color="auto" w:fill="auto"/>
          </w:tcPr>
          <w:p w:rsidR="00CE7FA7" w:rsidRDefault="00872487">
            <w:pPr>
              <w:spacing w:after="0" w:line="240" w:lineRule="auto"/>
              <w:jc w:val="both"/>
              <w:rPr>
                <w:rFonts w:ascii="Times New Roman" w:eastAsia="Times New Roman" w:hAnsi="Times New Roman" w:cs="Times New Roman"/>
                <w:noProof/>
                <w:sz w:val="20"/>
                <w:szCs w:val="20"/>
              </w:rPr>
            </w:pPr>
            <w:r>
              <w:rPr>
                <w:rFonts w:ascii="Times New Roman" w:hAnsi="Times New Roman"/>
                <w:noProof/>
                <w:sz w:val="20"/>
              </w:rPr>
              <w:t>Obsolète: une décision du Conseil a été adoptée le 18 mai 2017 sur la base d’une proposition actualisée de la Commission [COM/2016/0712 final - 2016/0349 (NLE)]</w:t>
            </w:r>
          </w:p>
        </w:tc>
      </w:tr>
      <w:tr w:rsidR="00CE7FA7">
        <w:trPr>
          <w:cantSplit/>
        </w:trPr>
        <w:tc>
          <w:tcPr>
            <w:tcW w:w="5000" w:type="pct"/>
            <w:gridSpan w:val="4"/>
            <w:shd w:val="clear" w:color="auto" w:fill="92D050"/>
          </w:tcPr>
          <w:p w:rsidR="00CE7FA7" w:rsidRDefault="00872487">
            <w:pPr>
              <w:spacing w:before="60" w:after="60" w:line="240" w:lineRule="auto"/>
              <w:jc w:val="both"/>
              <w:rPr>
                <w:rFonts w:ascii="Times New Roman" w:eastAsia="Times New Roman" w:hAnsi="Times New Roman" w:cs="Times New Roman"/>
                <w:b/>
                <w:noProof/>
                <w:sz w:val="20"/>
                <w:szCs w:val="20"/>
              </w:rPr>
            </w:pPr>
            <w:r>
              <w:rPr>
                <w:rFonts w:ascii="Times New Roman" w:hAnsi="Times New Roman"/>
                <w:b/>
                <w:noProof/>
                <w:sz w:val="20"/>
              </w:rPr>
              <w:t>Justice, consommateurs et égalité des genres</w:t>
            </w:r>
          </w:p>
        </w:tc>
      </w:tr>
      <w:tr w:rsidR="00CE7FA7">
        <w:trPr>
          <w:cantSplit/>
        </w:trPr>
        <w:tc>
          <w:tcPr>
            <w:tcW w:w="184" w:type="pct"/>
          </w:tcPr>
          <w:p w:rsidR="00CE7FA7" w:rsidRDefault="00CE7FA7">
            <w:pPr>
              <w:pStyle w:val="ListParagraph"/>
              <w:numPr>
                <w:ilvl w:val="0"/>
                <w:numId w:val="1"/>
              </w:numPr>
              <w:ind w:left="426"/>
              <w:rPr>
                <w:rFonts w:ascii="Times New Roman" w:hAnsi="Times New Roman" w:cs="Times New Roman"/>
                <w:noProof/>
                <w:color w:val="000000"/>
                <w:sz w:val="20"/>
                <w:szCs w:val="20"/>
              </w:rPr>
            </w:pPr>
          </w:p>
        </w:tc>
        <w:tc>
          <w:tcPr>
            <w:tcW w:w="873" w:type="pct"/>
          </w:tcPr>
          <w:p w:rsidR="00CE7FA7" w:rsidRDefault="00872487">
            <w:pPr>
              <w:rPr>
                <w:rFonts w:ascii="Times New Roman" w:hAnsi="Times New Roman" w:cs="Times New Roman"/>
                <w:noProof/>
                <w:color w:val="000000"/>
                <w:sz w:val="20"/>
                <w:szCs w:val="20"/>
              </w:rPr>
            </w:pPr>
            <w:r>
              <w:rPr>
                <w:rFonts w:ascii="Times New Roman" w:hAnsi="Times New Roman"/>
                <w:noProof/>
                <w:color w:val="000000"/>
                <w:sz w:val="20"/>
              </w:rPr>
              <w:t>COM/2014/0212 final</w:t>
            </w:r>
            <w:r>
              <w:rPr>
                <w:rFonts w:ascii="Times New Roman" w:hAnsi="Times New Roman" w:cs="Times New Roman"/>
                <w:noProof/>
                <w:color w:val="000000"/>
                <w:sz w:val="20"/>
                <w:szCs w:val="20"/>
              </w:rPr>
              <w:br/>
            </w:r>
            <w:r>
              <w:rPr>
                <w:rFonts w:ascii="Times New Roman" w:hAnsi="Times New Roman"/>
                <w:noProof/>
                <w:color w:val="000000"/>
                <w:sz w:val="20"/>
              </w:rPr>
              <w:t>2014/0120/COD</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DIRECTIVE DU PARLEMENT EUROPÉEN ET DU CONSEIL relative aux sociétés unipersonnelles à responsabilité limitée</w:t>
            </w:r>
          </w:p>
        </w:tc>
        <w:tc>
          <w:tcPr>
            <w:tcW w:w="2151" w:type="pct"/>
            <w:shd w:val="clear" w:color="auto" w:fill="auto"/>
          </w:tcPr>
          <w:p w:rsidR="00CE7FA7" w:rsidRDefault="00872487">
            <w:pPr>
              <w:spacing w:after="0" w:line="240" w:lineRule="auto"/>
              <w:jc w:val="both"/>
              <w:rPr>
                <w:rFonts w:ascii="Times New Roman" w:hAnsi="Times New Roman" w:cs="Times New Roman"/>
                <w:noProof/>
                <w:sz w:val="20"/>
                <w:szCs w:val="20"/>
              </w:rPr>
            </w:pPr>
            <w:r>
              <w:rPr>
                <w:rFonts w:ascii="Times New Roman" w:hAnsi="Times New Roman"/>
                <w:noProof/>
                <w:sz w:val="20"/>
              </w:rPr>
              <w:t>La possibilité d’un retrait a été évoquée dans les réponses écrites aux questions de la commission PANA. La Commission présentera de nouvelles propositions en matière de droit des sociétés au 4</w:t>
            </w:r>
            <w:r>
              <w:rPr>
                <w:rFonts w:ascii="Times New Roman" w:hAnsi="Times New Roman"/>
                <w:noProof/>
                <w:sz w:val="20"/>
                <w:vertAlign w:val="superscript"/>
              </w:rPr>
              <w:t>e</w:t>
            </w:r>
            <w:r>
              <w:rPr>
                <w:rFonts w:ascii="Times New Roman" w:hAnsi="Times New Roman"/>
                <w:noProof/>
                <w:sz w:val="20"/>
              </w:rPr>
              <w:t> trimestre 2017, à la suite de quoi cette proposition sera retirée.</w:t>
            </w:r>
          </w:p>
        </w:tc>
      </w:tr>
      <w:tr w:rsidR="00CE7FA7">
        <w:trPr>
          <w:cantSplit/>
        </w:trPr>
        <w:tc>
          <w:tcPr>
            <w:tcW w:w="5000" w:type="pct"/>
            <w:gridSpan w:val="4"/>
            <w:shd w:val="clear" w:color="auto" w:fill="92D050"/>
          </w:tcPr>
          <w:p w:rsidR="00CE7FA7" w:rsidRDefault="00872487">
            <w:pPr>
              <w:keepNext/>
              <w:spacing w:before="60" w:after="60" w:line="240" w:lineRule="auto"/>
              <w:jc w:val="both"/>
              <w:rPr>
                <w:rFonts w:ascii="Times New Roman" w:eastAsia="Times New Roman" w:hAnsi="Times New Roman" w:cs="Times New Roman"/>
                <w:b/>
                <w:noProof/>
                <w:sz w:val="20"/>
                <w:szCs w:val="20"/>
              </w:rPr>
            </w:pPr>
            <w:r>
              <w:rPr>
                <w:rFonts w:ascii="Times New Roman" w:hAnsi="Times New Roman"/>
                <w:b/>
                <w:noProof/>
                <w:sz w:val="20"/>
              </w:rPr>
              <w:t>Affaires maritimes et pêche</w:t>
            </w:r>
          </w:p>
        </w:tc>
      </w:tr>
      <w:tr w:rsidR="00CE7FA7">
        <w:trPr>
          <w:cantSplit/>
        </w:trPr>
        <w:tc>
          <w:tcPr>
            <w:tcW w:w="184" w:type="pct"/>
          </w:tcPr>
          <w:p w:rsidR="00CE7FA7" w:rsidRDefault="00CE7FA7">
            <w:pPr>
              <w:pStyle w:val="ListParagraph"/>
              <w:numPr>
                <w:ilvl w:val="0"/>
                <w:numId w:val="1"/>
              </w:numPr>
              <w:ind w:left="426"/>
              <w:rPr>
                <w:rFonts w:ascii="Times New Roman" w:hAnsi="Times New Roman" w:cs="Times New Roman"/>
                <w:noProof/>
                <w:color w:val="000000"/>
                <w:sz w:val="20"/>
                <w:szCs w:val="20"/>
              </w:rPr>
            </w:pPr>
          </w:p>
        </w:tc>
        <w:tc>
          <w:tcPr>
            <w:tcW w:w="873" w:type="pct"/>
          </w:tcPr>
          <w:p w:rsidR="00CE7FA7" w:rsidRDefault="00872487">
            <w:pPr>
              <w:spacing w:after="0" w:line="240" w:lineRule="auto"/>
              <w:rPr>
                <w:rFonts w:ascii="Times New Roman" w:hAnsi="Times New Roman" w:cs="Times New Roman"/>
                <w:iCs/>
                <w:noProof/>
                <w:color w:val="000000"/>
                <w:sz w:val="20"/>
                <w:szCs w:val="20"/>
              </w:rPr>
            </w:pPr>
            <w:r>
              <w:rPr>
                <w:rFonts w:ascii="Times New Roman" w:hAnsi="Times New Roman"/>
                <w:noProof/>
                <w:sz w:val="20"/>
              </w:rPr>
              <w:t>COM/2011/0760 final</w:t>
            </w:r>
            <w:r>
              <w:rPr>
                <w:rFonts w:ascii="Times New Roman" w:eastAsia="Times New Roman" w:hAnsi="Times New Roman" w:cs="Times New Roman"/>
                <w:bCs/>
                <w:noProof/>
                <w:sz w:val="20"/>
                <w:szCs w:val="20"/>
              </w:rPr>
              <w:br/>
            </w:r>
            <w:r>
              <w:rPr>
                <w:rFonts w:ascii="Times New Roman" w:hAnsi="Times New Roman"/>
                <w:noProof/>
                <w:sz w:val="20"/>
              </w:rPr>
              <w:t>2011/0345/COD</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RÈGLEMENT DU PARLEMENT EUROPÉEN ET DU CONSEIL modifiant le règlement (CE) nº 1300/2008 du Conseil du 18 décembre 2008 établissant un plan pluriannuel pour le stock de hareng présent à l’ouest de l’Écosse et les pêcheries qui exploitent ce stock</w:t>
            </w: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noProof/>
                <w:sz w:val="20"/>
                <w:szCs w:val="20"/>
              </w:rPr>
            </w:pPr>
            <w:r>
              <w:rPr>
                <w:rFonts w:ascii="Times New Roman" w:hAnsi="Times New Roman"/>
                <w:noProof/>
                <w:sz w:val="20"/>
              </w:rPr>
              <w:t>Proposition destinée à devenir obsolète du fait de la proposition d’abrogation (voir l’annexe V) du règlement (CE) nº 1300/2008 du Conseil du 18 décembre 2008 établissant un plan pluriannuel pour le stock de hareng présent à l’ouest de l’Écosse et les pêcheries qui exploitent ce stock.</w:t>
            </w:r>
          </w:p>
        </w:tc>
      </w:tr>
      <w:tr w:rsidR="00CE7FA7">
        <w:trPr>
          <w:cantSplit/>
        </w:trPr>
        <w:tc>
          <w:tcPr>
            <w:tcW w:w="184" w:type="pct"/>
          </w:tcPr>
          <w:p w:rsidR="00CE7FA7" w:rsidRDefault="00CE7FA7">
            <w:pPr>
              <w:pStyle w:val="ListParagraph"/>
              <w:numPr>
                <w:ilvl w:val="0"/>
                <w:numId w:val="1"/>
              </w:numPr>
              <w:ind w:left="426"/>
              <w:rPr>
                <w:rFonts w:ascii="Times New Roman" w:hAnsi="Times New Roman" w:cs="Times New Roman"/>
                <w:noProof/>
                <w:color w:val="000000"/>
                <w:sz w:val="20"/>
                <w:szCs w:val="20"/>
              </w:rPr>
            </w:pPr>
          </w:p>
        </w:tc>
        <w:tc>
          <w:tcPr>
            <w:tcW w:w="873" w:type="pct"/>
          </w:tcPr>
          <w:p w:rsidR="00CE7FA7" w:rsidRDefault="00872487">
            <w:pPr>
              <w:spacing w:after="0" w:line="240" w:lineRule="auto"/>
              <w:rPr>
                <w:rFonts w:ascii="Times New Roman" w:eastAsia="Times New Roman" w:hAnsi="Times New Roman" w:cs="Times New Roman"/>
                <w:bCs/>
                <w:noProof/>
                <w:sz w:val="20"/>
                <w:szCs w:val="20"/>
              </w:rPr>
            </w:pPr>
            <w:r>
              <w:rPr>
                <w:rFonts w:ascii="Times New Roman" w:hAnsi="Times New Roman"/>
                <w:noProof/>
                <w:sz w:val="20"/>
              </w:rPr>
              <w:t>COM/2013/09 final</w:t>
            </w:r>
            <w:r>
              <w:rPr>
                <w:rFonts w:ascii="Times New Roman" w:eastAsia="Times New Roman" w:hAnsi="Times New Roman" w:cs="Times New Roman"/>
                <w:bCs/>
                <w:noProof/>
                <w:sz w:val="20"/>
                <w:szCs w:val="20"/>
              </w:rPr>
              <w:br/>
            </w:r>
            <w:r>
              <w:rPr>
                <w:rFonts w:ascii="Times New Roman" w:hAnsi="Times New Roman"/>
                <w:noProof/>
                <w:sz w:val="20"/>
              </w:rPr>
              <w:t>2013/0007/COD</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RÈGLEMENT DU PARLEMENT EUROPÉEN ET DU CONSEIL modifiant le règlement (CE) nº 1224/2009 du Conseil instituant un régime communautaire de contrôle afin d’assurer le respect des règles de la politique commune de la pêche</w:t>
            </w: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noProof/>
                <w:sz w:val="20"/>
                <w:szCs w:val="20"/>
              </w:rPr>
            </w:pPr>
            <w:r>
              <w:rPr>
                <w:rFonts w:ascii="Times New Roman" w:hAnsi="Times New Roman"/>
                <w:noProof/>
                <w:sz w:val="20"/>
              </w:rPr>
              <w:t>La Commission a l’intention de présenter une nouvelle proposition en vue d’une révision importante du régime de contrôle des pêches, prévue au 2</w:t>
            </w:r>
            <w:r>
              <w:rPr>
                <w:rFonts w:ascii="Times New Roman" w:hAnsi="Times New Roman"/>
                <w:noProof/>
                <w:sz w:val="20"/>
                <w:vertAlign w:val="superscript"/>
              </w:rPr>
              <w:t>e</w:t>
            </w:r>
            <w:r>
              <w:rPr>
                <w:rFonts w:ascii="Times New Roman" w:hAnsi="Times New Roman"/>
                <w:noProof/>
                <w:sz w:val="20"/>
              </w:rPr>
              <w:t> trimestre 2018.</w:t>
            </w:r>
          </w:p>
        </w:tc>
      </w:tr>
      <w:tr w:rsidR="00CE7FA7">
        <w:trPr>
          <w:cantSplit/>
        </w:trPr>
        <w:tc>
          <w:tcPr>
            <w:tcW w:w="5000" w:type="pct"/>
            <w:gridSpan w:val="4"/>
            <w:shd w:val="clear" w:color="auto" w:fill="92D050"/>
          </w:tcPr>
          <w:p w:rsidR="00CE7FA7" w:rsidRDefault="00872487">
            <w:pPr>
              <w:keepNext/>
              <w:spacing w:before="60" w:after="60" w:line="240" w:lineRule="auto"/>
              <w:jc w:val="both"/>
              <w:rPr>
                <w:rFonts w:ascii="Times New Roman" w:hAnsi="Times New Roman" w:cs="Times New Roman"/>
                <w:noProof/>
                <w:sz w:val="20"/>
                <w:szCs w:val="20"/>
              </w:rPr>
            </w:pPr>
            <w:r>
              <w:rPr>
                <w:rFonts w:ascii="Times New Roman" w:hAnsi="Times New Roman"/>
                <w:b/>
                <w:noProof/>
                <w:sz w:val="20"/>
              </w:rPr>
              <w:lastRenderedPageBreak/>
              <w:t>Migration, affaires intérieures et citoyenneté</w:t>
            </w:r>
          </w:p>
        </w:tc>
      </w:tr>
      <w:tr w:rsidR="00CE7FA7">
        <w:trPr>
          <w:cantSplit/>
          <w:trHeight w:val="1071"/>
        </w:trPr>
        <w:tc>
          <w:tcPr>
            <w:tcW w:w="184" w:type="pct"/>
          </w:tcPr>
          <w:p w:rsidR="00CE7FA7" w:rsidRDefault="00CE7FA7">
            <w:pPr>
              <w:pStyle w:val="ListParagraph"/>
              <w:numPr>
                <w:ilvl w:val="0"/>
                <w:numId w:val="1"/>
              </w:numPr>
              <w:ind w:left="426"/>
              <w:rPr>
                <w:rFonts w:ascii="Times New Roman" w:hAnsi="Times New Roman" w:cs="Times New Roman"/>
                <w:noProof/>
                <w:color w:val="000000"/>
                <w:sz w:val="20"/>
                <w:szCs w:val="20"/>
              </w:rPr>
            </w:pPr>
          </w:p>
        </w:tc>
        <w:tc>
          <w:tcPr>
            <w:tcW w:w="873" w:type="pct"/>
          </w:tcPr>
          <w:p w:rsidR="00CE7FA7" w:rsidRDefault="00872487">
            <w:pPr>
              <w:spacing w:after="0" w:line="240" w:lineRule="auto"/>
              <w:rPr>
                <w:rFonts w:ascii="Times New Roman" w:eastAsia="Times New Roman" w:hAnsi="Times New Roman" w:cs="Times New Roman"/>
                <w:noProof/>
                <w:sz w:val="20"/>
                <w:szCs w:val="20"/>
              </w:rPr>
            </w:pPr>
            <w:r>
              <w:rPr>
                <w:rFonts w:ascii="Times New Roman" w:hAnsi="Times New Roman"/>
                <w:noProof/>
                <w:color w:val="000000"/>
                <w:sz w:val="20"/>
              </w:rPr>
              <w:t xml:space="preserve">COM/2014/163 </w:t>
            </w:r>
            <w:r>
              <w:rPr>
                <w:rFonts w:ascii="Times New Roman" w:hAnsi="Times New Roman"/>
                <w:noProof/>
                <w:sz w:val="20"/>
              </w:rPr>
              <w:t>final</w:t>
            </w:r>
            <w:r>
              <w:rPr>
                <w:rFonts w:ascii="Times New Roman" w:hAnsi="Times New Roman" w:cs="Times New Roman"/>
                <w:noProof/>
                <w:color w:val="000000"/>
                <w:sz w:val="20"/>
                <w:szCs w:val="20"/>
              </w:rPr>
              <w:br/>
            </w:r>
            <w:r>
              <w:rPr>
                <w:rFonts w:ascii="Times New Roman" w:hAnsi="Times New Roman"/>
                <w:noProof/>
                <w:color w:val="000000"/>
                <w:sz w:val="20"/>
              </w:rPr>
              <w:t>2014/0095/COD</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color w:val="000000"/>
                <w:sz w:val="20"/>
              </w:rPr>
              <w:t>Proposition de règlement du Parlement européen et du Conseil portant création d’un visa d’itinérance et modifiant la convention d’application de l’accord de Schengen ainsi que les règlements (CE) nº 562/2006 et (CE) nº 767/2008</w:t>
            </w:r>
          </w:p>
        </w:tc>
        <w:tc>
          <w:tcPr>
            <w:tcW w:w="2151" w:type="pct"/>
            <w:shd w:val="clear" w:color="auto" w:fill="auto"/>
          </w:tcPr>
          <w:p w:rsidR="00CE7FA7" w:rsidRDefault="00872487">
            <w:pPr>
              <w:spacing w:after="0" w:line="240" w:lineRule="auto"/>
              <w:jc w:val="both"/>
              <w:rPr>
                <w:rFonts w:ascii="Times New Roman" w:hAnsi="Times New Roman" w:cs="Times New Roman"/>
                <w:noProof/>
                <w:sz w:val="20"/>
                <w:szCs w:val="20"/>
              </w:rPr>
            </w:pPr>
            <w:r>
              <w:rPr>
                <w:rFonts w:ascii="Times New Roman" w:hAnsi="Times New Roman"/>
                <w:noProof/>
                <w:sz w:val="20"/>
              </w:rPr>
              <w:t>Proposition à retirer dans le contexte de la proposition relative au code des visas révisé, prévue au 1</w:t>
            </w:r>
            <w:r>
              <w:rPr>
                <w:rFonts w:ascii="Times New Roman" w:hAnsi="Times New Roman"/>
                <w:noProof/>
                <w:sz w:val="20"/>
                <w:vertAlign w:val="superscript"/>
              </w:rPr>
              <w:t>er</w:t>
            </w:r>
            <w:r>
              <w:rPr>
                <w:rFonts w:ascii="Times New Roman" w:hAnsi="Times New Roman"/>
                <w:noProof/>
                <w:sz w:val="20"/>
              </w:rPr>
              <w:t xml:space="preserve"> trimestre 2018.</w:t>
            </w:r>
          </w:p>
          <w:p w:rsidR="00CE7FA7" w:rsidRDefault="00CE7FA7">
            <w:pPr>
              <w:spacing w:after="0" w:line="240" w:lineRule="auto"/>
              <w:jc w:val="both"/>
              <w:rPr>
                <w:rFonts w:ascii="Times New Roman" w:hAnsi="Times New Roman" w:cs="Times New Roman"/>
                <w:noProof/>
                <w:sz w:val="20"/>
                <w:szCs w:val="20"/>
              </w:rPr>
            </w:pPr>
          </w:p>
          <w:p w:rsidR="00CE7FA7" w:rsidRDefault="00CE7FA7">
            <w:pPr>
              <w:spacing w:after="0" w:line="240" w:lineRule="auto"/>
              <w:jc w:val="both"/>
              <w:rPr>
                <w:rFonts w:ascii="Times New Roman" w:hAnsi="Times New Roman" w:cs="Times New Roman"/>
                <w:noProof/>
                <w:sz w:val="20"/>
                <w:szCs w:val="20"/>
                <w:highlight w:val="yellow"/>
              </w:rPr>
            </w:pPr>
          </w:p>
        </w:tc>
      </w:tr>
      <w:tr w:rsidR="00CE7FA7">
        <w:trPr>
          <w:cantSplit/>
        </w:trPr>
        <w:tc>
          <w:tcPr>
            <w:tcW w:w="184" w:type="pct"/>
          </w:tcPr>
          <w:p w:rsidR="00CE7FA7" w:rsidRDefault="00CE7FA7">
            <w:pPr>
              <w:pStyle w:val="ListParagraph"/>
              <w:numPr>
                <w:ilvl w:val="0"/>
                <w:numId w:val="1"/>
              </w:numPr>
              <w:ind w:left="426"/>
              <w:rPr>
                <w:rFonts w:ascii="Times New Roman" w:hAnsi="Times New Roman" w:cs="Times New Roman"/>
                <w:noProof/>
                <w:color w:val="000000"/>
                <w:sz w:val="20"/>
                <w:szCs w:val="20"/>
              </w:rPr>
            </w:pPr>
          </w:p>
        </w:tc>
        <w:tc>
          <w:tcPr>
            <w:tcW w:w="873" w:type="pct"/>
          </w:tcPr>
          <w:p w:rsidR="00CE7FA7" w:rsidRDefault="00872487">
            <w:pPr>
              <w:spacing w:after="0" w:line="240" w:lineRule="auto"/>
              <w:rPr>
                <w:rFonts w:ascii="Times New Roman" w:eastAsia="Times New Roman" w:hAnsi="Times New Roman" w:cs="Times New Roman"/>
                <w:noProof/>
                <w:sz w:val="20"/>
                <w:szCs w:val="20"/>
              </w:rPr>
            </w:pPr>
            <w:r>
              <w:rPr>
                <w:rFonts w:ascii="Times New Roman" w:hAnsi="Times New Roman"/>
                <w:noProof/>
                <w:color w:val="000000"/>
                <w:sz w:val="20"/>
              </w:rPr>
              <w:t xml:space="preserve">COM/2014/164 </w:t>
            </w:r>
            <w:r>
              <w:rPr>
                <w:rFonts w:ascii="Times New Roman" w:hAnsi="Times New Roman"/>
                <w:noProof/>
                <w:sz w:val="20"/>
              </w:rPr>
              <w:t>final</w:t>
            </w:r>
            <w:r>
              <w:rPr>
                <w:rFonts w:ascii="Times New Roman" w:hAnsi="Times New Roman" w:cs="Times New Roman"/>
                <w:noProof/>
                <w:color w:val="000000"/>
                <w:sz w:val="20"/>
                <w:szCs w:val="20"/>
              </w:rPr>
              <w:br/>
            </w:r>
            <w:r>
              <w:rPr>
                <w:rFonts w:ascii="Times New Roman" w:hAnsi="Times New Roman"/>
                <w:noProof/>
                <w:color w:val="000000"/>
                <w:sz w:val="20"/>
              </w:rPr>
              <w:t>2014/0094/COD</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color w:val="000000"/>
                <w:sz w:val="20"/>
              </w:rPr>
              <w:t xml:space="preserve">Proposition de règlement du Parlement européen et du Conseil relatif au </w:t>
            </w:r>
            <w:hyperlink r:id="rId16">
              <w:r>
                <w:rPr>
                  <w:rStyle w:val="Hyperlink"/>
                  <w:rFonts w:ascii="Times New Roman" w:hAnsi="Times New Roman"/>
                  <w:noProof/>
                  <w:color w:val="auto"/>
                  <w:sz w:val="20"/>
                </w:rPr>
                <w:t>code des visas de l'Union (code des visas)</w:t>
              </w:r>
            </w:hyperlink>
            <w:r>
              <w:rPr>
                <w:rFonts w:ascii="Times New Roman" w:hAnsi="Times New Roman"/>
                <w:noProof/>
                <w:color w:val="000000"/>
                <w:sz w:val="20"/>
              </w:rPr>
              <w:t xml:space="preserve"> </w:t>
            </w:r>
          </w:p>
        </w:tc>
        <w:tc>
          <w:tcPr>
            <w:tcW w:w="2151" w:type="pct"/>
            <w:shd w:val="clear" w:color="auto" w:fill="auto"/>
          </w:tcPr>
          <w:p w:rsidR="00CE7FA7" w:rsidRDefault="00872487">
            <w:pPr>
              <w:spacing w:after="0" w:line="240" w:lineRule="auto"/>
              <w:jc w:val="both"/>
              <w:rPr>
                <w:rFonts w:ascii="Times New Roman" w:hAnsi="Times New Roman" w:cs="Times New Roman"/>
                <w:noProof/>
                <w:sz w:val="20"/>
                <w:szCs w:val="20"/>
              </w:rPr>
            </w:pPr>
            <w:r>
              <w:rPr>
                <w:rFonts w:ascii="Times New Roman" w:hAnsi="Times New Roman"/>
                <w:noProof/>
                <w:sz w:val="20"/>
              </w:rPr>
              <w:t>Proposition à retirer dans le contexte de la proposition relative au code des visas révisé, prévue au 1</w:t>
            </w:r>
            <w:r>
              <w:rPr>
                <w:rFonts w:ascii="Times New Roman" w:hAnsi="Times New Roman"/>
                <w:noProof/>
                <w:sz w:val="20"/>
                <w:vertAlign w:val="superscript"/>
              </w:rPr>
              <w:t>er</w:t>
            </w:r>
            <w:r>
              <w:rPr>
                <w:rFonts w:ascii="Times New Roman" w:hAnsi="Times New Roman"/>
                <w:noProof/>
                <w:sz w:val="20"/>
              </w:rPr>
              <w:t xml:space="preserve"> trimestre 2018.</w:t>
            </w:r>
          </w:p>
        </w:tc>
      </w:tr>
      <w:tr w:rsidR="00CE7FA7">
        <w:trPr>
          <w:cantSplit/>
        </w:trPr>
        <w:tc>
          <w:tcPr>
            <w:tcW w:w="5000" w:type="pct"/>
            <w:gridSpan w:val="4"/>
            <w:shd w:val="clear" w:color="auto" w:fill="92D050"/>
          </w:tcPr>
          <w:p w:rsidR="00CE7FA7" w:rsidRDefault="00872487">
            <w:pPr>
              <w:spacing w:before="60" w:after="60" w:line="240" w:lineRule="auto"/>
              <w:jc w:val="both"/>
              <w:rPr>
                <w:rFonts w:ascii="Times New Roman" w:eastAsia="Times New Roman" w:hAnsi="Times New Roman" w:cs="Times New Roman"/>
                <w:b/>
                <w:noProof/>
                <w:sz w:val="20"/>
                <w:szCs w:val="20"/>
              </w:rPr>
            </w:pPr>
            <w:r>
              <w:rPr>
                <w:rFonts w:ascii="Times New Roman" w:hAnsi="Times New Roman"/>
                <w:b/>
                <w:noProof/>
                <w:sz w:val="20"/>
              </w:rPr>
              <w:t>Transports</w:t>
            </w:r>
          </w:p>
        </w:tc>
      </w:tr>
      <w:tr w:rsidR="00CE7FA7">
        <w:trPr>
          <w:cantSplit/>
        </w:trPr>
        <w:tc>
          <w:tcPr>
            <w:tcW w:w="184" w:type="pct"/>
          </w:tcPr>
          <w:p w:rsidR="00CE7FA7" w:rsidRDefault="00CE7FA7">
            <w:pPr>
              <w:pStyle w:val="ListParagraph"/>
              <w:numPr>
                <w:ilvl w:val="0"/>
                <w:numId w:val="1"/>
              </w:numPr>
              <w:ind w:left="426"/>
              <w:rPr>
                <w:rFonts w:ascii="Times New Roman" w:hAnsi="Times New Roman" w:cs="Times New Roman"/>
                <w:noProof/>
                <w:color w:val="000000"/>
                <w:sz w:val="20"/>
                <w:szCs w:val="20"/>
              </w:rPr>
            </w:pPr>
          </w:p>
        </w:tc>
        <w:tc>
          <w:tcPr>
            <w:tcW w:w="873" w:type="pct"/>
          </w:tcPr>
          <w:p w:rsidR="00CE7FA7" w:rsidRDefault="00872487">
            <w:pPr>
              <w:tabs>
                <w:tab w:val="center" w:pos="911"/>
              </w:tabs>
              <w:rPr>
                <w:rFonts w:ascii="Times New Roman" w:hAnsi="Times New Roman" w:cs="Times New Roman"/>
                <w:noProof/>
                <w:color w:val="000000"/>
                <w:sz w:val="20"/>
                <w:szCs w:val="20"/>
              </w:rPr>
            </w:pPr>
            <w:r>
              <w:rPr>
                <w:rFonts w:ascii="Times New Roman" w:hAnsi="Times New Roman"/>
                <w:noProof/>
                <w:color w:val="000000"/>
                <w:sz w:val="20"/>
              </w:rPr>
              <w:t xml:space="preserve">COM/2013/409 </w:t>
            </w:r>
            <w:r>
              <w:rPr>
                <w:rFonts w:ascii="Times New Roman" w:hAnsi="Times New Roman"/>
                <w:noProof/>
                <w:sz w:val="20"/>
              </w:rPr>
              <w:t>final</w:t>
            </w:r>
            <w:r>
              <w:rPr>
                <w:rFonts w:ascii="Times New Roman" w:hAnsi="Times New Roman" w:cs="Times New Roman"/>
                <w:noProof/>
                <w:color w:val="000000"/>
                <w:sz w:val="20"/>
                <w:szCs w:val="20"/>
              </w:rPr>
              <w:br/>
            </w:r>
            <w:r>
              <w:rPr>
                <w:rFonts w:ascii="Times New Roman" w:hAnsi="Times New Roman"/>
                <w:noProof/>
                <w:color w:val="000000"/>
                <w:sz w:val="20"/>
              </w:rPr>
              <w:t>2013/0187/COD</w:t>
            </w:r>
          </w:p>
        </w:tc>
        <w:tc>
          <w:tcPr>
            <w:tcW w:w="1792" w:type="pct"/>
            <w:shd w:val="clear" w:color="auto" w:fill="auto"/>
          </w:tcPr>
          <w:p w:rsidR="00CE7FA7" w:rsidRDefault="00872487">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Proposition de RÈGLEMENT DU PARLEMENT EUROPÉEN ET DU CONSEIL modifiant le règlement (CE) nº 216/2008 dans le domaine des aérodromes, de la gestion du trafic aérien et des services de navigation aérienne</w:t>
            </w:r>
          </w:p>
        </w:tc>
        <w:tc>
          <w:tcPr>
            <w:tcW w:w="2151" w:type="pct"/>
            <w:shd w:val="clear" w:color="auto" w:fill="auto"/>
          </w:tcPr>
          <w:p w:rsidR="00CE7FA7" w:rsidRDefault="00872487">
            <w:pPr>
              <w:spacing w:after="0" w:line="240" w:lineRule="auto"/>
              <w:jc w:val="both"/>
              <w:rPr>
                <w:rFonts w:ascii="Times New Roman" w:eastAsia="Times New Roman" w:hAnsi="Times New Roman" w:cs="Times New Roman"/>
                <w:noProof/>
                <w:sz w:val="20"/>
                <w:szCs w:val="20"/>
              </w:rPr>
            </w:pPr>
            <w:r>
              <w:rPr>
                <w:rFonts w:ascii="Times New Roman" w:hAnsi="Times New Roman"/>
                <w:noProof/>
                <w:sz w:val="20"/>
              </w:rPr>
              <w:t>Le contenu a été intégré dans la nouvelle proposition de règlement instituant l’AESA [COM(2015) 613 final], désormais engagée dans le processus interinstitutionnel. Cette proposition deviendra donc obsolète.</w:t>
            </w:r>
          </w:p>
        </w:tc>
      </w:tr>
    </w:tbl>
    <w:p w:rsidR="00CE7FA7" w:rsidRDefault="00CE7FA7">
      <w:pPr>
        <w:rPr>
          <w:noProof/>
        </w:rPr>
      </w:pPr>
    </w:p>
    <w:sectPr w:rsidR="00CE7FA7">
      <w:headerReference w:type="even" r:id="rId17"/>
      <w:headerReference w:type="default" r:id="rId18"/>
      <w:footerReference w:type="even" r:id="rId19"/>
      <w:footerReference w:type="default" r:id="rId20"/>
      <w:headerReference w:type="first" r:id="rId21"/>
      <w:footerReference w:type="first" r:id="rId22"/>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A7" w:rsidRDefault="00872487">
      <w:pPr>
        <w:spacing w:after="0" w:line="240" w:lineRule="auto"/>
      </w:pPr>
      <w:r>
        <w:separator/>
      </w:r>
    </w:p>
  </w:endnote>
  <w:endnote w:type="continuationSeparator" w:id="0">
    <w:p w:rsidR="00CE7FA7" w:rsidRDefault="0087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7" w:rsidRDefault="00872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DC" w:rsidRPr="00FC5CDC" w:rsidRDefault="00FC5CDC" w:rsidP="00FC5CDC">
    <w:pPr>
      <w:pStyle w:val="FooterCoverPage"/>
      <w:rPr>
        <w:rFonts w:ascii="Arial" w:hAnsi="Arial" w:cs="Arial"/>
        <w:b/>
        <w:sz w:val="48"/>
      </w:rPr>
    </w:pPr>
    <w:r w:rsidRPr="00FC5CDC">
      <w:rPr>
        <w:rFonts w:ascii="Arial" w:hAnsi="Arial" w:cs="Arial"/>
        <w:b/>
        <w:sz w:val="48"/>
      </w:rPr>
      <w:t>FR</w:t>
    </w:r>
    <w:r w:rsidRPr="00FC5CDC">
      <w:rPr>
        <w:rFonts w:ascii="Arial" w:hAnsi="Arial" w:cs="Arial"/>
        <w:b/>
        <w:sz w:val="48"/>
      </w:rPr>
      <w:tab/>
    </w:r>
    <w:r w:rsidRPr="00FC5CDC">
      <w:rPr>
        <w:rFonts w:ascii="Arial" w:hAnsi="Arial" w:cs="Arial"/>
        <w:b/>
        <w:sz w:val="48"/>
      </w:rPr>
      <w:tab/>
    </w:r>
    <w:r w:rsidR="00237148">
      <w:fldChar w:fldCharType="begin"/>
    </w:r>
    <w:r w:rsidR="00237148">
      <w:instrText xml:space="preserve"> DOCVARIABLE "LW_Confidence" \* MERGEFORMAT </w:instrText>
    </w:r>
    <w:r w:rsidR="00237148">
      <w:fldChar w:fldCharType="separate"/>
    </w:r>
    <w:r w:rsidR="00872487">
      <w:t xml:space="preserve"> </w:t>
    </w:r>
    <w:r w:rsidR="00237148">
      <w:fldChar w:fldCharType="end"/>
    </w:r>
    <w:r w:rsidRPr="00FC5CDC">
      <w:tab/>
    </w:r>
    <w:r w:rsidRPr="00FC5CD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7" w:rsidRDefault="008724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A7" w:rsidRDefault="00CE7F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1036"/>
      <w:docPartObj>
        <w:docPartGallery w:val="Page Numbers (Bottom of Page)"/>
        <w:docPartUnique/>
      </w:docPartObj>
    </w:sdtPr>
    <w:sdtEndPr>
      <w:rPr>
        <w:rFonts w:ascii="Times New Roman" w:hAnsi="Times New Roman"/>
        <w:noProof/>
      </w:rPr>
    </w:sdtEndPr>
    <w:sdtContent>
      <w:p w:rsidR="00CE7FA7" w:rsidRDefault="0087248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237148">
          <w:rPr>
            <w:rFonts w:ascii="Times New Roman" w:hAnsi="Times New Roman"/>
            <w:noProof/>
          </w:rPr>
          <w:t>5</w:t>
        </w:r>
        <w:r>
          <w:rPr>
            <w:rFonts w:ascii="Times New Roman" w:hAnsi="Times New Roman"/>
            <w:noProof/>
          </w:rPr>
          <w:fldChar w:fldCharType="end"/>
        </w:r>
      </w:p>
    </w:sdtContent>
  </w:sdt>
  <w:p w:rsidR="00CE7FA7" w:rsidRDefault="00CE7F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A7" w:rsidRDefault="00CE7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A7" w:rsidRDefault="00872487">
      <w:pPr>
        <w:spacing w:after="0" w:line="240" w:lineRule="auto"/>
      </w:pPr>
      <w:r>
        <w:separator/>
      </w:r>
    </w:p>
  </w:footnote>
  <w:footnote w:type="continuationSeparator" w:id="0">
    <w:p w:rsidR="00CE7FA7" w:rsidRDefault="00872487">
      <w:pPr>
        <w:spacing w:after="0" w:line="240" w:lineRule="auto"/>
      </w:pPr>
      <w:r>
        <w:continuationSeparator/>
      </w:r>
    </w:p>
  </w:footnote>
  <w:footnote w:id="1">
    <w:p w:rsidR="00CE7FA7" w:rsidRDefault="00872487">
      <w:pPr>
        <w:pStyle w:val="FootnoteText"/>
        <w:rPr>
          <w:rFonts w:ascii="Times New Roman" w:eastAsia="Times New Roman" w:hAnsi="Times New Roman" w:cs="Times New Roman"/>
          <w:bCs/>
          <w:lang w:eastAsia="en-GB"/>
        </w:rPr>
      </w:pPr>
      <w:r>
        <w:rPr>
          <w:rStyle w:val="FootnoteReference"/>
        </w:rPr>
        <w:footnoteRef/>
      </w:r>
      <w:r>
        <w:t xml:space="preserve"> </w:t>
      </w:r>
      <w:r>
        <w:rPr>
          <w:rFonts w:ascii="Times New Roman" w:hAnsi="Times New Roman"/>
        </w:rPr>
        <w:t>Cette liste comprend les propositions législatives pendantes que la Commission a l’intention de retirer dans un délai de six mois (d’ici au mois d’avril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7" w:rsidRDefault="00872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7" w:rsidRDefault="008724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87" w:rsidRDefault="008724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A7" w:rsidRDefault="00CE7F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A7" w:rsidRDefault="00CE7F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A7" w:rsidRDefault="00CE7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582F"/>
    <w:multiLevelType w:val="hybridMultilevel"/>
    <w:tmpl w:val="5A9C81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3EF74B90"/>
    <w:multiLevelType w:val="hybridMultilevel"/>
    <w:tmpl w:val="B9768E9E"/>
    <w:lvl w:ilvl="0" w:tplc="BCD0181C">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094D17"/>
    <w:multiLevelType w:val="hybridMultilevel"/>
    <w:tmpl w:val="B9768E9E"/>
    <w:lvl w:ilvl="0" w:tplc="BCD0181C">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4"/>
    <w:docVar w:name="LW_ANNEX_NBR_LAST" w:val="4"/>
    <w:docVar w:name="LW_CONFIDENCE" w:val=" "/>
    <w:docVar w:name="LW_CONST_RESTREINT_UE" w:val="RESTREINT UE/EU RESTRICTED"/>
    <w:docVar w:name="LW_CORRIGENDUM" w:val="&lt;UNUSED&gt;"/>
    <w:docVar w:name="LW_COVERPAGE_GUID" w:val="CC725B4CDF4F459DB6FC0D2A830B419A"/>
    <w:docVar w:name="LW_CROSSREFERENCE" w:val="&lt;UNUSED&gt;"/>
    <w:docVar w:name="LW_DocType" w:val="NORMAL"/>
    <w:docVar w:name="LW_EMISSION" w:val="24.10.2017"/>
    <w:docVar w:name="LW_EMISSION_ISODATE" w:val="2017-10-24"/>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_x000b_Programme de travail de la Commission pour 2018_x000b__x000b_Un programme pour une Europe plus unie, plus forte et plus démocratique"/>
    <w:docVar w:name="LW_PART_NBR" w:val="1"/>
    <w:docVar w:name="LW_PART_NBR_TOTAL" w:val="1"/>
    <w:docVar w:name="LW_REF.INST.NEW" w:val="COM"/>
    <w:docVar w:name="LW_REF.INST.NEW_ADOPTED" w:val="final"/>
    <w:docVar w:name="LW_REF.INST.NEW_TEXT" w:val="(2017) 650"/>
    <w:docVar w:name="LW_REF.INTERNE" w:val="&lt;UNUSED&gt;"/>
    <w:docVar w:name="LW_SUPERTITRE" w:val="&lt;UNUSED&gt;"/>
    <w:docVar w:name="LW_TITRE.OBJ.CP" w:val="&lt;UNUSED&gt;"/>
    <w:docVar w:name="LW_TYPE.DOC.CP" w:val="ANNEXE_x000b_"/>
    <w:docVar w:name="LW_TYPEACTEPRINCIPAL.CP" w:val="COMMUNICATION DE LA COMMISSION AU PARLEMENT EUROPÉEN, AU CONSEIL, AU COMITÉ ÉCONOMIQUE ET SOCIAL EUROPÉEN ET AU COMITÉ DES RÉGIONS_x000b_"/>
  </w:docVars>
  <w:rsids>
    <w:rsidRoot w:val="00CE7FA7"/>
    <w:rsid w:val="00237148"/>
    <w:rsid w:val="00872487"/>
    <w:rsid w:val="00CE7FA7"/>
    <w:rsid w:val="00FC5C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strike w:val="0"/>
      <w:dstrike w:val="0"/>
      <w:color w:val="0065A2"/>
      <w:u w:val="none"/>
      <w:effect w:val="none"/>
      <w:shd w:val="clear" w:color="auto" w:fill="auto"/>
    </w:rPr>
  </w:style>
  <w:style w:type="character" w:customStyle="1" w:styleId="offscreen">
    <w:name w:val="offscreen"/>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Calibri" w:hAnsi="Times New Roman" w:cs="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Calibri" w:hAnsi="Times New Roman" w:cs="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strike w:val="0"/>
      <w:dstrike w:val="0"/>
      <w:color w:val="0065A2"/>
      <w:u w:val="none"/>
      <w:effect w:val="none"/>
      <w:shd w:val="clear" w:color="auto" w:fill="auto"/>
    </w:rPr>
  </w:style>
  <w:style w:type="character" w:customStyle="1" w:styleId="offscreen">
    <w:name w:val="offscreen"/>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eastAsia="Calibri" w:hAnsi="Times New Roman" w:cs="Times New Roman"/>
      <w:noProof/>
      <w:sz w:val="24"/>
      <w:szCs w:val="28"/>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eastAsia="Calibri" w:hAnsi="Times New Roman" w:cs="Times New Roman"/>
      <w:noProof/>
      <w:sz w:val="24"/>
      <w:szCs w:val="28"/>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9997">
      <w:bodyDiv w:val="1"/>
      <w:marLeft w:val="0"/>
      <w:marRight w:val="0"/>
      <w:marTop w:val="0"/>
      <w:marBottom w:val="0"/>
      <w:divBdr>
        <w:top w:val="none" w:sz="0" w:space="0" w:color="auto"/>
        <w:left w:val="none" w:sz="0" w:space="0" w:color="auto"/>
        <w:bottom w:val="none" w:sz="0" w:space="0" w:color="auto"/>
        <w:right w:val="none" w:sz="0" w:space="0" w:color="auto"/>
      </w:divBdr>
    </w:div>
    <w:div w:id="1668433468">
      <w:bodyDiv w:val="1"/>
      <w:marLeft w:val="0"/>
      <w:marRight w:val="0"/>
      <w:marTop w:val="0"/>
      <w:marBottom w:val="0"/>
      <w:divBdr>
        <w:top w:val="none" w:sz="0" w:space="0" w:color="auto"/>
        <w:left w:val="none" w:sz="0" w:space="0" w:color="auto"/>
        <w:bottom w:val="none" w:sz="0" w:space="0" w:color="auto"/>
        <w:right w:val="none" w:sz="0" w:space="0" w:color="auto"/>
      </w:divBdr>
    </w:div>
    <w:div w:id="1921713621">
      <w:bodyDiv w:val="1"/>
      <w:marLeft w:val="0"/>
      <w:marRight w:val="0"/>
      <w:marTop w:val="0"/>
      <w:marBottom w:val="0"/>
      <w:divBdr>
        <w:top w:val="none" w:sz="0" w:space="0" w:color="auto"/>
        <w:left w:val="none" w:sz="0" w:space="0" w:color="auto"/>
        <w:bottom w:val="none" w:sz="0" w:space="0" w:color="auto"/>
        <w:right w:val="none" w:sz="0" w:space="0" w:color="auto"/>
      </w:divBdr>
    </w:div>
    <w:div w:id="20294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home-affairs/sites/homeaffairs/files/e-library/documents/policies/borders-and-visas/visa-policy/docs/proposal_regulation_union_code_on_visas_fr.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4534-B1FF-4CB8-9903-A435EF14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6616</Characters>
  <Application>Microsoft Office Word</Application>
  <DocSecurity>0</DocSecurity>
  <Lines>220</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2017-10-24T07:30:00Z</dcterms:created>
  <dcterms:modified xsi:type="dcterms:W3CDTF">2017-10-24T12:46:00Z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