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82" w:rsidRDefault="00507AF4" w:rsidP="00507AF4">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0F788B3BFF2442E8D8A3B101DE769B2" style="width:450.4pt;height:447.9pt">
            <v:imagedata r:id="rId9" o:title=""/>
          </v:shape>
        </w:pict>
      </w:r>
      <w:bookmarkEnd w:id="1"/>
    </w:p>
    <w:bookmarkEnd w:id="0"/>
    <w:p w:rsidR="00F27582" w:rsidRDefault="00F27582">
      <w:pPr>
        <w:rPr>
          <w:noProof/>
        </w:rPr>
        <w:sectPr w:rsidR="00F27582" w:rsidSect="00507AF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F27582" w:rsidRDefault="000839A6">
      <w:pPr>
        <w:spacing w:after="600" w:line="240" w:lineRule="auto"/>
        <w:jc w:val="center"/>
        <w:outlineLvl w:val="0"/>
        <w:rPr>
          <w:rFonts w:ascii="Times New Roman" w:eastAsia="Times New Roman" w:hAnsi="Times New Roman"/>
          <w:b/>
          <w:noProof/>
          <w:sz w:val="28"/>
          <w:szCs w:val="28"/>
          <w:u w:val="single"/>
        </w:rPr>
      </w:pPr>
      <w:r>
        <w:rPr>
          <w:rFonts w:ascii="Times New Roman" w:hAnsi="Times New Roman"/>
          <w:b/>
          <w:noProof/>
          <w:sz w:val="28"/>
          <w:u w:val="single"/>
        </w:rPr>
        <w:lastRenderedPageBreak/>
        <w:t>Annexe V: liste des abrogations envisagées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01"/>
        <w:gridCol w:w="1273"/>
        <w:gridCol w:w="5542"/>
        <w:gridCol w:w="7085"/>
      </w:tblGrid>
      <w:tr w:rsidR="00F27582">
        <w:trPr>
          <w:cantSplit/>
          <w:tblHeader/>
        </w:trPr>
        <w:tc>
          <w:tcPr>
            <w:tcW w:w="174" w:type="pct"/>
            <w:tcBorders>
              <w:bottom w:val="single" w:sz="4" w:space="0" w:color="auto"/>
            </w:tcBorders>
            <w:shd w:val="clear" w:color="auto" w:fill="99CCFF"/>
            <w:vAlign w:val="center"/>
          </w:tcPr>
          <w:p w:rsidR="00F27582" w:rsidRDefault="000839A6">
            <w:pPr>
              <w:tabs>
                <w:tab w:val="left" w:pos="176"/>
              </w:tabs>
              <w:spacing w:after="0"/>
              <w:ind w:left="142" w:hanging="108"/>
              <w:jc w:val="center"/>
              <w:rPr>
                <w:rFonts w:ascii="Times New Roman" w:hAnsi="Times New Roman"/>
                <w:b/>
                <w:noProof/>
                <w:sz w:val="20"/>
                <w:szCs w:val="20"/>
              </w:rPr>
            </w:pPr>
            <w:r>
              <w:rPr>
                <w:rFonts w:ascii="Times New Roman" w:hAnsi="Times New Roman"/>
                <w:b/>
                <w:noProof/>
                <w:sz w:val="20"/>
              </w:rPr>
              <w:t>Nº</w:t>
            </w:r>
          </w:p>
        </w:tc>
        <w:tc>
          <w:tcPr>
            <w:tcW w:w="442" w:type="pct"/>
            <w:tcBorders>
              <w:bottom w:val="single" w:sz="4" w:space="0" w:color="auto"/>
            </w:tcBorders>
            <w:shd w:val="clear" w:color="auto" w:fill="99CCFF"/>
          </w:tcPr>
          <w:p w:rsidR="00F27582" w:rsidRDefault="000839A6">
            <w:pPr>
              <w:spacing w:after="0"/>
              <w:jc w:val="center"/>
              <w:rPr>
                <w:rFonts w:ascii="Times New Roman" w:hAnsi="Times New Roman"/>
                <w:b/>
                <w:noProof/>
                <w:sz w:val="20"/>
                <w:szCs w:val="20"/>
              </w:rPr>
            </w:pPr>
            <w:r>
              <w:rPr>
                <w:rFonts w:ascii="Times New Roman" w:hAnsi="Times New Roman"/>
                <w:b/>
                <w:noProof/>
                <w:sz w:val="20"/>
              </w:rPr>
              <w:t>Domaine d’action</w:t>
            </w:r>
          </w:p>
        </w:tc>
        <w:tc>
          <w:tcPr>
            <w:tcW w:w="1924" w:type="pct"/>
            <w:tcBorders>
              <w:bottom w:val="single" w:sz="4" w:space="0" w:color="auto"/>
            </w:tcBorders>
            <w:shd w:val="clear" w:color="auto" w:fill="99CCFF"/>
            <w:vAlign w:val="center"/>
          </w:tcPr>
          <w:p w:rsidR="00F27582" w:rsidRDefault="000839A6">
            <w:pPr>
              <w:spacing w:after="0"/>
              <w:jc w:val="center"/>
              <w:rPr>
                <w:rFonts w:ascii="Times New Roman" w:hAnsi="Times New Roman"/>
                <w:b/>
                <w:noProof/>
                <w:sz w:val="20"/>
                <w:szCs w:val="20"/>
              </w:rPr>
            </w:pPr>
            <w:r>
              <w:rPr>
                <w:rFonts w:ascii="Times New Roman" w:hAnsi="Times New Roman"/>
                <w:b/>
                <w:noProof/>
                <w:sz w:val="20"/>
              </w:rPr>
              <w:t>Titre</w:t>
            </w:r>
          </w:p>
        </w:tc>
        <w:tc>
          <w:tcPr>
            <w:tcW w:w="2460" w:type="pct"/>
            <w:tcBorders>
              <w:bottom w:val="single" w:sz="4" w:space="0" w:color="auto"/>
            </w:tcBorders>
            <w:shd w:val="clear" w:color="auto" w:fill="99CCFF"/>
            <w:vAlign w:val="center"/>
          </w:tcPr>
          <w:p w:rsidR="00F27582" w:rsidRDefault="000839A6">
            <w:pPr>
              <w:spacing w:after="0"/>
              <w:jc w:val="center"/>
              <w:rPr>
                <w:rFonts w:ascii="Times New Roman" w:hAnsi="Times New Roman"/>
                <w:b/>
                <w:noProof/>
                <w:sz w:val="20"/>
                <w:szCs w:val="20"/>
              </w:rPr>
            </w:pPr>
            <w:r>
              <w:rPr>
                <w:rFonts w:ascii="Times New Roman" w:hAnsi="Times New Roman"/>
                <w:b/>
                <w:noProof/>
                <w:sz w:val="20"/>
              </w:rPr>
              <w:t>Motifs de l’abrogation</w:t>
            </w:r>
          </w:p>
        </w:tc>
      </w:tr>
      <w:tr w:rsidR="00F27582">
        <w:trPr>
          <w:cantSplit/>
        </w:trPr>
        <w:tc>
          <w:tcPr>
            <w:tcW w:w="174" w:type="pct"/>
            <w:tcBorders>
              <w:top w:val="single" w:sz="4" w:space="0" w:color="auto"/>
              <w:left w:val="single" w:sz="4" w:space="0" w:color="auto"/>
              <w:bottom w:val="single" w:sz="4" w:space="0" w:color="auto"/>
              <w:right w:val="single" w:sz="4" w:space="0" w:color="auto"/>
            </w:tcBorders>
          </w:tcPr>
          <w:p w:rsidR="00F27582" w:rsidRDefault="00F27582">
            <w:pPr>
              <w:numPr>
                <w:ilvl w:val="0"/>
                <w:numId w:val="4"/>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F27582" w:rsidRDefault="000839A6">
            <w:pPr>
              <w:spacing w:after="0" w:line="240" w:lineRule="auto"/>
              <w:rPr>
                <w:rFonts w:ascii="Times New Roman" w:eastAsia="Times New Roman" w:hAnsi="Times New Roman"/>
                <w:noProof/>
                <w:sz w:val="20"/>
                <w:szCs w:val="20"/>
              </w:rPr>
            </w:pPr>
            <w:r>
              <w:rPr>
                <w:rFonts w:ascii="Times New Roman" w:hAnsi="Times New Roman"/>
                <w:noProof/>
                <w:sz w:val="20"/>
              </w:rPr>
              <w:t>Affaires maritimes et pêche</w:t>
            </w:r>
          </w:p>
        </w:tc>
        <w:tc>
          <w:tcPr>
            <w:tcW w:w="1924" w:type="pct"/>
            <w:tcBorders>
              <w:top w:val="single" w:sz="4" w:space="0" w:color="auto"/>
              <w:left w:val="single" w:sz="4" w:space="0" w:color="auto"/>
              <w:bottom w:val="single" w:sz="4" w:space="0" w:color="auto"/>
              <w:right w:val="single" w:sz="4" w:space="0" w:color="auto"/>
            </w:tcBorders>
            <w:shd w:val="clear" w:color="auto" w:fill="auto"/>
          </w:tcPr>
          <w:p w:rsidR="00F27582" w:rsidRDefault="000839A6">
            <w:pPr>
              <w:spacing w:after="0"/>
              <w:jc w:val="both"/>
              <w:rPr>
                <w:rFonts w:ascii="Times New Roman" w:hAnsi="Times New Roman"/>
                <w:noProof/>
                <w:sz w:val="20"/>
                <w:szCs w:val="20"/>
              </w:rPr>
            </w:pPr>
            <w:r>
              <w:rPr>
                <w:rFonts w:ascii="Times New Roman" w:hAnsi="Times New Roman"/>
                <w:noProof/>
                <w:sz w:val="20"/>
              </w:rPr>
              <w:t>Règlement (CE) n° 1300/2008 du Conseil du 18 décembre 2008 établissant un plan pluriannuel pour le stock de hareng présent à l'ouest de l'Écosse et les pêcheries qui exploitent ce stock</w:t>
            </w:r>
          </w:p>
        </w:tc>
        <w:tc>
          <w:tcPr>
            <w:tcW w:w="2460" w:type="pct"/>
            <w:tcBorders>
              <w:top w:val="single" w:sz="4" w:space="0" w:color="auto"/>
              <w:left w:val="single" w:sz="4" w:space="0" w:color="auto"/>
              <w:bottom w:val="single" w:sz="4" w:space="0" w:color="auto"/>
              <w:right w:val="single" w:sz="4" w:space="0" w:color="auto"/>
            </w:tcBorders>
            <w:shd w:val="clear" w:color="auto" w:fill="auto"/>
          </w:tcPr>
          <w:p w:rsidR="00F27582" w:rsidRDefault="000839A6">
            <w:pPr>
              <w:jc w:val="both"/>
              <w:rPr>
                <w:rFonts w:ascii="Times New Roman" w:hAnsi="Times New Roman"/>
                <w:noProof/>
                <w:sz w:val="20"/>
                <w:szCs w:val="20"/>
              </w:rPr>
            </w:pPr>
            <w:r>
              <w:rPr>
                <w:rFonts w:ascii="Times New Roman" w:hAnsi="Times New Roman"/>
                <w:noProof/>
                <w:sz w:val="20"/>
              </w:rPr>
              <w:t>Ce plan pour le hareng comporte des niveau</w:t>
            </w:r>
            <w:r>
              <w:rPr>
                <w:rFonts w:ascii="Times New Roman" w:hAnsi="Times New Roman"/>
                <w:noProof/>
                <w:sz w:val="20"/>
              </w:rPr>
              <w:t>x de référence qui ne sont plus d'actualité et il n’est plus appliqué. Il peut donc être abrogé.</w:t>
            </w:r>
          </w:p>
        </w:tc>
      </w:tr>
      <w:tr w:rsidR="00F27582">
        <w:trPr>
          <w:cantSplit/>
        </w:trPr>
        <w:tc>
          <w:tcPr>
            <w:tcW w:w="174" w:type="pct"/>
            <w:tcBorders>
              <w:top w:val="single" w:sz="4" w:space="0" w:color="auto"/>
              <w:left w:val="single" w:sz="4" w:space="0" w:color="auto"/>
              <w:bottom w:val="single" w:sz="4" w:space="0" w:color="auto"/>
              <w:right w:val="single" w:sz="4" w:space="0" w:color="auto"/>
            </w:tcBorders>
          </w:tcPr>
          <w:p w:rsidR="00F27582" w:rsidRDefault="00F27582">
            <w:pPr>
              <w:numPr>
                <w:ilvl w:val="0"/>
                <w:numId w:val="4"/>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F27582" w:rsidRDefault="000839A6">
            <w:pPr>
              <w:spacing w:after="0" w:line="240" w:lineRule="auto"/>
              <w:rPr>
                <w:rFonts w:ascii="Times New Roman" w:eastAsia="Times New Roman" w:hAnsi="Times New Roman"/>
                <w:noProof/>
                <w:sz w:val="20"/>
                <w:szCs w:val="20"/>
              </w:rPr>
            </w:pPr>
            <w:r>
              <w:rPr>
                <w:rFonts w:ascii="Times New Roman" w:hAnsi="Times New Roman"/>
                <w:noProof/>
                <w:sz w:val="20"/>
              </w:rPr>
              <w:t>Fiscalité et douane</w:t>
            </w:r>
          </w:p>
        </w:tc>
        <w:tc>
          <w:tcPr>
            <w:tcW w:w="1924" w:type="pct"/>
            <w:tcBorders>
              <w:top w:val="single" w:sz="4" w:space="0" w:color="auto"/>
              <w:left w:val="single" w:sz="4" w:space="0" w:color="auto"/>
              <w:bottom w:val="single" w:sz="4" w:space="0" w:color="auto"/>
              <w:right w:val="single" w:sz="4" w:space="0" w:color="auto"/>
            </w:tcBorders>
            <w:shd w:val="clear" w:color="auto" w:fill="auto"/>
          </w:tcPr>
          <w:p w:rsidR="00F27582" w:rsidRDefault="000839A6">
            <w:pPr>
              <w:spacing w:after="0"/>
              <w:jc w:val="both"/>
              <w:rPr>
                <w:rFonts w:ascii="Times New Roman" w:hAnsi="Times New Roman"/>
                <w:noProof/>
                <w:sz w:val="20"/>
                <w:szCs w:val="20"/>
              </w:rPr>
            </w:pPr>
            <w:r>
              <w:rPr>
                <w:rFonts w:ascii="Times New Roman" w:hAnsi="Times New Roman"/>
                <w:noProof/>
                <w:sz w:val="20"/>
              </w:rPr>
              <w:t>Directive 79/802/CEE de la Commission, du 6 septembre 1979, relative aux marchandises placées sous le régime du perfectionnement actif et qui bénéficieraient, en cas d'importation pour la mise en libre pratique, d'un régime tarifaire favorable en raison de</w:t>
            </w:r>
            <w:r>
              <w:rPr>
                <w:rFonts w:ascii="Times New Roman" w:hAnsi="Times New Roman"/>
                <w:noProof/>
                <w:sz w:val="20"/>
              </w:rPr>
              <w:t xml:space="preserve"> leur destination particulière  </w:t>
            </w:r>
          </w:p>
        </w:tc>
        <w:tc>
          <w:tcPr>
            <w:tcW w:w="2460" w:type="pct"/>
            <w:tcBorders>
              <w:top w:val="single" w:sz="4" w:space="0" w:color="auto"/>
              <w:left w:val="single" w:sz="4" w:space="0" w:color="auto"/>
              <w:bottom w:val="single" w:sz="4" w:space="0" w:color="auto"/>
              <w:right w:val="single" w:sz="4" w:space="0" w:color="auto"/>
            </w:tcBorders>
            <w:shd w:val="clear" w:color="auto" w:fill="auto"/>
          </w:tcPr>
          <w:p w:rsidR="00F27582" w:rsidRDefault="000839A6">
            <w:pPr>
              <w:spacing w:after="0"/>
              <w:jc w:val="both"/>
              <w:rPr>
                <w:rFonts w:ascii="Times New Roman" w:hAnsi="Times New Roman"/>
                <w:noProof/>
                <w:sz w:val="20"/>
                <w:szCs w:val="20"/>
              </w:rPr>
            </w:pPr>
            <w:r>
              <w:rPr>
                <w:rFonts w:ascii="Times New Roman" w:hAnsi="Times New Roman"/>
                <w:noProof/>
                <w:sz w:val="20"/>
              </w:rPr>
              <w:t>Cette directive est superflue étant donné que les marchandises relevant du régime de la destination particulière entrent dans le champ d’application du règlement n° 2658/87 relatif au tarif douanier commun (annexe I) et, en</w:t>
            </w:r>
            <w:r>
              <w:rPr>
                <w:rFonts w:ascii="Times New Roman" w:hAnsi="Times New Roman"/>
                <w:noProof/>
                <w:sz w:val="20"/>
              </w:rPr>
              <w:t xml:space="preserve"> outre, que les régimes du perfectionnement actif et de la destination particulière sont désormais régis par le code des douanes de l’Union (CDU).</w:t>
            </w:r>
          </w:p>
        </w:tc>
      </w:tr>
      <w:tr w:rsidR="00F27582">
        <w:trPr>
          <w:cantSplit/>
        </w:trPr>
        <w:tc>
          <w:tcPr>
            <w:tcW w:w="174" w:type="pct"/>
            <w:tcBorders>
              <w:top w:val="single" w:sz="4" w:space="0" w:color="auto"/>
              <w:left w:val="single" w:sz="4" w:space="0" w:color="auto"/>
              <w:bottom w:val="single" w:sz="4" w:space="0" w:color="auto"/>
              <w:right w:val="single" w:sz="4" w:space="0" w:color="auto"/>
            </w:tcBorders>
          </w:tcPr>
          <w:p w:rsidR="00F27582" w:rsidRDefault="00F27582">
            <w:pPr>
              <w:numPr>
                <w:ilvl w:val="0"/>
                <w:numId w:val="4"/>
              </w:numPr>
              <w:spacing w:after="0" w:line="240" w:lineRule="auto"/>
              <w:ind w:left="357" w:hanging="357"/>
              <w:rPr>
                <w:rFonts w:ascii="Times New Roman" w:hAnsi="Times New Roman"/>
                <w:noProof/>
                <w:sz w:val="20"/>
                <w:szCs w:val="20"/>
              </w:rPr>
            </w:pPr>
          </w:p>
        </w:tc>
        <w:tc>
          <w:tcPr>
            <w:tcW w:w="442" w:type="pct"/>
            <w:tcBorders>
              <w:top w:val="single" w:sz="4" w:space="0" w:color="auto"/>
              <w:left w:val="single" w:sz="4" w:space="0" w:color="auto"/>
              <w:bottom w:val="single" w:sz="4" w:space="0" w:color="auto"/>
              <w:right w:val="single" w:sz="4" w:space="0" w:color="auto"/>
            </w:tcBorders>
          </w:tcPr>
          <w:p w:rsidR="00F27582" w:rsidRDefault="000839A6">
            <w:pPr>
              <w:spacing w:after="0" w:line="240" w:lineRule="auto"/>
              <w:rPr>
                <w:rFonts w:ascii="Times New Roman" w:eastAsia="Times New Roman" w:hAnsi="Times New Roman"/>
                <w:noProof/>
                <w:sz w:val="20"/>
                <w:szCs w:val="20"/>
              </w:rPr>
            </w:pPr>
            <w:r>
              <w:rPr>
                <w:rFonts w:ascii="Times New Roman" w:hAnsi="Times New Roman"/>
                <w:noProof/>
                <w:sz w:val="20"/>
              </w:rPr>
              <w:t>Justice et affaires intérieures</w:t>
            </w:r>
          </w:p>
        </w:tc>
        <w:tc>
          <w:tcPr>
            <w:tcW w:w="1924" w:type="pct"/>
            <w:tcBorders>
              <w:top w:val="single" w:sz="4" w:space="0" w:color="auto"/>
              <w:left w:val="single" w:sz="4" w:space="0" w:color="auto"/>
              <w:bottom w:val="single" w:sz="4" w:space="0" w:color="auto"/>
              <w:right w:val="single" w:sz="4" w:space="0" w:color="auto"/>
            </w:tcBorders>
            <w:shd w:val="clear" w:color="auto" w:fill="auto"/>
          </w:tcPr>
          <w:p w:rsidR="00F27582" w:rsidRDefault="000839A6">
            <w:pPr>
              <w:spacing w:after="0"/>
              <w:jc w:val="both"/>
              <w:rPr>
                <w:rFonts w:ascii="Times New Roman" w:hAnsi="Times New Roman"/>
                <w:noProof/>
                <w:sz w:val="20"/>
                <w:szCs w:val="20"/>
              </w:rPr>
            </w:pPr>
            <w:r>
              <w:rPr>
                <w:rFonts w:ascii="Times New Roman" w:hAnsi="Times New Roman"/>
                <w:noProof/>
                <w:sz w:val="20"/>
              </w:rPr>
              <w:t>Action commune 98/699/JAI concernant l'identification, le dépistage, le gel</w:t>
            </w:r>
            <w:r>
              <w:rPr>
                <w:rFonts w:ascii="Times New Roman" w:hAnsi="Times New Roman"/>
                <w:noProof/>
                <w:sz w:val="20"/>
              </w:rPr>
              <w:t xml:space="preserve"> ou la saisie et la confiscation des instruments et des produits du crime</w:t>
            </w:r>
          </w:p>
        </w:tc>
        <w:tc>
          <w:tcPr>
            <w:tcW w:w="2460" w:type="pct"/>
            <w:tcBorders>
              <w:top w:val="single" w:sz="4" w:space="0" w:color="auto"/>
              <w:left w:val="single" w:sz="4" w:space="0" w:color="auto"/>
              <w:bottom w:val="single" w:sz="4" w:space="0" w:color="auto"/>
              <w:right w:val="single" w:sz="4" w:space="0" w:color="auto"/>
            </w:tcBorders>
            <w:shd w:val="clear" w:color="auto" w:fill="auto"/>
          </w:tcPr>
          <w:p w:rsidR="00F27582" w:rsidRDefault="000839A6">
            <w:pPr>
              <w:spacing w:after="0"/>
              <w:jc w:val="both"/>
              <w:rPr>
                <w:rFonts w:ascii="Times New Roman" w:hAnsi="Times New Roman"/>
                <w:noProof/>
                <w:sz w:val="20"/>
                <w:szCs w:val="20"/>
              </w:rPr>
            </w:pPr>
            <w:r>
              <w:rPr>
                <w:rFonts w:ascii="Times New Roman" w:hAnsi="Times New Roman"/>
                <w:noProof/>
                <w:sz w:val="20"/>
              </w:rPr>
              <w:t xml:space="preserve">Cet instrument a été intégralement remplacé par la directive 2014/42/UE concernant le gel et la confiscation des instruments et des produits du crime dans l’Union européenne pour </w:t>
            </w:r>
            <w:r>
              <w:rPr>
                <w:rFonts w:ascii="Times New Roman" w:hAnsi="Times New Roman"/>
                <w:noProof/>
                <w:sz w:val="20"/>
              </w:rPr>
              <w:t>tous les États membres participant à la directive (à l’exception du Danemark et du Royaume-Uni). La plupart de ses dispositions ont déjà été remplacées par la décision-cadre 2001/500/JAI concernant le blanchiment d’argent, l’identification, le dépistage, l</w:t>
            </w:r>
            <w:r>
              <w:rPr>
                <w:rFonts w:ascii="Times New Roman" w:hAnsi="Times New Roman"/>
                <w:noProof/>
                <w:sz w:val="20"/>
              </w:rPr>
              <w:t>e gel ou la saisie et la confiscation des instruments et des produits du crime, qui est également applicable au Danemark et au Royaume-Uni. Les autres dispositions sont des recommandations générales sans valeur contraignante qui s’appliquent maintenant seu</w:t>
            </w:r>
            <w:r>
              <w:rPr>
                <w:rFonts w:ascii="Times New Roman" w:hAnsi="Times New Roman"/>
                <w:noProof/>
                <w:sz w:val="20"/>
              </w:rPr>
              <w:t>lement au Danemark et au Royaume-Uni.</w:t>
            </w:r>
          </w:p>
        </w:tc>
      </w:tr>
    </w:tbl>
    <w:p w:rsidR="00F27582" w:rsidRDefault="00F27582">
      <w:pPr>
        <w:rPr>
          <w:noProof/>
        </w:rPr>
      </w:pPr>
    </w:p>
    <w:sectPr w:rsidR="00F27582">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582" w:rsidRDefault="000839A6">
      <w:pPr>
        <w:spacing w:after="0" w:line="240" w:lineRule="auto"/>
      </w:pPr>
      <w:r>
        <w:separator/>
      </w:r>
    </w:p>
  </w:endnote>
  <w:endnote w:type="continuationSeparator" w:id="0">
    <w:p w:rsidR="00F27582" w:rsidRDefault="000839A6">
      <w:pPr>
        <w:spacing w:after="0" w:line="240" w:lineRule="auto"/>
      </w:pPr>
      <w:r>
        <w:continuationSeparator/>
      </w:r>
    </w:p>
  </w:endnote>
  <w:endnote w:type="continuationNotice" w:id="1">
    <w:p w:rsidR="00F27582" w:rsidRDefault="00F27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A6" w:rsidRDefault="000839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4" w:rsidRPr="00507AF4" w:rsidRDefault="00507AF4" w:rsidP="00507AF4">
    <w:pPr>
      <w:pStyle w:val="FooterCoverPage"/>
      <w:rPr>
        <w:rFonts w:ascii="Arial" w:hAnsi="Arial" w:cs="Arial"/>
        <w:b/>
        <w:sz w:val="48"/>
      </w:rPr>
    </w:pPr>
    <w:r w:rsidRPr="00507AF4">
      <w:rPr>
        <w:rFonts w:ascii="Arial" w:hAnsi="Arial" w:cs="Arial"/>
        <w:b/>
        <w:sz w:val="48"/>
      </w:rPr>
      <w:t>FR</w:t>
    </w:r>
    <w:r w:rsidRPr="00507AF4">
      <w:rPr>
        <w:rFonts w:ascii="Arial" w:hAnsi="Arial" w:cs="Arial"/>
        <w:b/>
        <w:sz w:val="48"/>
      </w:rPr>
      <w:tab/>
    </w:r>
    <w:r w:rsidRPr="00507AF4">
      <w:rPr>
        <w:rFonts w:ascii="Arial" w:hAnsi="Arial" w:cs="Arial"/>
        <w:b/>
        <w:sz w:val="48"/>
      </w:rPr>
      <w:tab/>
    </w:r>
    <w:fldSimple w:instr=" DOCVARIABLE &quot;LW_Confidence&quot; \* MERGEFORMAT ">
      <w:r w:rsidR="000839A6">
        <w:t xml:space="preserve"> </w:t>
      </w:r>
    </w:fldSimple>
    <w:r w:rsidRPr="00507AF4">
      <w:tab/>
    </w:r>
    <w:r w:rsidRPr="00507AF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A6" w:rsidRDefault="000839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82" w:rsidRDefault="00F275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257"/>
      <w:docPartObj>
        <w:docPartGallery w:val="Page Numbers (Bottom of Page)"/>
        <w:docPartUnique/>
      </w:docPartObj>
    </w:sdtPr>
    <w:sdtEndPr>
      <w:rPr>
        <w:rFonts w:ascii="Times New Roman" w:hAnsi="Times New Roman"/>
        <w:noProof/>
      </w:rPr>
    </w:sdtEndPr>
    <w:sdtContent>
      <w:p w:rsidR="00F27582" w:rsidRDefault="000839A6">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rsidR="00F27582" w:rsidRDefault="00F275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82" w:rsidRDefault="00F27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582" w:rsidRDefault="000839A6">
      <w:pPr>
        <w:spacing w:after="0" w:line="240" w:lineRule="auto"/>
      </w:pPr>
      <w:r>
        <w:separator/>
      </w:r>
    </w:p>
  </w:footnote>
  <w:footnote w:type="continuationSeparator" w:id="0">
    <w:p w:rsidR="00F27582" w:rsidRDefault="000839A6">
      <w:pPr>
        <w:spacing w:after="0" w:line="240" w:lineRule="auto"/>
      </w:pPr>
      <w:r>
        <w:continuationSeparator/>
      </w:r>
    </w:p>
  </w:footnote>
  <w:footnote w:type="continuationNotice" w:id="1">
    <w:p w:rsidR="00F27582" w:rsidRDefault="00F2758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A6" w:rsidRDefault="00083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A6" w:rsidRDefault="000839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A6" w:rsidRDefault="000839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82" w:rsidRDefault="00F275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82" w:rsidRDefault="00F275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82" w:rsidRDefault="00F275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45F6"/>
    <w:multiLevelType w:val="hybridMultilevel"/>
    <w:tmpl w:val="6F92D59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5A52FA"/>
    <w:multiLevelType w:val="hybridMultilevel"/>
    <w:tmpl w:val="1532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4C208B"/>
    <w:multiLevelType w:val="hybridMultilevel"/>
    <w:tmpl w:val="51DA8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1C4255"/>
    <w:multiLevelType w:val="hybridMultilevel"/>
    <w:tmpl w:val="F73C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108D2"/>
    <w:multiLevelType w:val="hybridMultilevel"/>
    <w:tmpl w:val="1796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6C143F"/>
    <w:multiLevelType w:val="hybridMultilevel"/>
    <w:tmpl w:val="D1368392"/>
    <w:lvl w:ilvl="0" w:tplc="0809000F">
      <w:start w:val="1"/>
      <w:numFmt w:val="decimal"/>
      <w:lvlText w:val="%1."/>
      <w:lvlJc w:val="left"/>
      <w:pPr>
        <w:ind w:left="644"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57BB5CDC"/>
    <w:multiLevelType w:val="hybridMultilevel"/>
    <w:tmpl w:val="823004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EEA110E"/>
    <w:multiLevelType w:val="hybridMultilevel"/>
    <w:tmpl w:val="F964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6344EF"/>
    <w:multiLevelType w:val="hybridMultilevel"/>
    <w:tmpl w:val="9042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DB160A"/>
    <w:multiLevelType w:val="hybridMultilevel"/>
    <w:tmpl w:val="5FAE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1E712B"/>
    <w:multiLevelType w:val="hybridMultilevel"/>
    <w:tmpl w:val="818A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5"/>
  </w:num>
  <w:num w:numId="5">
    <w:abstractNumId w:val="7"/>
  </w:num>
  <w:num w:numId="6">
    <w:abstractNumId w:val="1"/>
  </w:num>
  <w:num w:numId="7">
    <w:abstractNumId w:val="4"/>
  </w:num>
  <w:num w:numId="8">
    <w:abstractNumId w:val="10"/>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 la"/>
    <w:docVar w:name="LW_ANNEX_NBR_FIRST" w:val="5"/>
    <w:docVar w:name="LW_ANNEX_NBR_LAST" w:val="5"/>
    <w:docVar w:name="LW_CONFIDENCE" w:val=" "/>
    <w:docVar w:name="LW_CONST_RESTREINT_UE" w:val="RESTREINT UE/EU RESTRICTED"/>
    <w:docVar w:name="LW_CORRIGENDUM" w:val="&lt;UNUSED&gt;"/>
    <w:docVar w:name="LW_COVERPAGE_GUID" w:val="80F788B3BFF2442E8D8A3B101DE769B2"/>
    <w:docVar w:name="LW_CROSSREFERENCE" w:val="&lt;UNUSED&gt;"/>
    <w:docVar w:name="LW_DocType" w:val="NORMAL"/>
    <w:docVar w:name="LW_EMISSION" w:val="24.10.2017"/>
    <w:docVar w:name="LW_EMISSION_ISODATE" w:val="2017-10-24"/>
    <w:docVar w:name="LW_EMISSION_LOCATION" w:val="STR"/>
    <w:docVar w:name="LW_EMISSION_PREFIX" w:val="Strasbourg,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_x000b_Programme de travail de la Commission pour 2018_x000b__x000b_Un programme pour une Europe plus unie, plus forte et plus démocratique"/>
    <w:docVar w:name="LW_PART_NBR" w:val="1"/>
    <w:docVar w:name="LW_PART_NBR_TOTAL" w:val="1"/>
    <w:docVar w:name="LW_REF.INST.NEW" w:val="COM"/>
    <w:docVar w:name="LW_REF.INST.NEW_ADOPTED" w:val="final"/>
    <w:docVar w:name="LW_REF.INST.NEW_TEXT" w:val="(2017) 650"/>
    <w:docVar w:name="LW_REF.INTERNE" w:val="&lt;UNUSED&gt;"/>
    <w:docVar w:name="LW_SUPERTITRE" w:val="&lt;UNUSED&gt;"/>
    <w:docVar w:name="LW_TITRE.OBJ.CP" w:val="&lt;UNUSED&gt;"/>
    <w:docVar w:name="LW_TYPE.DOC.CP" w:val="ANNEXE_x000b_"/>
    <w:docVar w:name="LW_TYPEACTEPRINCIPAL.CP" w:val="COMMUNICATION DE LA COMMISSION AU PARLEMENT EUROPÉEN, AU CONSEIL, AU COMITÉ ÉCONOMIQUE ET SOCIAL EUROPÉEN ET AU COMITÉ DES RÉGIONS_x000b_"/>
  </w:docVars>
  <w:rsids>
    <w:rsidRoot w:val="00F27582"/>
    <w:rsid w:val="000839A6"/>
    <w:rsid w:val="00507AF4"/>
    <w:rsid w:val="00F2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iPriority w:val="99"/>
    <w:qFormat/>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uiPriority w:val="99"/>
    <w:rPr>
      <w:rFonts w:ascii="Times New Roman" w:eastAsia="Times New Roman" w:hAnsi="Times New Roman" w:cs="Times New Roman"/>
      <w:sz w:val="20"/>
      <w:szCs w:val="20"/>
      <w:lang w:eastAsia="fr-FR"/>
    </w:rPr>
  </w:style>
  <w:style w:type="paragraph" w:styleId="ListParagraph">
    <w:name w:val="List Paragraph"/>
    <w:basedOn w:val="Normal"/>
    <w:uiPriority w:val="34"/>
    <w:qFormat/>
    <w:pPr>
      <w:spacing w:after="0" w:line="240" w:lineRule="auto"/>
      <w:ind w:left="720"/>
    </w:pPr>
    <w:rPr>
      <w:rFonts w:cs="Calibri"/>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iPriority w:val="99"/>
    <w:qFormat/>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w:basedOn w:val="DefaultParagraphFont"/>
    <w:link w:val="FootnoteText"/>
    <w:uiPriority w:val="99"/>
    <w:rPr>
      <w:rFonts w:ascii="Times New Roman" w:eastAsia="Times New Roman" w:hAnsi="Times New Roman" w:cs="Times New Roman"/>
      <w:sz w:val="20"/>
      <w:szCs w:val="20"/>
      <w:lang w:eastAsia="fr-FR"/>
    </w:rPr>
  </w:style>
  <w:style w:type="paragraph" w:styleId="ListParagraph">
    <w:name w:val="List Paragraph"/>
    <w:basedOn w:val="Normal"/>
    <w:uiPriority w:val="34"/>
    <w:qFormat/>
    <w:pPr>
      <w:spacing w:after="0" w:line="240" w:lineRule="auto"/>
      <w:ind w:left="720"/>
    </w:pPr>
    <w:rPr>
      <w:rFonts w:cs="Calibri"/>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Times New Roman" w:hAnsi="Times New Roman"/>
      <w:noProof/>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Times New Roman" w:hAnsi="Times New Roman"/>
      <w:noProof/>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53645">
      <w:bodyDiv w:val="1"/>
      <w:marLeft w:val="0"/>
      <w:marRight w:val="0"/>
      <w:marTop w:val="0"/>
      <w:marBottom w:val="0"/>
      <w:divBdr>
        <w:top w:val="none" w:sz="0" w:space="0" w:color="auto"/>
        <w:left w:val="none" w:sz="0" w:space="0" w:color="auto"/>
        <w:bottom w:val="none" w:sz="0" w:space="0" w:color="auto"/>
        <w:right w:val="none" w:sz="0" w:space="0" w:color="auto"/>
      </w:divBdr>
    </w:div>
    <w:div w:id="1424298659">
      <w:bodyDiv w:val="1"/>
      <w:marLeft w:val="0"/>
      <w:marRight w:val="0"/>
      <w:marTop w:val="0"/>
      <w:marBottom w:val="0"/>
      <w:divBdr>
        <w:top w:val="none" w:sz="0" w:space="0" w:color="auto"/>
        <w:left w:val="none" w:sz="0" w:space="0" w:color="auto"/>
        <w:bottom w:val="none" w:sz="0" w:space="0" w:color="auto"/>
        <w:right w:val="none" w:sz="0" w:space="0" w:color="auto"/>
      </w:divBdr>
    </w:div>
    <w:div w:id="1486773933">
      <w:bodyDiv w:val="1"/>
      <w:marLeft w:val="0"/>
      <w:marRight w:val="0"/>
      <w:marTop w:val="0"/>
      <w:marBottom w:val="0"/>
      <w:divBdr>
        <w:top w:val="none" w:sz="0" w:space="0" w:color="auto"/>
        <w:left w:val="none" w:sz="0" w:space="0" w:color="auto"/>
        <w:bottom w:val="none" w:sz="0" w:space="0" w:color="auto"/>
        <w:right w:val="none" w:sz="0" w:space="0" w:color="auto"/>
      </w:divBdr>
    </w:div>
    <w:div w:id="1590656876">
      <w:bodyDiv w:val="1"/>
      <w:marLeft w:val="0"/>
      <w:marRight w:val="0"/>
      <w:marTop w:val="0"/>
      <w:marBottom w:val="0"/>
      <w:divBdr>
        <w:top w:val="none" w:sz="0" w:space="0" w:color="auto"/>
        <w:left w:val="none" w:sz="0" w:space="0" w:color="auto"/>
        <w:bottom w:val="none" w:sz="0" w:space="0" w:color="auto"/>
        <w:right w:val="none" w:sz="0" w:space="0" w:color="auto"/>
      </w:divBdr>
    </w:div>
    <w:div w:id="17962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8167-E2B1-4C04-9504-803625AA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308</Words>
  <Characters>1733</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HELLMANN Katharina (SG)</dc:creator>
  <cp:lastModifiedBy>Stefanie Heilemann</cp:lastModifiedBy>
  <cp:revision>11</cp:revision>
  <cp:lastPrinted>2017-10-24T10:54:00Z</cp:lastPrinted>
  <dcterms:created xsi:type="dcterms:W3CDTF">2017-10-24T08:12:00Z</dcterms:created>
  <dcterms:modified xsi:type="dcterms:W3CDTF">2017-10-24T10:54:00Z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