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7E" w:rsidRDefault="009D1409" w:rsidP="009D1409">
      <w:pPr>
        <w:pStyle w:val="Pagedecouverture"/>
        <w:rPr>
          <w:noProof/>
          <w:lang w:eastAsia="de-DE"/>
        </w:rPr>
      </w:pPr>
      <w:bookmarkStart w:id="0" w:name="LW_BM_COVERPAGE"/>
      <w:bookmarkStart w:id="1" w:name="_GoBack"/>
      <w:bookmarkEnd w:id="1"/>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FB62105ADE341C598FE1E016173BD0A" style="width:450.8pt;height:434.5pt">
            <v:imagedata r:id="rId9" o:title=""/>
          </v:shape>
        </w:pict>
      </w:r>
    </w:p>
    <w:bookmarkEnd w:id="0"/>
    <w:p w:rsidR="0023477E" w:rsidRDefault="0023477E">
      <w:pPr>
        <w:rPr>
          <w:noProof/>
          <w:lang w:eastAsia="de-DE"/>
        </w:rPr>
        <w:sectPr w:rsidR="0023477E" w:rsidSect="009D140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23477E" w:rsidRDefault="00AB6227">
      <w:pPr>
        <w:spacing w:after="600"/>
        <w:jc w:val="center"/>
        <w:outlineLvl w:val="0"/>
        <w:rPr>
          <w:rFonts w:ascii="Times New Roman" w:hAnsi="Times New Roman"/>
          <w:b/>
          <w:noProof/>
          <w:sz w:val="28"/>
          <w:szCs w:val="28"/>
          <w:u w:val="single"/>
          <w:lang w:eastAsia="de-DE"/>
        </w:rPr>
      </w:pPr>
      <w:r>
        <w:rPr>
          <w:rFonts w:ascii="Times New Roman" w:hAnsi="Times New Roman"/>
          <w:b/>
          <w:noProof/>
          <w:sz w:val="28"/>
          <w:szCs w:val="28"/>
          <w:u w:val="single"/>
          <w:lang w:eastAsia="de-DE"/>
        </w:rPr>
        <w:lastRenderedPageBreak/>
        <w:t>Annex I: New initiatives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513"/>
        <w:gridCol w:w="3555"/>
        <w:gridCol w:w="10106"/>
      </w:tblGrid>
      <w:tr w:rsidR="0023477E">
        <w:trPr>
          <w:cantSplit/>
          <w:tblHeader/>
        </w:trPr>
        <w:tc>
          <w:tcPr>
            <w:tcW w:w="181" w:type="pct"/>
            <w:tcBorders>
              <w:bottom w:val="single" w:sz="4" w:space="0" w:color="auto"/>
            </w:tcBorders>
            <w:shd w:val="clear" w:color="auto" w:fill="99CCFF"/>
            <w:vAlign w:val="center"/>
          </w:tcPr>
          <w:p w:rsidR="0023477E" w:rsidRDefault="00AB6227">
            <w:pPr>
              <w:spacing w:after="0"/>
              <w:jc w:val="center"/>
              <w:rPr>
                <w:rFonts w:ascii="Times New Roman" w:hAnsi="Times New Roman"/>
                <w:b/>
                <w:noProof/>
                <w:sz w:val="20"/>
                <w:szCs w:val="20"/>
              </w:rPr>
            </w:pPr>
            <w:r>
              <w:rPr>
                <w:rFonts w:ascii="Times New Roman" w:eastAsia="MS Mincho" w:hAnsi="Times New Roman"/>
                <w:b/>
                <w:bCs/>
                <w:noProof/>
                <w:sz w:val="20"/>
                <w:szCs w:val="20"/>
                <w:lang w:eastAsia="ja-JP"/>
              </w:rPr>
              <w:t>Nº</w:t>
            </w:r>
          </w:p>
        </w:tc>
        <w:tc>
          <w:tcPr>
            <w:tcW w:w="1254" w:type="pct"/>
            <w:tcBorders>
              <w:bottom w:val="single" w:sz="4" w:space="0" w:color="auto"/>
            </w:tcBorders>
            <w:shd w:val="clear" w:color="auto" w:fill="99CCFF"/>
            <w:vAlign w:val="center"/>
          </w:tcPr>
          <w:p w:rsidR="0023477E" w:rsidRDefault="00AB6227">
            <w:pPr>
              <w:spacing w:after="0"/>
              <w:jc w:val="center"/>
              <w:rPr>
                <w:rFonts w:ascii="Times New Roman" w:hAnsi="Times New Roman"/>
                <w:b/>
                <w:noProof/>
                <w:sz w:val="20"/>
                <w:szCs w:val="20"/>
              </w:rPr>
            </w:pPr>
            <w:r>
              <w:rPr>
                <w:rFonts w:ascii="Times New Roman" w:hAnsi="Times New Roman"/>
                <w:b/>
                <w:noProof/>
                <w:sz w:val="20"/>
                <w:szCs w:val="20"/>
              </w:rPr>
              <w:t>Title</w:t>
            </w:r>
          </w:p>
        </w:tc>
        <w:tc>
          <w:tcPr>
            <w:tcW w:w="3565" w:type="pct"/>
            <w:tcBorders>
              <w:bottom w:val="single" w:sz="4" w:space="0" w:color="auto"/>
            </w:tcBorders>
            <w:shd w:val="clear" w:color="auto" w:fill="99CCFF"/>
            <w:vAlign w:val="center"/>
          </w:tcPr>
          <w:p w:rsidR="0023477E" w:rsidRDefault="00AB6227">
            <w:pPr>
              <w:spacing w:after="0"/>
              <w:jc w:val="center"/>
              <w:rPr>
                <w:rFonts w:ascii="Times New Roman" w:hAnsi="Times New Roman"/>
                <w:b/>
                <w:noProof/>
                <w:sz w:val="20"/>
                <w:szCs w:val="20"/>
              </w:rPr>
            </w:pPr>
            <w:r>
              <w:rPr>
                <w:rFonts w:ascii="Times New Roman" w:hAnsi="Times New Roman"/>
                <w:b/>
                <w:noProof/>
                <w:sz w:val="20"/>
                <w:szCs w:val="20"/>
              </w:rPr>
              <w:t>Description</w:t>
            </w:r>
            <w:r>
              <w:rPr>
                <w:rStyle w:val="FootnoteReference"/>
                <w:rFonts w:ascii="Times New Roman" w:hAnsi="Times New Roman"/>
                <w:b/>
                <w:noProof/>
                <w:sz w:val="20"/>
                <w:szCs w:val="20"/>
              </w:rPr>
              <w:footnoteReference w:id="2"/>
            </w:r>
          </w:p>
        </w:tc>
      </w:tr>
      <w:tr w:rsidR="0023477E">
        <w:trPr>
          <w:cantSplit/>
        </w:trPr>
        <w:tc>
          <w:tcPr>
            <w:tcW w:w="5000" w:type="pct"/>
            <w:gridSpan w:val="3"/>
            <w:tcBorders>
              <w:top w:val="single" w:sz="4" w:space="0" w:color="auto"/>
              <w:left w:val="single" w:sz="4" w:space="0" w:color="auto"/>
              <w:bottom w:val="single" w:sz="4" w:space="0" w:color="auto"/>
            </w:tcBorders>
            <w:shd w:val="clear" w:color="auto" w:fill="92D050"/>
          </w:tcPr>
          <w:p w:rsidR="0023477E" w:rsidRDefault="00AB6227">
            <w:pPr>
              <w:spacing w:before="60" w:after="60"/>
              <w:jc w:val="both"/>
              <w:rPr>
                <w:rFonts w:ascii="Times New Roman" w:hAnsi="Times New Roman"/>
                <w:b/>
                <w:noProof/>
                <w:sz w:val="20"/>
                <w:szCs w:val="20"/>
              </w:rPr>
            </w:pPr>
            <w:r>
              <w:rPr>
                <w:rFonts w:ascii="Times New Roman" w:hAnsi="Times New Roman"/>
                <w:b/>
                <w:noProof/>
                <w:sz w:val="20"/>
                <w:szCs w:val="20"/>
              </w:rPr>
              <w:t>A New Boost for Jobs, Growth and Investment</w:t>
            </w:r>
          </w:p>
        </w:tc>
      </w:tr>
      <w:tr w:rsidR="0023477E">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Delivering on the Circular Economy Action Plan</w:t>
            </w:r>
            <w:r>
              <w:rPr>
                <w:rStyle w:val="FootnoteReference"/>
                <w:rFonts w:ascii="Times New Roman" w:hAnsi="Times New Roman"/>
                <w:b/>
                <w:noProof/>
                <w:sz w:val="20"/>
                <w:szCs w:val="20"/>
              </w:rPr>
              <w:footnoteReference w:id="3"/>
            </w:r>
          </w:p>
        </w:tc>
        <w:tc>
          <w:tcPr>
            <w:tcW w:w="3565" w:type="pct"/>
            <w:tcBorders>
              <w:top w:val="single" w:sz="4" w:space="0" w:color="auto"/>
              <w:left w:val="single" w:sz="4" w:space="0" w:color="auto"/>
              <w:bottom w:val="single" w:sz="4" w:space="0" w:color="auto"/>
            </w:tcBorders>
            <w:shd w:val="clear"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 xml:space="preserve">This includes a strategy on plastics use, reuse and recycling </w:t>
            </w:r>
            <w:r>
              <w:rPr>
                <w:rFonts w:ascii="Times New Roman" w:hAnsi="Times New Roman"/>
                <w:noProof/>
                <w:sz w:val="20"/>
                <w:szCs w:val="20"/>
              </w:rPr>
              <w:t>(non-legislative, Q4 2017)</w:t>
            </w:r>
            <w:r>
              <w:rPr>
                <w:rFonts w:ascii="Times New Roman" w:hAnsi="Times New Roman"/>
                <w:b/>
                <w:noProof/>
                <w:sz w:val="20"/>
                <w:szCs w:val="20"/>
              </w:rPr>
              <w:t xml:space="preserve">; a proposal for a Regulation on minimum quality requirements for reused water </w:t>
            </w:r>
            <w:r>
              <w:rPr>
                <w:rFonts w:ascii="Times New Roman" w:hAnsi="Times New Roman"/>
                <w:noProof/>
                <w:sz w:val="20"/>
                <w:szCs w:val="20"/>
              </w:rPr>
              <w:t xml:space="preserve">(legislative, incl. impact assessment, </w:t>
            </w:r>
            <w:r>
              <w:rPr>
                <w:rFonts w:ascii="Times New Roman" w:hAnsi="Times New Roman"/>
                <w:noProof/>
                <w:sz w:val="20"/>
                <w:szCs w:val="20"/>
              </w:rPr>
              <w:t>Art. 192 TFEU, Q4 2017)</w:t>
            </w:r>
            <w:r>
              <w:rPr>
                <w:rFonts w:ascii="Times New Roman" w:hAnsi="Times New Roman"/>
                <w:b/>
                <w:noProof/>
                <w:sz w:val="20"/>
                <w:szCs w:val="20"/>
              </w:rPr>
              <w:t xml:space="preserve">; a REFIT revision of the Drinking Water Directive </w:t>
            </w:r>
            <w:r>
              <w:rPr>
                <w:rFonts w:ascii="Times New Roman" w:hAnsi="Times New Roman"/>
                <w:noProof/>
                <w:sz w:val="20"/>
                <w:szCs w:val="20"/>
              </w:rPr>
              <w:t>(legislative, incl. impact assessment, Art. 192 TFEU, Q4 2017)</w:t>
            </w:r>
            <w:r>
              <w:rPr>
                <w:rFonts w:ascii="Times New Roman" w:hAnsi="Times New Roman"/>
                <w:b/>
                <w:noProof/>
                <w:sz w:val="20"/>
                <w:szCs w:val="20"/>
              </w:rPr>
              <w:t>; an initiative to address legal, technical or practical bottlenecks at the interface of chemical, product and waste leg</w:t>
            </w:r>
            <w:r>
              <w:rPr>
                <w:rFonts w:ascii="Times New Roman" w:hAnsi="Times New Roman"/>
                <w:b/>
                <w:noProof/>
                <w:sz w:val="20"/>
                <w:szCs w:val="20"/>
              </w:rPr>
              <w:t xml:space="preserve">islation </w:t>
            </w:r>
            <w:r>
              <w:rPr>
                <w:rFonts w:ascii="Times New Roman" w:hAnsi="Times New Roman"/>
                <w:noProof/>
                <w:sz w:val="20"/>
                <w:szCs w:val="20"/>
              </w:rPr>
              <w:t>(non-legislative, Q4 2017)</w:t>
            </w:r>
            <w:r>
              <w:rPr>
                <w:rFonts w:ascii="Times New Roman" w:hAnsi="Times New Roman"/>
                <w:b/>
                <w:noProof/>
                <w:sz w:val="20"/>
                <w:szCs w:val="20"/>
              </w:rPr>
              <w:t xml:space="preserve">; and a monitoring framework for the circular economy </w:t>
            </w:r>
            <w:r>
              <w:rPr>
                <w:rFonts w:ascii="Times New Roman" w:hAnsi="Times New Roman"/>
                <w:noProof/>
                <w:sz w:val="20"/>
                <w:szCs w:val="20"/>
              </w:rPr>
              <w:t>(non-legislative, Q4 2017)</w:t>
            </w:r>
            <w:r>
              <w:rPr>
                <w:rFonts w:ascii="Times New Roman" w:hAnsi="Times New Roman"/>
                <w:b/>
                <w:noProof/>
                <w:sz w:val="20"/>
                <w:szCs w:val="20"/>
              </w:rPr>
              <w:t xml:space="preserve"> </w:t>
            </w:r>
          </w:p>
        </w:tc>
      </w:tr>
      <w:tr w:rsidR="0023477E">
        <w:trPr>
          <w:cantSplit/>
        </w:trPr>
        <w:tc>
          <w:tcPr>
            <w:tcW w:w="181" w:type="pct"/>
            <w:tcBorders>
              <w:top w:val="single" w:sz="4" w:space="0" w:color="auto"/>
              <w:left w:val="single" w:sz="4" w:space="0" w:color="auto"/>
              <w:bottom w:val="single" w:sz="4" w:space="0" w:color="auto"/>
              <w:right w:val="single" w:sz="4" w:space="0" w:color="auto"/>
            </w:tcBorders>
            <w:shd w:val="pct25"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shd w:val="pct25"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 xml:space="preserve">Multi-annual financial framework </w:t>
            </w:r>
            <w:r>
              <w:rPr>
                <w:rFonts w:ascii="Times New Roman" w:hAnsi="Times New Roman"/>
                <w:b/>
                <w:i/>
                <w:noProof/>
                <w:sz w:val="20"/>
                <w:szCs w:val="20"/>
              </w:rPr>
              <w:t>(initiative to be launched with a 2025 perspective)</w:t>
            </w:r>
          </w:p>
        </w:tc>
        <w:tc>
          <w:tcPr>
            <w:tcW w:w="3565" w:type="pct"/>
            <w:tcBorders>
              <w:top w:val="single" w:sz="4" w:space="0" w:color="auto"/>
              <w:left w:val="single" w:sz="4" w:space="0" w:color="auto"/>
              <w:bottom w:val="single" w:sz="4" w:space="0" w:color="auto"/>
            </w:tcBorders>
            <w:shd w:val="pct25"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Comprehensive proposal for the future Multi-annual F</w:t>
            </w:r>
            <w:r>
              <w:rPr>
                <w:rFonts w:ascii="Times New Roman" w:hAnsi="Times New Roman"/>
                <w:b/>
                <w:noProof/>
                <w:sz w:val="20"/>
                <w:szCs w:val="20"/>
              </w:rPr>
              <w:t xml:space="preserve">inancial Framework beyond 2020 (Q2 2018) followed by proposals for the next generation of programmes and new own resources </w:t>
            </w:r>
            <w:r>
              <w:rPr>
                <w:rFonts w:ascii="Times New Roman" w:hAnsi="Times New Roman"/>
                <w:noProof/>
                <w:sz w:val="20"/>
                <w:szCs w:val="20"/>
              </w:rPr>
              <w:t>(legislative, incl. impact assessment, Art. 311 TFEU plus sectoral bases, Q2 2018)</w:t>
            </w:r>
          </w:p>
        </w:tc>
      </w:tr>
      <w:tr w:rsidR="0023477E">
        <w:trPr>
          <w:cantSplit/>
        </w:trPr>
        <w:tc>
          <w:tcPr>
            <w:tcW w:w="181" w:type="pct"/>
            <w:tcBorders>
              <w:top w:val="single" w:sz="4" w:space="0" w:color="auto"/>
              <w:left w:val="single" w:sz="4" w:space="0" w:color="auto"/>
              <w:bottom w:val="single" w:sz="4" w:space="0" w:color="auto"/>
              <w:right w:val="single" w:sz="4" w:space="0" w:color="auto"/>
            </w:tcBorders>
            <w:shd w:val="pct25"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shd w:val="pct25"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 xml:space="preserve">A sustainable European future </w:t>
            </w:r>
            <w:r>
              <w:rPr>
                <w:rFonts w:ascii="Times New Roman" w:hAnsi="Times New Roman"/>
                <w:b/>
                <w:i/>
                <w:noProof/>
                <w:sz w:val="20"/>
                <w:szCs w:val="20"/>
              </w:rPr>
              <w:t xml:space="preserve">(initiative to be </w:t>
            </w:r>
            <w:r>
              <w:rPr>
                <w:rFonts w:ascii="Times New Roman" w:hAnsi="Times New Roman"/>
                <w:b/>
                <w:i/>
                <w:noProof/>
                <w:sz w:val="20"/>
                <w:szCs w:val="20"/>
              </w:rPr>
              <w:t>launched with a 2025 perspective)</w:t>
            </w:r>
          </w:p>
        </w:tc>
        <w:tc>
          <w:tcPr>
            <w:tcW w:w="3565" w:type="pct"/>
            <w:tcBorders>
              <w:top w:val="single" w:sz="4" w:space="0" w:color="auto"/>
              <w:left w:val="single" w:sz="4" w:space="0" w:color="auto"/>
              <w:bottom w:val="single" w:sz="4" w:space="0" w:color="auto"/>
            </w:tcBorders>
            <w:shd w:val="pct25"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 xml:space="preserve">Reflection Paper "Towards a Sustainable Europe by 2030, on the follow-up to the UN Sustainable Development Goals, including on the Paris Agreement on Climate Change" </w:t>
            </w:r>
            <w:r>
              <w:rPr>
                <w:rFonts w:ascii="Times New Roman" w:hAnsi="Times New Roman"/>
                <w:noProof/>
                <w:sz w:val="20"/>
                <w:szCs w:val="20"/>
              </w:rPr>
              <w:t>(non-legislative, Q2 2018)</w:t>
            </w:r>
          </w:p>
        </w:tc>
      </w:tr>
      <w:tr w:rsidR="0023477E">
        <w:trPr>
          <w:cantSplit/>
        </w:trPr>
        <w:tc>
          <w:tcPr>
            <w:tcW w:w="5000" w:type="pct"/>
            <w:gridSpan w:val="3"/>
            <w:shd w:val="clear" w:color="auto" w:fill="92D050"/>
          </w:tcPr>
          <w:p w:rsidR="0023477E" w:rsidRDefault="00AB6227">
            <w:pPr>
              <w:keepNext/>
              <w:spacing w:before="60" w:after="60"/>
              <w:jc w:val="both"/>
              <w:rPr>
                <w:rFonts w:ascii="Times New Roman" w:hAnsi="Times New Roman"/>
                <w:noProof/>
                <w:sz w:val="20"/>
                <w:szCs w:val="20"/>
              </w:rPr>
            </w:pPr>
            <w:r>
              <w:rPr>
                <w:rFonts w:ascii="Times New Roman" w:hAnsi="Times New Roman"/>
                <w:b/>
                <w:noProof/>
                <w:sz w:val="20"/>
                <w:szCs w:val="20"/>
              </w:rPr>
              <w:lastRenderedPageBreak/>
              <w:t>A Connected Digital Single M</w:t>
            </w:r>
            <w:r>
              <w:rPr>
                <w:rFonts w:ascii="Times New Roman" w:hAnsi="Times New Roman"/>
                <w:b/>
                <w:noProof/>
                <w:sz w:val="20"/>
                <w:szCs w:val="20"/>
              </w:rPr>
              <w:t>arket</w:t>
            </w:r>
          </w:p>
        </w:tc>
      </w:tr>
      <w:tr w:rsidR="0023477E">
        <w:trPr>
          <w:cantSplit/>
        </w:trPr>
        <w:tc>
          <w:tcPr>
            <w:tcW w:w="181" w:type="pct"/>
            <w:tcBorders>
              <w:bottom w:val="single" w:sz="4" w:space="0" w:color="auto"/>
            </w:tcBorders>
            <w:shd w:val="clear"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23477E" w:rsidRDefault="00AB6227">
            <w:pPr>
              <w:spacing w:after="0"/>
              <w:rPr>
                <w:rFonts w:ascii="Times New Roman" w:hAnsi="Times New Roman"/>
                <w:b/>
                <w:noProof/>
                <w:sz w:val="20"/>
                <w:szCs w:val="20"/>
              </w:rPr>
            </w:pPr>
            <w:r>
              <w:rPr>
                <w:rFonts w:ascii="Times New Roman" w:hAnsi="Times New Roman"/>
                <w:b/>
                <w:noProof/>
                <w:sz w:val="20"/>
                <w:szCs w:val="20"/>
              </w:rPr>
              <w:t xml:space="preserve">Completing the Digital Single Market </w:t>
            </w:r>
          </w:p>
        </w:tc>
        <w:tc>
          <w:tcPr>
            <w:tcW w:w="3565" w:type="pct"/>
            <w:tcBorders>
              <w:bottom w:val="single" w:sz="4" w:space="0" w:color="auto"/>
            </w:tcBorders>
          </w:tcPr>
          <w:p w:rsidR="0023477E" w:rsidRDefault="00AB6227">
            <w:pPr>
              <w:jc w:val="both"/>
              <w:rPr>
                <w:rFonts w:ascii="Times New Roman" w:hAnsi="Times New Roman"/>
                <w:noProof/>
                <w:sz w:val="20"/>
                <w:szCs w:val="20"/>
              </w:rPr>
            </w:pPr>
            <w:r>
              <w:rPr>
                <w:rFonts w:ascii="Times New Roman" w:hAnsi="Times New Roman"/>
                <w:b/>
                <w:noProof/>
                <w:sz w:val="20"/>
                <w:szCs w:val="20"/>
              </w:rPr>
              <w:t xml:space="preserve">Proposal on fairness in platform-to-business relations </w:t>
            </w:r>
            <w:r>
              <w:rPr>
                <w:rFonts w:ascii="Times New Roman" w:hAnsi="Times New Roman"/>
                <w:noProof/>
                <w:sz w:val="20"/>
                <w:szCs w:val="20"/>
              </w:rPr>
              <w:t>(legislative, incl. impact assessment, Art. 114 TFEU,  Q1 2018)</w:t>
            </w:r>
            <w:r>
              <w:rPr>
                <w:rFonts w:ascii="Times New Roman" w:hAnsi="Times New Roman"/>
                <w:b/>
                <w:noProof/>
                <w:sz w:val="20"/>
                <w:szCs w:val="20"/>
              </w:rPr>
              <w:t xml:space="preserve">; an initiative addressing online platform challenges as regards the spreading of fake information </w:t>
            </w:r>
            <w:r>
              <w:rPr>
                <w:rFonts w:ascii="Times New Roman" w:hAnsi="Times New Roman"/>
                <w:noProof/>
                <w:sz w:val="20"/>
                <w:szCs w:val="20"/>
              </w:rPr>
              <w:t>(non-legislative, Q1 2018)</w:t>
            </w:r>
            <w:r>
              <w:rPr>
                <w:rFonts w:ascii="Times New Roman" w:hAnsi="Times New Roman"/>
                <w:b/>
                <w:noProof/>
                <w:sz w:val="20"/>
                <w:szCs w:val="20"/>
              </w:rPr>
              <w:t>; and a revision of the Commission guidelines on market analysis and assessment of significant market power in the electronic commu</w:t>
            </w:r>
            <w:r>
              <w:rPr>
                <w:rFonts w:ascii="Times New Roman" w:hAnsi="Times New Roman"/>
                <w:b/>
                <w:noProof/>
                <w:sz w:val="20"/>
                <w:szCs w:val="20"/>
              </w:rPr>
              <w:t xml:space="preserve">nications sector </w:t>
            </w:r>
            <w:r>
              <w:rPr>
                <w:rFonts w:ascii="Times New Roman" w:hAnsi="Times New Roman"/>
                <w:noProof/>
                <w:sz w:val="20"/>
                <w:szCs w:val="20"/>
              </w:rPr>
              <w:t>(non legislative, Q2 2018)</w:t>
            </w:r>
          </w:p>
        </w:tc>
      </w:tr>
      <w:tr w:rsidR="0023477E">
        <w:trPr>
          <w:cantSplit/>
        </w:trPr>
        <w:tc>
          <w:tcPr>
            <w:tcW w:w="5000" w:type="pct"/>
            <w:gridSpan w:val="3"/>
            <w:shd w:val="clear" w:color="auto" w:fill="92D050"/>
          </w:tcPr>
          <w:p w:rsidR="0023477E" w:rsidRDefault="00AB6227">
            <w:pPr>
              <w:spacing w:before="60" w:after="60"/>
              <w:jc w:val="both"/>
              <w:rPr>
                <w:rFonts w:ascii="Times New Roman" w:hAnsi="Times New Roman"/>
                <w:noProof/>
                <w:sz w:val="20"/>
                <w:szCs w:val="20"/>
              </w:rPr>
            </w:pPr>
            <w:r>
              <w:rPr>
                <w:rFonts w:ascii="Times New Roman" w:hAnsi="Times New Roman"/>
                <w:b/>
                <w:noProof/>
                <w:sz w:val="20"/>
                <w:szCs w:val="20"/>
              </w:rPr>
              <w:t>A Resilient Energy Union with a Forward-Looking Climate Change Policy</w:t>
            </w:r>
          </w:p>
        </w:tc>
      </w:tr>
      <w:tr w:rsidR="0023477E">
        <w:trPr>
          <w:cantSplit/>
        </w:trPr>
        <w:tc>
          <w:tcPr>
            <w:tcW w:w="181" w:type="pct"/>
            <w:tcBorders>
              <w:bottom w:val="single" w:sz="4" w:space="0" w:color="auto"/>
            </w:tcBorders>
            <w:shd w:val="clear"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23477E" w:rsidRDefault="00AB6227">
            <w:pPr>
              <w:spacing w:after="0"/>
              <w:rPr>
                <w:rFonts w:ascii="Times New Roman" w:hAnsi="Times New Roman"/>
                <w:b/>
                <w:noProof/>
                <w:sz w:val="20"/>
                <w:szCs w:val="20"/>
              </w:rPr>
            </w:pPr>
            <w:r>
              <w:rPr>
                <w:rFonts w:ascii="Times New Roman" w:hAnsi="Times New Roman"/>
                <w:b/>
                <w:noProof/>
                <w:sz w:val="20"/>
                <w:szCs w:val="20"/>
              </w:rPr>
              <w:t xml:space="preserve">Completing the Energy Union </w:t>
            </w:r>
          </w:p>
        </w:tc>
        <w:tc>
          <w:tcPr>
            <w:tcW w:w="3565" w:type="pct"/>
            <w:tcBorders>
              <w:bottom w:val="single" w:sz="4" w:space="0" w:color="auto"/>
            </w:tcBorders>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 xml:space="preserve">Follow-up to the solidarity aspect of the Energy Union, including a proposal on common rules for gas pipelines entering the European internal gas market </w:t>
            </w:r>
            <w:r>
              <w:rPr>
                <w:rFonts w:ascii="Times New Roman" w:hAnsi="Times New Roman"/>
                <w:noProof/>
                <w:sz w:val="20"/>
                <w:szCs w:val="20"/>
              </w:rPr>
              <w:t>(legislative, incl. impact assessment, Art. 194 TFEU, Q4 2017)</w:t>
            </w:r>
          </w:p>
        </w:tc>
      </w:tr>
      <w:tr w:rsidR="0023477E">
        <w:trPr>
          <w:cantSplit/>
        </w:trPr>
        <w:tc>
          <w:tcPr>
            <w:tcW w:w="181" w:type="pct"/>
            <w:tcBorders>
              <w:bottom w:val="single" w:sz="4" w:space="0" w:color="auto"/>
            </w:tcBorders>
            <w:shd w:val="pct25"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shd w:val="pct25"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Future of EU energy and climate policy</w:t>
            </w:r>
            <w:r>
              <w:rPr>
                <w:rFonts w:ascii="Times New Roman" w:hAnsi="Times New Roman"/>
                <w:b/>
                <w:noProof/>
                <w:sz w:val="20"/>
                <w:szCs w:val="20"/>
              </w:rPr>
              <w:t xml:space="preserve"> (</w:t>
            </w:r>
            <w:r>
              <w:rPr>
                <w:rFonts w:ascii="Times New Roman" w:hAnsi="Times New Roman"/>
                <w:b/>
                <w:i/>
                <w:noProof/>
                <w:sz w:val="20"/>
                <w:szCs w:val="20"/>
              </w:rPr>
              <w:t>initiative to be launched with a 2025 perspective</w:t>
            </w:r>
            <w:r>
              <w:rPr>
                <w:rFonts w:ascii="Times New Roman" w:hAnsi="Times New Roman"/>
                <w:b/>
                <w:noProof/>
                <w:sz w:val="20"/>
                <w:szCs w:val="20"/>
              </w:rPr>
              <w:t>)</w:t>
            </w:r>
          </w:p>
        </w:tc>
        <w:tc>
          <w:tcPr>
            <w:tcW w:w="3565" w:type="pct"/>
            <w:tcBorders>
              <w:bottom w:val="single" w:sz="4" w:space="0" w:color="auto"/>
            </w:tcBorders>
            <w:shd w:val="pct25"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Communication on the future of EU energy and climate policy, including the future of the Euratom Treaty (taking account of Declaration No 54 of five Member States added to the Final Act of the Lisbon Tre</w:t>
            </w:r>
            <w:r>
              <w:rPr>
                <w:rFonts w:ascii="Times New Roman" w:hAnsi="Times New Roman"/>
                <w:b/>
                <w:noProof/>
                <w:sz w:val="20"/>
                <w:szCs w:val="20"/>
              </w:rPr>
              <w:t xml:space="preserve">aty) and on the possible use of Article 192(2), second subparagraph TFEU </w:t>
            </w:r>
            <w:r>
              <w:rPr>
                <w:rFonts w:ascii="Times New Roman" w:hAnsi="Times New Roman"/>
                <w:noProof/>
                <w:sz w:val="20"/>
                <w:szCs w:val="20"/>
              </w:rPr>
              <w:t>(non legislative, Q2 2018)</w:t>
            </w:r>
          </w:p>
        </w:tc>
      </w:tr>
      <w:tr w:rsidR="0023477E">
        <w:trPr>
          <w:cantSplit/>
        </w:trPr>
        <w:tc>
          <w:tcPr>
            <w:tcW w:w="5000" w:type="pct"/>
            <w:gridSpan w:val="3"/>
            <w:tcBorders>
              <w:top w:val="single" w:sz="4" w:space="0" w:color="auto"/>
              <w:left w:val="single" w:sz="4" w:space="0" w:color="auto"/>
              <w:bottom w:val="single" w:sz="4" w:space="0" w:color="auto"/>
            </w:tcBorders>
            <w:shd w:val="clear" w:color="auto" w:fill="92D050"/>
          </w:tcPr>
          <w:p w:rsidR="0023477E" w:rsidRDefault="00AB6227">
            <w:pPr>
              <w:spacing w:before="60" w:after="60"/>
              <w:jc w:val="both"/>
              <w:rPr>
                <w:rFonts w:ascii="Times New Roman" w:hAnsi="Times New Roman"/>
                <w:b/>
                <w:noProof/>
                <w:sz w:val="20"/>
                <w:szCs w:val="20"/>
              </w:rPr>
            </w:pPr>
            <w:r>
              <w:rPr>
                <w:rFonts w:ascii="Times New Roman" w:hAnsi="Times New Roman"/>
                <w:b/>
                <w:noProof/>
                <w:sz w:val="20"/>
                <w:szCs w:val="20"/>
              </w:rPr>
              <w:t>A Deeper and Fairer Internal Market with a Strengthened Industrial Base</w:t>
            </w:r>
          </w:p>
        </w:tc>
      </w:tr>
      <w:tr w:rsidR="0023477E">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Fair taxation in the digital economy</w:t>
            </w:r>
          </w:p>
        </w:tc>
        <w:tc>
          <w:tcPr>
            <w:tcW w:w="3565" w:type="pct"/>
            <w:tcBorders>
              <w:top w:val="single" w:sz="4" w:space="0" w:color="auto"/>
              <w:left w:val="single" w:sz="4" w:space="0" w:color="auto"/>
              <w:bottom w:val="single" w:sz="4" w:space="0" w:color="auto"/>
            </w:tcBorders>
            <w:shd w:val="clear"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 xml:space="preserve">Proposal establishing rules at EU level allowing taxation of profits generated by multinationals through the digital economy </w:t>
            </w:r>
            <w:r>
              <w:rPr>
                <w:rFonts w:ascii="Times New Roman" w:hAnsi="Times New Roman"/>
                <w:noProof/>
                <w:sz w:val="20"/>
                <w:szCs w:val="20"/>
              </w:rPr>
              <w:t>(legislative, incl. impact assessment, Art. 113, 115 TFEU, Q1 2018)</w:t>
            </w:r>
          </w:p>
        </w:tc>
      </w:tr>
      <w:tr w:rsidR="0023477E">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Social fairness package</w:t>
            </w:r>
          </w:p>
        </w:tc>
        <w:tc>
          <w:tcPr>
            <w:tcW w:w="3565" w:type="pct"/>
            <w:tcBorders>
              <w:top w:val="single" w:sz="4" w:space="0" w:color="auto"/>
              <w:left w:val="single" w:sz="4" w:space="0" w:color="auto"/>
              <w:bottom w:val="single" w:sz="4" w:space="0" w:color="auto"/>
            </w:tcBorders>
            <w:shd w:val="clear"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Proposal to establish a European Labo</w:t>
            </w:r>
            <w:r>
              <w:rPr>
                <w:rFonts w:ascii="Times New Roman" w:hAnsi="Times New Roman"/>
                <w:b/>
                <w:noProof/>
                <w:sz w:val="20"/>
                <w:szCs w:val="20"/>
              </w:rPr>
              <w:t xml:space="preserve">ur Authority (legislative; Q2 2018); an initiative on access to social protection for atypical self-employed workers </w:t>
            </w:r>
            <w:r>
              <w:rPr>
                <w:rFonts w:ascii="Times New Roman" w:hAnsi="Times New Roman"/>
                <w:noProof/>
                <w:sz w:val="20"/>
                <w:szCs w:val="20"/>
              </w:rPr>
              <w:t>(legislative/non-legislative, Art. 153-155, 352 TFEU, Q2 2018)</w:t>
            </w:r>
            <w:r>
              <w:rPr>
                <w:rFonts w:ascii="Times New Roman" w:hAnsi="Times New Roman"/>
                <w:b/>
                <w:noProof/>
                <w:sz w:val="20"/>
                <w:szCs w:val="20"/>
              </w:rPr>
              <w:t>; an initiative on a European Social Security Number that could be used acros</w:t>
            </w:r>
            <w:r>
              <w:rPr>
                <w:rFonts w:ascii="Times New Roman" w:hAnsi="Times New Roman"/>
                <w:b/>
                <w:noProof/>
                <w:sz w:val="20"/>
                <w:szCs w:val="20"/>
              </w:rPr>
              <w:t xml:space="preserve">s policy areas where appropriate </w:t>
            </w:r>
            <w:r>
              <w:rPr>
                <w:rFonts w:ascii="Times New Roman" w:hAnsi="Times New Roman"/>
                <w:noProof/>
                <w:sz w:val="20"/>
                <w:szCs w:val="20"/>
              </w:rPr>
              <w:t xml:space="preserve">(legislative, incl. impact assessment, Q2 2018); </w:t>
            </w:r>
            <w:r>
              <w:rPr>
                <w:rFonts w:ascii="Times New Roman" w:hAnsi="Times New Roman"/>
                <w:b/>
                <w:noProof/>
                <w:sz w:val="20"/>
                <w:szCs w:val="20"/>
              </w:rPr>
              <w:t>a REFIT revision of the Written Statement Directive establishing the employer's obligation to inform employees of the conditions applicable to the contract or employment rela</w:t>
            </w:r>
            <w:r>
              <w:rPr>
                <w:rFonts w:ascii="Times New Roman" w:hAnsi="Times New Roman"/>
                <w:b/>
                <w:noProof/>
                <w:sz w:val="20"/>
                <w:szCs w:val="20"/>
              </w:rPr>
              <w:t>tionship</w:t>
            </w:r>
            <w:r>
              <w:rPr>
                <w:rFonts w:ascii="Times New Roman" w:hAnsi="Times New Roman"/>
                <w:noProof/>
                <w:sz w:val="20"/>
                <w:szCs w:val="20"/>
              </w:rPr>
              <w:t xml:space="preserve"> (legislative, incl. impact assessment/non-legislative, Art 153, 154 TFEU, Q4 2017)</w:t>
            </w:r>
          </w:p>
        </w:tc>
      </w:tr>
      <w:tr w:rsidR="0023477E">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 xml:space="preserve">EU food supply chain </w:t>
            </w:r>
          </w:p>
        </w:tc>
        <w:tc>
          <w:tcPr>
            <w:tcW w:w="3565" w:type="pct"/>
            <w:tcBorders>
              <w:top w:val="single" w:sz="4" w:space="0" w:color="auto"/>
              <w:left w:val="single" w:sz="4" w:space="0" w:color="auto"/>
              <w:bottom w:val="single" w:sz="4" w:space="0" w:color="auto"/>
            </w:tcBorders>
            <w:shd w:val="clear"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 xml:space="preserve">Proposal to improve the EU food supply chain </w:t>
            </w:r>
            <w:r>
              <w:rPr>
                <w:rFonts w:ascii="Times New Roman" w:hAnsi="Times New Roman"/>
                <w:noProof/>
                <w:sz w:val="20"/>
                <w:szCs w:val="20"/>
              </w:rPr>
              <w:t>(legislative, incl. impact assessment, Art. 42 and 43 TFEU, Q1 2018)</w:t>
            </w:r>
          </w:p>
        </w:tc>
      </w:tr>
      <w:tr w:rsidR="0023477E">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 xml:space="preserve">Completing the Capital Markets Union </w:t>
            </w:r>
          </w:p>
        </w:tc>
        <w:tc>
          <w:tcPr>
            <w:tcW w:w="3565" w:type="pct"/>
            <w:tcBorders>
              <w:top w:val="single" w:sz="4" w:space="0" w:color="auto"/>
              <w:left w:val="single" w:sz="4" w:space="0" w:color="auto"/>
              <w:bottom w:val="single" w:sz="4" w:space="0" w:color="auto"/>
            </w:tcBorders>
            <w:shd w:val="clear"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 xml:space="preserve">A revised framework for investment firms </w:t>
            </w:r>
            <w:r>
              <w:rPr>
                <w:rFonts w:ascii="Times New Roman" w:hAnsi="Times New Roman"/>
                <w:noProof/>
                <w:sz w:val="20"/>
                <w:szCs w:val="20"/>
              </w:rPr>
              <w:t>(legislative, incl. impact assessment, Art. 114 TFEU, Q4/2017)</w:t>
            </w:r>
            <w:r>
              <w:rPr>
                <w:rFonts w:ascii="Times New Roman" w:hAnsi="Times New Roman"/>
                <w:b/>
                <w:noProof/>
                <w:sz w:val="20"/>
                <w:szCs w:val="20"/>
              </w:rPr>
              <w:t xml:space="preserve">; an Action Plan on sustainable finance with regulatory measures </w:t>
            </w:r>
            <w:r>
              <w:rPr>
                <w:rFonts w:ascii="Times New Roman" w:hAnsi="Times New Roman"/>
                <w:noProof/>
                <w:sz w:val="20"/>
                <w:szCs w:val="20"/>
              </w:rPr>
              <w:t>(legislative, incl. impact assessment/non legislat</w:t>
            </w:r>
            <w:r>
              <w:rPr>
                <w:rFonts w:ascii="Times New Roman" w:hAnsi="Times New Roman"/>
                <w:noProof/>
                <w:sz w:val="20"/>
                <w:szCs w:val="20"/>
              </w:rPr>
              <w:t>ive, Q1 2018)</w:t>
            </w:r>
            <w:r>
              <w:rPr>
                <w:rFonts w:ascii="Times New Roman" w:hAnsi="Times New Roman"/>
                <w:b/>
                <w:noProof/>
                <w:sz w:val="20"/>
                <w:szCs w:val="20"/>
              </w:rPr>
              <w:t xml:space="preserve">; an initative on Financial Technology (FinTech) </w:t>
            </w:r>
            <w:r>
              <w:rPr>
                <w:rFonts w:ascii="Times New Roman" w:hAnsi="Times New Roman"/>
                <w:noProof/>
                <w:sz w:val="20"/>
                <w:szCs w:val="20"/>
              </w:rPr>
              <w:t>(non legislative, Q1 2018)</w:t>
            </w:r>
            <w:r>
              <w:rPr>
                <w:rFonts w:ascii="Times New Roman" w:hAnsi="Times New Roman"/>
                <w:b/>
                <w:noProof/>
                <w:sz w:val="20"/>
                <w:szCs w:val="20"/>
              </w:rPr>
              <w:t xml:space="preserve">; a proposal for an EU framework on crowd and peer to peer finance </w:t>
            </w:r>
            <w:r>
              <w:rPr>
                <w:rFonts w:ascii="Times New Roman" w:hAnsi="Times New Roman"/>
                <w:noProof/>
                <w:sz w:val="20"/>
                <w:szCs w:val="20"/>
              </w:rPr>
              <w:t>(legislative, incl. impact assessment, Art. 114 TFEU, Q1 2018)</w:t>
            </w:r>
            <w:r>
              <w:rPr>
                <w:rFonts w:ascii="Times New Roman" w:hAnsi="Times New Roman"/>
                <w:b/>
                <w:noProof/>
                <w:sz w:val="20"/>
                <w:szCs w:val="20"/>
              </w:rPr>
              <w:t>; a European enabling framework for cov</w:t>
            </w:r>
            <w:r>
              <w:rPr>
                <w:rFonts w:ascii="Times New Roman" w:hAnsi="Times New Roman"/>
                <w:b/>
                <w:noProof/>
                <w:sz w:val="20"/>
                <w:szCs w:val="20"/>
              </w:rPr>
              <w:t xml:space="preserve">ered bonds </w:t>
            </w:r>
            <w:r>
              <w:rPr>
                <w:rFonts w:ascii="Times New Roman" w:hAnsi="Times New Roman"/>
                <w:noProof/>
                <w:sz w:val="20"/>
                <w:szCs w:val="20"/>
              </w:rPr>
              <w:t>(legislative, incl. impact assessment, Art. 114 TFEU, Q1 2018)</w:t>
            </w:r>
            <w:r>
              <w:rPr>
                <w:rFonts w:ascii="Times New Roman" w:hAnsi="Times New Roman"/>
                <w:b/>
                <w:noProof/>
                <w:sz w:val="20"/>
                <w:szCs w:val="20"/>
              </w:rPr>
              <w:t xml:space="preserve">; and a REFIT initiative on reducing barriers to cross-border distribution of alternative investment funds and UCITS </w:t>
            </w:r>
            <w:r>
              <w:rPr>
                <w:rFonts w:ascii="Times New Roman" w:hAnsi="Times New Roman"/>
                <w:noProof/>
                <w:sz w:val="20"/>
                <w:szCs w:val="20"/>
              </w:rPr>
              <w:t>(legislative, incl. impact assessment, Art. 114 TFEU, Q1 2018)</w:t>
            </w:r>
          </w:p>
        </w:tc>
      </w:tr>
      <w:tr w:rsidR="0023477E">
        <w:trPr>
          <w:cantSplit/>
        </w:trPr>
        <w:tc>
          <w:tcPr>
            <w:tcW w:w="18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3477E" w:rsidRDefault="00AB6227">
            <w:pPr>
              <w:spacing w:after="0"/>
              <w:rPr>
                <w:rFonts w:ascii="Times New Roman" w:hAnsi="Times New Roman"/>
                <w:b/>
                <w:noProof/>
                <w:sz w:val="20"/>
                <w:szCs w:val="20"/>
              </w:rPr>
            </w:pPr>
            <w:r>
              <w:rPr>
                <w:rFonts w:ascii="Times New Roman" w:hAnsi="Times New Roman"/>
                <w:b/>
                <w:noProof/>
                <w:sz w:val="20"/>
                <w:szCs w:val="20"/>
              </w:rPr>
              <w:t>M</w:t>
            </w:r>
            <w:r>
              <w:rPr>
                <w:rFonts w:ascii="Times New Roman" w:hAnsi="Times New Roman"/>
                <w:b/>
                <w:noProof/>
                <w:sz w:val="20"/>
                <w:szCs w:val="20"/>
              </w:rPr>
              <w:t>ore efficient Single Market law-making (</w:t>
            </w:r>
            <w:r>
              <w:rPr>
                <w:rFonts w:ascii="Times New Roman" w:hAnsi="Times New Roman"/>
                <w:b/>
                <w:i/>
                <w:noProof/>
                <w:sz w:val="20"/>
                <w:szCs w:val="20"/>
              </w:rPr>
              <w:t>initiative to be launched with a 2025 perspective</w:t>
            </w:r>
            <w:r>
              <w:rPr>
                <w:rFonts w:ascii="Times New Roman" w:hAnsi="Times New Roman"/>
                <w:b/>
                <w:noProof/>
                <w:sz w:val="20"/>
                <w:szCs w:val="20"/>
              </w:rPr>
              <w:t>)</w:t>
            </w:r>
          </w:p>
        </w:tc>
        <w:tc>
          <w:tcPr>
            <w:tcW w:w="3565" w:type="pct"/>
            <w:tcBorders>
              <w:top w:val="single" w:sz="4" w:space="0" w:color="auto"/>
              <w:left w:val="single" w:sz="4" w:space="0" w:color="auto"/>
              <w:bottom w:val="single" w:sz="4" w:space="0" w:color="auto"/>
            </w:tcBorders>
            <w:shd w:val="clear" w:color="auto" w:fill="BFBFBF" w:themeFill="background1" w:themeFillShade="BF"/>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Communication on the possibility of further enhancing the use of qualified majority voting and of the ordinary legislative procedure in internal market matters on th</w:t>
            </w:r>
            <w:r>
              <w:rPr>
                <w:rFonts w:ascii="Times New Roman" w:hAnsi="Times New Roman"/>
                <w:b/>
                <w:noProof/>
                <w:sz w:val="20"/>
                <w:szCs w:val="20"/>
              </w:rPr>
              <w:t xml:space="preserve">e basis of Article 48(7) TEU </w:t>
            </w:r>
            <w:r>
              <w:rPr>
                <w:rFonts w:ascii="Times New Roman" w:hAnsi="Times New Roman"/>
                <w:noProof/>
                <w:sz w:val="20"/>
                <w:szCs w:val="20"/>
              </w:rPr>
              <w:t>(non-legislative, Q3 2018)</w:t>
            </w:r>
          </w:p>
        </w:tc>
      </w:tr>
      <w:tr w:rsidR="0023477E">
        <w:trPr>
          <w:cantSplit/>
        </w:trPr>
        <w:tc>
          <w:tcPr>
            <w:tcW w:w="5000" w:type="pct"/>
            <w:gridSpan w:val="3"/>
            <w:shd w:val="clear" w:color="auto" w:fill="92D050"/>
          </w:tcPr>
          <w:p w:rsidR="0023477E" w:rsidRDefault="00AB6227">
            <w:pPr>
              <w:spacing w:before="60" w:after="60"/>
              <w:jc w:val="both"/>
              <w:rPr>
                <w:rFonts w:ascii="Times New Roman" w:hAnsi="Times New Roman"/>
                <w:b/>
                <w:noProof/>
                <w:sz w:val="20"/>
                <w:szCs w:val="20"/>
              </w:rPr>
            </w:pPr>
            <w:r>
              <w:rPr>
                <w:rFonts w:ascii="Times New Roman" w:hAnsi="Times New Roman"/>
                <w:noProof/>
              </w:rPr>
              <w:br w:type="page"/>
            </w:r>
            <w:r>
              <w:rPr>
                <w:rFonts w:ascii="Times New Roman" w:hAnsi="Times New Roman"/>
                <w:b/>
                <w:noProof/>
                <w:sz w:val="20"/>
                <w:szCs w:val="20"/>
              </w:rPr>
              <w:t>A Deeper and Fairer Economic and Monetary Union</w:t>
            </w:r>
          </w:p>
        </w:tc>
      </w:tr>
      <w:tr w:rsidR="0023477E">
        <w:trPr>
          <w:cantSplit/>
        </w:trPr>
        <w:tc>
          <w:tcPr>
            <w:tcW w:w="181" w:type="pct"/>
            <w:tcBorders>
              <w:bottom w:val="single" w:sz="4" w:space="0" w:color="auto"/>
            </w:tcBorders>
            <w:shd w:val="clear"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23477E" w:rsidRDefault="00AB6227">
            <w:pPr>
              <w:spacing w:after="0"/>
              <w:rPr>
                <w:rFonts w:ascii="Times New Roman" w:hAnsi="Times New Roman"/>
                <w:b/>
                <w:noProof/>
                <w:sz w:val="20"/>
                <w:szCs w:val="20"/>
              </w:rPr>
            </w:pPr>
            <w:r>
              <w:rPr>
                <w:rFonts w:ascii="Times New Roman" w:hAnsi="Times New Roman"/>
                <w:b/>
                <w:noProof/>
                <w:sz w:val="20"/>
                <w:szCs w:val="20"/>
              </w:rPr>
              <w:t>Completing the Economic and Monetary Union</w:t>
            </w:r>
          </w:p>
        </w:tc>
        <w:tc>
          <w:tcPr>
            <w:tcW w:w="3565" w:type="pct"/>
            <w:tcBorders>
              <w:bottom w:val="single" w:sz="4" w:space="0" w:color="auto"/>
            </w:tcBorders>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 xml:space="preserve">Proposals for the transformation of the European Stability Mechanism into a European Monetary Fund within EU law </w:t>
            </w:r>
            <w:r>
              <w:rPr>
                <w:rFonts w:ascii="Times New Roman" w:hAnsi="Times New Roman"/>
                <w:noProof/>
                <w:sz w:val="20"/>
                <w:szCs w:val="20"/>
              </w:rPr>
              <w:t>(legislative, Q4 2017)</w:t>
            </w:r>
            <w:r>
              <w:rPr>
                <w:rFonts w:ascii="Times New Roman" w:hAnsi="Times New Roman"/>
                <w:b/>
                <w:noProof/>
                <w:sz w:val="20"/>
                <w:szCs w:val="20"/>
              </w:rPr>
              <w:t>; the creation of a dedicated euro area budget line within the EU budget providing for four functions: (1) structural ref</w:t>
            </w:r>
            <w:r>
              <w:rPr>
                <w:rFonts w:ascii="Times New Roman" w:hAnsi="Times New Roman"/>
                <w:b/>
                <w:noProof/>
                <w:sz w:val="20"/>
                <w:szCs w:val="20"/>
              </w:rPr>
              <w:t xml:space="preserve">orm assistance, (2) a stabilisation function, (3) a backstop for the Banking Union, and (4) a convergence instrument to give pre-accession assistance to Member States on their way to euro membership </w:t>
            </w:r>
            <w:r>
              <w:rPr>
                <w:rFonts w:ascii="Times New Roman" w:hAnsi="Times New Roman"/>
                <w:noProof/>
                <w:sz w:val="20"/>
                <w:szCs w:val="20"/>
              </w:rPr>
              <w:t>(non-legislative, Q4 2017)</w:t>
            </w:r>
            <w:r>
              <w:rPr>
                <w:rFonts w:ascii="Times New Roman" w:hAnsi="Times New Roman"/>
                <w:b/>
                <w:noProof/>
                <w:sz w:val="20"/>
                <w:szCs w:val="20"/>
              </w:rPr>
              <w:t>; and the integration of the su</w:t>
            </w:r>
            <w:r>
              <w:rPr>
                <w:rFonts w:ascii="Times New Roman" w:hAnsi="Times New Roman"/>
                <w:b/>
                <w:noProof/>
                <w:sz w:val="20"/>
                <w:szCs w:val="20"/>
              </w:rPr>
              <w:t xml:space="preserve">bstance of the Treaty on Stability, Coordination and Governance in the Economic and Monetary Union into EU law, taking into account the flexibility built into the Stability and Growth Pact and identified by the Commission since January 2015  </w:t>
            </w:r>
            <w:r>
              <w:rPr>
                <w:rFonts w:ascii="Times New Roman" w:hAnsi="Times New Roman"/>
                <w:noProof/>
                <w:sz w:val="20"/>
                <w:szCs w:val="20"/>
              </w:rPr>
              <w:t xml:space="preserve">(legislative, </w:t>
            </w:r>
            <w:r>
              <w:rPr>
                <w:rFonts w:ascii="Times New Roman" w:hAnsi="Times New Roman"/>
                <w:noProof/>
                <w:sz w:val="20"/>
                <w:szCs w:val="20"/>
              </w:rPr>
              <w:t>Q4 2017)</w:t>
            </w:r>
          </w:p>
        </w:tc>
      </w:tr>
      <w:tr w:rsidR="0023477E">
        <w:trPr>
          <w:cantSplit/>
        </w:trPr>
        <w:tc>
          <w:tcPr>
            <w:tcW w:w="181" w:type="pct"/>
            <w:tcBorders>
              <w:bottom w:val="single" w:sz="4" w:space="0" w:color="auto"/>
            </w:tcBorders>
            <w:shd w:val="clear"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23477E" w:rsidRDefault="00AB6227">
            <w:pPr>
              <w:spacing w:after="0"/>
              <w:rPr>
                <w:rFonts w:ascii="Times New Roman" w:hAnsi="Times New Roman"/>
                <w:b/>
                <w:noProof/>
                <w:sz w:val="20"/>
                <w:szCs w:val="20"/>
              </w:rPr>
            </w:pPr>
            <w:r>
              <w:rPr>
                <w:rFonts w:ascii="Times New Roman" w:hAnsi="Times New Roman"/>
                <w:b/>
                <w:noProof/>
                <w:sz w:val="20"/>
                <w:szCs w:val="20"/>
              </w:rPr>
              <w:t xml:space="preserve">Completing the Banking Union </w:t>
            </w:r>
          </w:p>
        </w:tc>
        <w:tc>
          <w:tcPr>
            <w:tcW w:w="3565" w:type="pct"/>
            <w:tcBorders>
              <w:bottom w:val="single" w:sz="4" w:space="0" w:color="auto"/>
            </w:tcBorders>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Proposals on the development of secondary markets for non-performing loans</w:t>
            </w:r>
            <w:r>
              <w:rPr>
                <w:rFonts w:ascii="Times New Roman" w:hAnsi="Times New Roman"/>
                <w:noProof/>
                <w:sz w:val="20"/>
                <w:szCs w:val="20"/>
              </w:rPr>
              <w:t xml:space="preserve"> (legislative, incl. impact assessment, Art. 114 TFEU, Q1 2018)</w:t>
            </w:r>
            <w:r>
              <w:rPr>
                <w:rFonts w:ascii="Times New Roman" w:hAnsi="Times New Roman"/>
                <w:b/>
                <w:noProof/>
                <w:sz w:val="20"/>
                <w:szCs w:val="20"/>
              </w:rPr>
              <w:t xml:space="preserve">; protection of secured creditors from business borrowers' default </w:t>
            </w:r>
            <w:r>
              <w:rPr>
                <w:rFonts w:ascii="Times New Roman" w:hAnsi="Times New Roman"/>
                <w:noProof/>
                <w:sz w:val="20"/>
                <w:szCs w:val="20"/>
              </w:rPr>
              <w:t>(legislativ</w:t>
            </w:r>
            <w:r>
              <w:rPr>
                <w:rFonts w:ascii="Times New Roman" w:hAnsi="Times New Roman"/>
                <w:noProof/>
                <w:sz w:val="20"/>
                <w:szCs w:val="20"/>
              </w:rPr>
              <w:t>e, incl. impact assessment, Art. 114 TFEU, Q1 2018)</w:t>
            </w:r>
            <w:r>
              <w:rPr>
                <w:rFonts w:ascii="Times New Roman" w:hAnsi="Times New Roman"/>
                <w:b/>
                <w:noProof/>
                <w:sz w:val="20"/>
                <w:szCs w:val="20"/>
              </w:rPr>
              <w:t xml:space="preserve">; and an enabling framework for the development of EU Sovereign Bond-backed Securities </w:t>
            </w:r>
            <w:r>
              <w:rPr>
                <w:rFonts w:ascii="Times New Roman" w:hAnsi="Times New Roman"/>
                <w:noProof/>
                <w:sz w:val="20"/>
                <w:szCs w:val="20"/>
              </w:rPr>
              <w:t>(legislative, incl. impact assessment, Art. 114 TFEU, Q1 2018)</w:t>
            </w:r>
            <w:r>
              <w:rPr>
                <w:rFonts w:ascii="Times New Roman" w:hAnsi="Times New Roman"/>
                <w:b/>
                <w:noProof/>
                <w:sz w:val="20"/>
                <w:szCs w:val="20"/>
              </w:rPr>
              <w:t xml:space="preserve"> </w:t>
            </w:r>
          </w:p>
        </w:tc>
      </w:tr>
      <w:tr w:rsidR="0023477E">
        <w:trPr>
          <w:cantSplit/>
        </w:trPr>
        <w:tc>
          <w:tcPr>
            <w:tcW w:w="181" w:type="pct"/>
            <w:tcBorders>
              <w:bottom w:val="single" w:sz="4" w:space="0" w:color="auto"/>
            </w:tcBorders>
            <w:shd w:val="pct25"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shd w:val="pct25"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Creation of a permanent and accountable European Min</w:t>
            </w:r>
            <w:r>
              <w:rPr>
                <w:rFonts w:ascii="Times New Roman" w:hAnsi="Times New Roman"/>
                <w:b/>
                <w:noProof/>
                <w:sz w:val="20"/>
                <w:szCs w:val="20"/>
              </w:rPr>
              <w:t>ister of Economy and Finance</w:t>
            </w:r>
            <w:r>
              <w:rPr>
                <w:rFonts w:ascii="Times New Roman" w:hAnsi="Times New Roman"/>
                <w:b/>
                <w:i/>
                <w:noProof/>
                <w:sz w:val="20"/>
                <w:szCs w:val="20"/>
              </w:rPr>
              <w:t xml:space="preserve"> (initiative to be launched with a 2025 perspective</w:t>
            </w:r>
            <w:r>
              <w:rPr>
                <w:rFonts w:ascii="Times New Roman" w:hAnsi="Times New Roman"/>
                <w:b/>
                <w:noProof/>
                <w:sz w:val="20"/>
                <w:szCs w:val="20"/>
              </w:rPr>
              <w:t>)</w:t>
            </w:r>
          </w:p>
        </w:tc>
        <w:tc>
          <w:tcPr>
            <w:tcW w:w="3565" w:type="pct"/>
            <w:tcBorders>
              <w:bottom w:val="single" w:sz="4" w:space="0" w:color="auto"/>
            </w:tcBorders>
            <w:shd w:val="pct25"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 xml:space="preserve">Communication on the possible creation of a permanent European Minister of Economy and Finance who is democratically accountable </w:t>
            </w:r>
            <w:r>
              <w:rPr>
                <w:rFonts w:ascii="Times New Roman" w:hAnsi="Times New Roman"/>
                <w:noProof/>
                <w:sz w:val="20"/>
                <w:szCs w:val="20"/>
              </w:rPr>
              <w:t>(non-legislative, Q4 2017)</w:t>
            </w:r>
          </w:p>
        </w:tc>
      </w:tr>
      <w:tr w:rsidR="0023477E">
        <w:trPr>
          <w:cantSplit/>
        </w:trPr>
        <w:tc>
          <w:tcPr>
            <w:tcW w:w="5000" w:type="pct"/>
            <w:gridSpan w:val="3"/>
            <w:tcBorders>
              <w:bottom w:val="single" w:sz="4" w:space="0" w:color="auto"/>
            </w:tcBorders>
            <w:shd w:val="clear" w:color="auto" w:fill="92D050"/>
          </w:tcPr>
          <w:p w:rsidR="0023477E" w:rsidRDefault="00AB6227">
            <w:pPr>
              <w:keepNext/>
              <w:spacing w:before="60" w:after="60"/>
              <w:jc w:val="both"/>
              <w:rPr>
                <w:rFonts w:ascii="Times New Roman" w:hAnsi="Times New Roman"/>
                <w:noProof/>
                <w:sz w:val="20"/>
                <w:szCs w:val="20"/>
              </w:rPr>
            </w:pPr>
            <w:r>
              <w:rPr>
                <w:rFonts w:ascii="Times New Roman" w:hAnsi="Times New Roman"/>
                <w:b/>
                <w:noProof/>
                <w:sz w:val="20"/>
                <w:szCs w:val="20"/>
              </w:rPr>
              <w:t xml:space="preserve">Trade: A balanced </w:t>
            </w:r>
            <w:r>
              <w:rPr>
                <w:rFonts w:ascii="Times New Roman" w:hAnsi="Times New Roman"/>
                <w:b/>
                <w:noProof/>
                <w:sz w:val="20"/>
                <w:szCs w:val="20"/>
              </w:rPr>
              <w:t>and progressive trade policy to harness globalisation</w:t>
            </w:r>
          </w:p>
        </w:tc>
      </w:tr>
      <w:tr w:rsidR="0023477E">
        <w:trPr>
          <w:cantSplit/>
        </w:trPr>
        <w:tc>
          <w:tcPr>
            <w:tcW w:w="181" w:type="pct"/>
            <w:tcBorders>
              <w:bottom w:val="single" w:sz="4" w:space="0" w:color="auto"/>
            </w:tcBorders>
            <w:shd w:val="clear" w:color="auto" w:fill="auto"/>
          </w:tcPr>
          <w:p w:rsidR="0023477E" w:rsidRDefault="0023477E">
            <w:pPr>
              <w:pStyle w:val="ListParagraph"/>
              <w:numPr>
                <w:ilvl w:val="0"/>
                <w:numId w:val="1"/>
              </w:numPr>
              <w:spacing w:before="60" w:after="60"/>
              <w:rPr>
                <w:rFonts w:ascii="Times New Roman" w:hAnsi="Times New Roman"/>
                <w:noProof/>
                <w:sz w:val="20"/>
                <w:szCs w:val="20"/>
              </w:rPr>
            </w:pPr>
          </w:p>
        </w:tc>
        <w:tc>
          <w:tcPr>
            <w:tcW w:w="1254" w:type="pct"/>
            <w:tcBorders>
              <w:bottom w:val="single" w:sz="4" w:space="0" w:color="auto"/>
            </w:tcBorders>
            <w:shd w:val="clear" w:color="auto" w:fill="auto"/>
          </w:tcPr>
          <w:p w:rsidR="0023477E" w:rsidRDefault="00AB6227">
            <w:pPr>
              <w:spacing w:before="60" w:after="60"/>
              <w:rPr>
                <w:rFonts w:ascii="Times New Roman" w:hAnsi="Times New Roman"/>
                <w:b/>
                <w:noProof/>
                <w:sz w:val="20"/>
                <w:szCs w:val="20"/>
              </w:rPr>
            </w:pPr>
            <w:r>
              <w:rPr>
                <w:rFonts w:ascii="Times New Roman" w:hAnsi="Times New Roman"/>
                <w:b/>
                <w:noProof/>
                <w:sz w:val="20"/>
                <w:szCs w:val="20"/>
              </w:rPr>
              <w:t>Delivering on the Trade for All Strategy</w:t>
            </w:r>
          </w:p>
        </w:tc>
        <w:tc>
          <w:tcPr>
            <w:tcW w:w="3565" w:type="pct"/>
            <w:tcBorders>
              <w:bottom w:val="single" w:sz="4" w:space="0" w:color="auto"/>
            </w:tcBorders>
            <w:shd w:val="clear" w:color="auto" w:fill="auto"/>
          </w:tcPr>
          <w:p w:rsidR="0023477E" w:rsidRDefault="00AB6227">
            <w:pPr>
              <w:spacing w:before="60" w:after="60"/>
              <w:jc w:val="both"/>
              <w:rPr>
                <w:rFonts w:ascii="Times New Roman" w:hAnsi="Times New Roman"/>
                <w:b/>
                <w:noProof/>
                <w:sz w:val="20"/>
                <w:szCs w:val="20"/>
              </w:rPr>
            </w:pPr>
            <w:r>
              <w:rPr>
                <w:rFonts w:ascii="Times New Roman" w:hAnsi="Times New Roman"/>
                <w:b/>
                <w:noProof/>
                <w:sz w:val="20"/>
                <w:szCs w:val="20"/>
              </w:rPr>
              <w:t xml:space="preserve">Finalising agreements with Japan, Singapore and Vietnam, pursuing negotiations with Mexico and Mercosur and advancing negotiations with Australia and New </w:t>
            </w:r>
            <w:r>
              <w:rPr>
                <w:rFonts w:ascii="Times New Roman" w:hAnsi="Times New Roman"/>
                <w:b/>
                <w:noProof/>
                <w:sz w:val="20"/>
                <w:szCs w:val="20"/>
              </w:rPr>
              <w:t>Zealand once the Council will have approved the mandates recommended by the Commission</w:t>
            </w:r>
          </w:p>
        </w:tc>
      </w:tr>
      <w:tr w:rsidR="0023477E">
        <w:trPr>
          <w:cantSplit/>
        </w:trPr>
        <w:tc>
          <w:tcPr>
            <w:tcW w:w="5000" w:type="pct"/>
            <w:gridSpan w:val="3"/>
            <w:tcBorders>
              <w:bottom w:val="single" w:sz="4" w:space="0" w:color="auto"/>
            </w:tcBorders>
            <w:shd w:val="clear" w:color="auto" w:fill="92D050"/>
          </w:tcPr>
          <w:p w:rsidR="0023477E" w:rsidRDefault="00AB6227">
            <w:pPr>
              <w:spacing w:before="60" w:after="60"/>
              <w:jc w:val="both"/>
              <w:rPr>
                <w:rFonts w:ascii="Times New Roman" w:hAnsi="Times New Roman"/>
                <w:noProof/>
                <w:sz w:val="20"/>
                <w:szCs w:val="20"/>
              </w:rPr>
            </w:pPr>
            <w:r>
              <w:rPr>
                <w:rFonts w:ascii="Times New Roman" w:hAnsi="Times New Roman"/>
                <w:b/>
                <w:noProof/>
                <w:sz w:val="20"/>
                <w:szCs w:val="20"/>
              </w:rPr>
              <w:t>An Area of Justice and Fundamental Rights Based on Mutual Trust</w:t>
            </w:r>
          </w:p>
        </w:tc>
      </w:tr>
      <w:tr w:rsidR="0023477E">
        <w:trPr>
          <w:cantSplit/>
        </w:trPr>
        <w:tc>
          <w:tcPr>
            <w:tcW w:w="181" w:type="pct"/>
            <w:tcBorders>
              <w:bottom w:val="single" w:sz="4" w:space="0" w:color="auto"/>
            </w:tcBorders>
            <w:shd w:val="clear"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23477E" w:rsidRDefault="00AB6227">
            <w:pPr>
              <w:spacing w:after="0"/>
              <w:rPr>
                <w:rFonts w:ascii="Times New Roman" w:hAnsi="Times New Roman"/>
                <w:b/>
                <w:noProof/>
                <w:sz w:val="20"/>
                <w:szCs w:val="20"/>
              </w:rPr>
            </w:pPr>
            <w:r>
              <w:rPr>
                <w:rFonts w:ascii="Times New Roman" w:hAnsi="Times New Roman"/>
                <w:b/>
                <w:noProof/>
                <w:sz w:val="20"/>
                <w:szCs w:val="20"/>
              </w:rPr>
              <w:t>Completing the Security Union</w:t>
            </w:r>
          </w:p>
        </w:tc>
        <w:tc>
          <w:tcPr>
            <w:tcW w:w="3565" w:type="pct"/>
            <w:tcBorders>
              <w:bottom w:val="single" w:sz="4" w:space="0" w:color="auto"/>
            </w:tcBorders>
          </w:tcPr>
          <w:p w:rsidR="0023477E" w:rsidRDefault="00AB6227">
            <w:pPr>
              <w:spacing w:after="0"/>
              <w:jc w:val="both"/>
              <w:rPr>
                <w:rFonts w:ascii="Times New Roman" w:eastAsia="Times New Roman" w:hAnsi="Times New Roman"/>
                <w:b/>
                <w:noProof/>
                <w:color w:val="000000"/>
                <w:sz w:val="20"/>
                <w:szCs w:val="20"/>
                <w:lang w:eastAsia="en-GB"/>
              </w:rPr>
            </w:pPr>
            <w:r>
              <w:rPr>
                <w:rFonts w:ascii="Times New Roman" w:hAnsi="Times New Roman"/>
                <w:b/>
                <w:noProof/>
                <w:sz w:val="20"/>
                <w:szCs w:val="20"/>
              </w:rPr>
              <w:t xml:space="preserve">Implementation of the Security Union agenda and advancing the fight against terrorism: </w:t>
            </w:r>
            <w:r>
              <w:rPr>
                <w:rFonts w:ascii="Times New Roman" w:eastAsia="Times New Roman" w:hAnsi="Times New Roman"/>
                <w:b/>
                <w:noProof/>
                <w:color w:val="000000"/>
                <w:sz w:val="20"/>
                <w:szCs w:val="20"/>
                <w:lang w:eastAsia="en-GB"/>
              </w:rPr>
              <w:t xml:space="preserve">proposals to allow interoperability between EU information systems for security, border and migration management </w:t>
            </w:r>
            <w:r>
              <w:rPr>
                <w:rFonts w:ascii="Times New Roman" w:eastAsia="Times New Roman" w:hAnsi="Times New Roman"/>
                <w:noProof/>
                <w:color w:val="000000"/>
                <w:sz w:val="20"/>
                <w:szCs w:val="20"/>
                <w:lang w:eastAsia="en-GB"/>
              </w:rPr>
              <w:t xml:space="preserve">(legislative, incl. impact assessment; Art. 74, 77, 79, </w:t>
            </w:r>
            <w:r>
              <w:rPr>
                <w:rFonts w:ascii="Times New Roman" w:eastAsia="Times New Roman" w:hAnsi="Times New Roman"/>
                <w:noProof/>
                <w:color w:val="000000"/>
                <w:sz w:val="20"/>
                <w:szCs w:val="20"/>
                <w:lang w:eastAsia="en-GB"/>
              </w:rPr>
              <w:t>85, 87, 88; Q4 2017)</w:t>
            </w:r>
            <w:r>
              <w:rPr>
                <w:rFonts w:ascii="Times New Roman" w:eastAsia="Times New Roman" w:hAnsi="Times New Roman"/>
                <w:b/>
                <w:noProof/>
                <w:color w:val="000000"/>
                <w:sz w:val="20"/>
                <w:szCs w:val="20"/>
                <w:lang w:eastAsia="en-GB"/>
              </w:rPr>
              <w:t xml:space="preserve">; a proposal to improve cross-border access of law enforcement authorities to electronic evidence </w:t>
            </w:r>
            <w:r>
              <w:rPr>
                <w:rFonts w:ascii="Times New Roman" w:eastAsia="Times New Roman" w:hAnsi="Times New Roman"/>
                <w:noProof/>
                <w:color w:val="000000"/>
                <w:sz w:val="20"/>
                <w:szCs w:val="20"/>
                <w:lang w:eastAsia="en-GB"/>
              </w:rPr>
              <w:t>(legislative, incl. impact assessment, Art. 82 TFEU, Q1 2018)</w:t>
            </w:r>
            <w:r>
              <w:rPr>
                <w:rFonts w:ascii="Times New Roman" w:eastAsia="Times New Roman" w:hAnsi="Times New Roman"/>
                <w:b/>
                <w:noProof/>
                <w:color w:val="000000"/>
                <w:sz w:val="20"/>
                <w:szCs w:val="20"/>
                <w:lang w:eastAsia="en-GB"/>
              </w:rPr>
              <w:t xml:space="preserve">; </w:t>
            </w:r>
            <w:r>
              <w:rPr>
                <w:rFonts w:ascii="Times New Roman" w:hAnsi="Times New Roman"/>
                <w:b/>
                <w:noProof/>
                <w:sz w:val="20"/>
                <w:szCs w:val="20"/>
              </w:rPr>
              <w:t>REFIT revision of the Regulation on marketing and use of explosive precurso</w:t>
            </w:r>
            <w:r>
              <w:rPr>
                <w:rFonts w:ascii="Times New Roman" w:hAnsi="Times New Roman"/>
                <w:b/>
                <w:noProof/>
                <w:sz w:val="20"/>
                <w:szCs w:val="20"/>
              </w:rPr>
              <w:t xml:space="preserve">rs </w:t>
            </w:r>
            <w:r>
              <w:rPr>
                <w:rFonts w:ascii="Times New Roman" w:hAnsi="Times New Roman"/>
                <w:noProof/>
                <w:sz w:val="20"/>
                <w:szCs w:val="20"/>
              </w:rPr>
              <w:t>(legislative, incl. impact assessment, Art. 114 TFEU, Q2 2018)</w:t>
            </w:r>
            <w:r>
              <w:rPr>
                <w:rFonts w:ascii="Times New Roman" w:hAnsi="Times New Roman"/>
                <w:b/>
                <w:noProof/>
                <w:sz w:val="20"/>
                <w:szCs w:val="20"/>
              </w:rPr>
              <w:t xml:space="preserve">; initiatives to facilitate cross-border access to and use of financial data by law enforcement authorities </w:t>
            </w:r>
            <w:r>
              <w:rPr>
                <w:rFonts w:ascii="Times New Roman" w:hAnsi="Times New Roman"/>
                <w:noProof/>
                <w:sz w:val="20"/>
                <w:szCs w:val="20"/>
              </w:rPr>
              <w:t>(legislative, incl. impact assessment/non-legislative, Q2 2018)</w:t>
            </w:r>
          </w:p>
        </w:tc>
      </w:tr>
      <w:tr w:rsidR="0023477E">
        <w:trPr>
          <w:cantSplit/>
        </w:trPr>
        <w:tc>
          <w:tcPr>
            <w:tcW w:w="181" w:type="pct"/>
            <w:tcBorders>
              <w:bottom w:val="single" w:sz="4" w:space="0" w:color="auto"/>
            </w:tcBorders>
            <w:shd w:val="clear"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tcPr>
          <w:p w:rsidR="0023477E" w:rsidRDefault="00AB6227">
            <w:pPr>
              <w:spacing w:after="0"/>
              <w:rPr>
                <w:rFonts w:ascii="Times New Roman" w:hAnsi="Times New Roman"/>
                <w:b/>
                <w:noProof/>
                <w:sz w:val="20"/>
                <w:szCs w:val="20"/>
              </w:rPr>
            </w:pPr>
            <w:r>
              <w:rPr>
                <w:rFonts w:ascii="Times New Roman" w:hAnsi="Times New Roman"/>
                <w:b/>
                <w:noProof/>
                <w:sz w:val="20"/>
                <w:szCs w:val="20"/>
              </w:rPr>
              <w:t>EU Civil Protecti</w:t>
            </w:r>
            <w:r>
              <w:rPr>
                <w:rFonts w:ascii="Times New Roman" w:hAnsi="Times New Roman"/>
                <w:b/>
                <w:noProof/>
                <w:sz w:val="20"/>
                <w:szCs w:val="20"/>
              </w:rPr>
              <w:t>on Mechanism</w:t>
            </w:r>
          </w:p>
        </w:tc>
        <w:tc>
          <w:tcPr>
            <w:tcW w:w="3565" w:type="pct"/>
            <w:tcBorders>
              <w:bottom w:val="single" w:sz="4" w:space="0" w:color="auto"/>
            </w:tcBorders>
          </w:tcPr>
          <w:p w:rsidR="0023477E" w:rsidRDefault="00AB6227">
            <w:pPr>
              <w:spacing w:after="0"/>
              <w:jc w:val="both"/>
              <w:rPr>
                <w:rFonts w:ascii="Times New Roman" w:hAnsi="Times New Roman"/>
                <w:b/>
                <w:noProof/>
                <w:sz w:val="20"/>
                <w:szCs w:val="20"/>
              </w:rPr>
            </w:pPr>
            <w:r>
              <w:rPr>
                <w:rStyle w:val="truncate"/>
                <w:rFonts w:ascii="Times New Roman" w:hAnsi="Times New Roman"/>
                <w:b/>
                <w:noProof/>
                <w:sz w:val="20"/>
                <w:szCs w:val="20"/>
              </w:rPr>
              <w:t xml:space="preserve">Proposal for a Decision of the EP and of the Council on the revision of Decision No. 1313/2013/EU for a fully-fledged European Union Civil Protection Mechanism with own operational capacities </w:t>
            </w:r>
            <w:r>
              <w:rPr>
                <w:rStyle w:val="truncate"/>
                <w:rFonts w:ascii="Times New Roman" w:hAnsi="Times New Roman"/>
                <w:noProof/>
                <w:sz w:val="20"/>
                <w:szCs w:val="20"/>
              </w:rPr>
              <w:t>(legislative, Art. 196 TFEU, Q4 2017)</w:t>
            </w:r>
          </w:p>
        </w:tc>
      </w:tr>
      <w:tr w:rsidR="0023477E">
        <w:trPr>
          <w:cantSplit/>
        </w:trPr>
        <w:tc>
          <w:tcPr>
            <w:tcW w:w="181" w:type="pct"/>
            <w:tcBorders>
              <w:bottom w:val="single" w:sz="4" w:space="0" w:color="auto"/>
            </w:tcBorders>
            <w:shd w:val="pct25"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shd w:val="pct25"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Extension o</w:t>
            </w:r>
            <w:r>
              <w:rPr>
                <w:rFonts w:ascii="Times New Roman" w:hAnsi="Times New Roman"/>
                <w:b/>
                <w:noProof/>
                <w:sz w:val="20"/>
                <w:szCs w:val="20"/>
              </w:rPr>
              <w:t>f the tasks of the new European Public Prosecutor's Office (</w:t>
            </w:r>
            <w:r>
              <w:rPr>
                <w:rFonts w:ascii="Times New Roman" w:hAnsi="Times New Roman"/>
                <w:b/>
                <w:i/>
                <w:noProof/>
                <w:sz w:val="20"/>
                <w:szCs w:val="20"/>
              </w:rPr>
              <w:t>initiative to be launched with a 2025 perspective)</w:t>
            </w:r>
          </w:p>
        </w:tc>
        <w:tc>
          <w:tcPr>
            <w:tcW w:w="3565" w:type="pct"/>
            <w:tcBorders>
              <w:bottom w:val="single" w:sz="4" w:space="0" w:color="auto"/>
            </w:tcBorders>
            <w:shd w:val="pct25"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Communication on a possible extension of the tasks of the new European Public Prosecutor's Office to include the fight against terrorism on the b</w:t>
            </w:r>
            <w:r>
              <w:rPr>
                <w:rFonts w:ascii="Times New Roman" w:hAnsi="Times New Roman"/>
                <w:b/>
                <w:noProof/>
                <w:sz w:val="20"/>
                <w:szCs w:val="20"/>
              </w:rPr>
              <w:t xml:space="preserve">asis of Article 86(4)TFEU </w:t>
            </w:r>
            <w:r>
              <w:rPr>
                <w:rFonts w:ascii="Times New Roman" w:hAnsi="Times New Roman"/>
                <w:noProof/>
                <w:sz w:val="20"/>
                <w:szCs w:val="20"/>
              </w:rPr>
              <w:t>(non-legislative, Q3 2018)</w:t>
            </w:r>
          </w:p>
        </w:tc>
      </w:tr>
      <w:tr w:rsidR="0023477E">
        <w:trPr>
          <w:cantSplit/>
        </w:trPr>
        <w:tc>
          <w:tcPr>
            <w:tcW w:w="181" w:type="pct"/>
            <w:tcBorders>
              <w:bottom w:val="single" w:sz="4" w:space="0" w:color="auto"/>
            </w:tcBorders>
            <w:shd w:val="pct25"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shd w:val="pct25"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 xml:space="preserve">Rule of law </w:t>
            </w:r>
            <w:r>
              <w:rPr>
                <w:rFonts w:ascii="Times New Roman" w:hAnsi="Times New Roman"/>
                <w:b/>
                <w:i/>
                <w:noProof/>
                <w:sz w:val="20"/>
                <w:szCs w:val="20"/>
              </w:rPr>
              <w:t>(initiative to be launched with a 2025 perspective</w:t>
            </w:r>
            <w:r>
              <w:rPr>
                <w:rFonts w:ascii="Times New Roman" w:hAnsi="Times New Roman"/>
                <w:b/>
                <w:noProof/>
                <w:sz w:val="20"/>
                <w:szCs w:val="20"/>
              </w:rPr>
              <w:t>)</w:t>
            </w:r>
          </w:p>
        </w:tc>
        <w:tc>
          <w:tcPr>
            <w:tcW w:w="3565" w:type="pct"/>
            <w:tcBorders>
              <w:bottom w:val="single" w:sz="4" w:space="0" w:color="auto"/>
            </w:tcBorders>
            <w:shd w:val="pct25"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 xml:space="preserve">Initiative to strengthen the enforcement of the Rule of Law in the European Union </w:t>
            </w:r>
            <w:r>
              <w:rPr>
                <w:rFonts w:ascii="Times New Roman" w:hAnsi="Times New Roman"/>
                <w:noProof/>
                <w:sz w:val="20"/>
                <w:szCs w:val="20"/>
              </w:rPr>
              <w:t>(non-legislative, Q4 2018)</w:t>
            </w:r>
          </w:p>
        </w:tc>
      </w:tr>
      <w:tr w:rsidR="0023477E">
        <w:trPr>
          <w:cantSplit/>
        </w:trPr>
        <w:tc>
          <w:tcPr>
            <w:tcW w:w="5000" w:type="pct"/>
            <w:gridSpan w:val="3"/>
            <w:tcBorders>
              <w:bottom w:val="single" w:sz="4" w:space="0" w:color="auto"/>
            </w:tcBorders>
            <w:shd w:val="clear" w:color="auto" w:fill="92D050"/>
          </w:tcPr>
          <w:p w:rsidR="0023477E" w:rsidRDefault="00AB6227">
            <w:pPr>
              <w:spacing w:before="60" w:after="60"/>
              <w:jc w:val="both"/>
              <w:rPr>
                <w:rFonts w:ascii="Times New Roman" w:eastAsia="Times New Roman" w:hAnsi="Times New Roman"/>
                <w:noProof/>
                <w:color w:val="000000"/>
                <w:sz w:val="20"/>
                <w:szCs w:val="20"/>
                <w:lang w:eastAsia="en-GB"/>
              </w:rPr>
            </w:pPr>
            <w:r>
              <w:rPr>
                <w:rFonts w:ascii="Times New Roman" w:hAnsi="Times New Roman"/>
                <w:b/>
                <w:noProof/>
                <w:sz w:val="20"/>
                <w:szCs w:val="20"/>
              </w:rPr>
              <w:t xml:space="preserve">Towards a New Policy on </w:t>
            </w:r>
            <w:r>
              <w:rPr>
                <w:rFonts w:ascii="Times New Roman" w:hAnsi="Times New Roman"/>
                <w:b/>
                <w:noProof/>
                <w:sz w:val="20"/>
                <w:szCs w:val="20"/>
              </w:rPr>
              <w:t>Migration</w:t>
            </w:r>
          </w:p>
        </w:tc>
      </w:tr>
      <w:tr w:rsidR="0023477E">
        <w:trPr>
          <w:cantSplit/>
        </w:trPr>
        <w:tc>
          <w:tcPr>
            <w:tcW w:w="181" w:type="pct"/>
            <w:tcBorders>
              <w:bottom w:val="single" w:sz="4" w:space="0" w:color="auto"/>
            </w:tcBorders>
            <w:shd w:val="clear" w:color="auto" w:fill="auto"/>
          </w:tcPr>
          <w:p w:rsidR="0023477E" w:rsidRDefault="0023477E">
            <w:pPr>
              <w:pStyle w:val="ListParagraph"/>
              <w:numPr>
                <w:ilvl w:val="0"/>
                <w:numId w:val="1"/>
              </w:numPr>
              <w:spacing w:before="60" w:after="60"/>
              <w:rPr>
                <w:rFonts w:ascii="Times New Roman" w:hAnsi="Times New Roman"/>
                <w:b/>
                <w:noProof/>
                <w:sz w:val="20"/>
                <w:szCs w:val="20"/>
              </w:rPr>
            </w:pPr>
          </w:p>
        </w:tc>
        <w:tc>
          <w:tcPr>
            <w:tcW w:w="1254" w:type="pct"/>
            <w:tcBorders>
              <w:bottom w:val="single" w:sz="4" w:space="0" w:color="auto"/>
            </w:tcBorders>
            <w:shd w:val="clear" w:color="auto" w:fill="auto"/>
          </w:tcPr>
          <w:p w:rsidR="0023477E" w:rsidRDefault="00AB6227">
            <w:pPr>
              <w:spacing w:before="60" w:after="60"/>
              <w:rPr>
                <w:rFonts w:ascii="Times New Roman" w:hAnsi="Times New Roman"/>
                <w:b/>
                <w:noProof/>
                <w:sz w:val="20"/>
                <w:szCs w:val="20"/>
              </w:rPr>
            </w:pPr>
            <w:r>
              <w:rPr>
                <w:rFonts w:ascii="Times New Roman" w:hAnsi="Times New Roman"/>
                <w:b/>
                <w:noProof/>
                <w:sz w:val="20"/>
                <w:szCs w:val="20"/>
              </w:rPr>
              <w:t>Delivering on the EU Agenda on Migration</w:t>
            </w:r>
          </w:p>
        </w:tc>
        <w:tc>
          <w:tcPr>
            <w:tcW w:w="3565" w:type="pct"/>
            <w:tcBorders>
              <w:bottom w:val="single" w:sz="4" w:space="0" w:color="auto"/>
            </w:tcBorders>
            <w:shd w:val="clear" w:color="auto" w:fill="auto"/>
          </w:tcPr>
          <w:p w:rsidR="0023477E" w:rsidRDefault="00AB6227">
            <w:pPr>
              <w:spacing w:before="60" w:after="60"/>
              <w:jc w:val="both"/>
              <w:rPr>
                <w:rFonts w:ascii="Times New Roman" w:hAnsi="Times New Roman"/>
                <w:b/>
                <w:noProof/>
                <w:sz w:val="20"/>
                <w:szCs w:val="20"/>
              </w:rPr>
            </w:pPr>
            <w:r>
              <w:rPr>
                <w:rFonts w:ascii="Times New Roman" w:hAnsi="Times New Roman"/>
                <w:b/>
                <w:noProof/>
                <w:sz w:val="20"/>
                <w:szCs w:val="20"/>
              </w:rPr>
              <w:t xml:space="preserve">Revision of the common visa code </w:t>
            </w:r>
            <w:r>
              <w:rPr>
                <w:rFonts w:ascii="Times New Roman" w:hAnsi="Times New Roman"/>
                <w:noProof/>
                <w:sz w:val="20"/>
                <w:szCs w:val="20"/>
              </w:rPr>
              <w:t>(legislative, incl. impact assessment, Art. 77 TFEU, Q1 2018)</w:t>
            </w:r>
            <w:r>
              <w:rPr>
                <w:rFonts w:ascii="Times New Roman" w:hAnsi="Times New Roman"/>
                <w:b/>
                <w:noProof/>
                <w:sz w:val="20"/>
                <w:szCs w:val="20"/>
              </w:rPr>
              <w:t xml:space="preserve">; REFIT revision of the Visa Information System </w:t>
            </w:r>
            <w:r>
              <w:rPr>
                <w:rFonts w:ascii="Times New Roman" w:hAnsi="Times New Roman"/>
                <w:noProof/>
                <w:sz w:val="20"/>
                <w:szCs w:val="20"/>
              </w:rPr>
              <w:t xml:space="preserve">(legislative, incl. impact assessment, Art. 77 and 87 TFEU, </w:t>
            </w:r>
            <w:r>
              <w:rPr>
                <w:rFonts w:ascii="Times New Roman" w:hAnsi="Times New Roman"/>
                <w:noProof/>
                <w:sz w:val="20"/>
                <w:szCs w:val="20"/>
              </w:rPr>
              <w:t>Q2 2018)</w:t>
            </w:r>
            <w:r>
              <w:rPr>
                <w:rFonts w:ascii="Times New Roman" w:hAnsi="Times New Roman"/>
                <w:b/>
                <w:noProof/>
                <w:sz w:val="20"/>
                <w:szCs w:val="20"/>
              </w:rPr>
              <w:t xml:space="preserve">; revision of the Immigration Liaison Officers Regulation </w:t>
            </w:r>
            <w:r>
              <w:rPr>
                <w:rFonts w:ascii="Times New Roman" w:hAnsi="Times New Roman"/>
                <w:noProof/>
                <w:sz w:val="20"/>
                <w:szCs w:val="20"/>
              </w:rPr>
              <w:t>(legislative, incl. impact assessment, Q2 2018)</w:t>
            </w:r>
          </w:p>
        </w:tc>
      </w:tr>
      <w:tr w:rsidR="0023477E">
        <w:trPr>
          <w:cantSplit/>
        </w:trPr>
        <w:tc>
          <w:tcPr>
            <w:tcW w:w="5000" w:type="pct"/>
            <w:gridSpan w:val="3"/>
            <w:tcBorders>
              <w:bottom w:val="single" w:sz="4" w:space="0" w:color="auto"/>
            </w:tcBorders>
            <w:shd w:val="clear" w:color="auto" w:fill="92D050"/>
          </w:tcPr>
          <w:p w:rsidR="0023477E" w:rsidRDefault="00AB6227">
            <w:pPr>
              <w:keepNext/>
              <w:spacing w:before="60" w:after="60"/>
              <w:jc w:val="both"/>
              <w:rPr>
                <w:rFonts w:ascii="Times New Roman" w:eastAsia="Times New Roman" w:hAnsi="Times New Roman"/>
                <w:noProof/>
                <w:color w:val="000000"/>
                <w:sz w:val="20"/>
                <w:szCs w:val="20"/>
                <w:lang w:eastAsia="en-GB"/>
              </w:rPr>
            </w:pPr>
            <w:r>
              <w:rPr>
                <w:rFonts w:ascii="Times New Roman" w:hAnsi="Times New Roman"/>
                <w:b/>
                <w:noProof/>
                <w:sz w:val="20"/>
                <w:szCs w:val="20"/>
              </w:rPr>
              <w:t xml:space="preserve">A Stronger Global Actor </w:t>
            </w:r>
          </w:p>
        </w:tc>
      </w:tr>
      <w:tr w:rsidR="0023477E">
        <w:trPr>
          <w:cantSplit/>
        </w:trPr>
        <w:tc>
          <w:tcPr>
            <w:tcW w:w="181" w:type="pct"/>
            <w:tcBorders>
              <w:bottom w:val="single" w:sz="4" w:space="0" w:color="auto"/>
            </w:tcBorders>
            <w:shd w:val="clear"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shd w:val="clear"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Delivering on the Global Strategy</w:t>
            </w:r>
          </w:p>
        </w:tc>
        <w:tc>
          <w:tcPr>
            <w:tcW w:w="3565" w:type="pct"/>
            <w:tcBorders>
              <w:bottom w:val="single" w:sz="4" w:space="0" w:color="auto"/>
            </w:tcBorders>
            <w:shd w:val="clear"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 xml:space="preserve">Including an EU strategy on connecting Europe and Asia; a renewed partnership with Latin America and the Caribbean; and new frameworks for engagement with India, Iran and Iraq </w:t>
            </w:r>
            <w:r>
              <w:rPr>
                <w:rFonts w:ascii="Times New Roman" w:hAnsi="Times New Roman"/>
                <w:noProof/>
                <w:sz w:val="20"/>
                <w:szCs w:val="20"/>
              </w:rPr>
              <w:t>(non-legislative, Q1 and Q2 2018)</w:t>
            </w:r>
          </w:p>
        </w:tc>
      </w:tr>
      <w:tr w:rsidR="0023477E">
        <w:trPr>
          <w:cantSplit/>
        </w:trPr>
        <w:tc>
          <w:tcPr>
            <w:tcW w:w="181" w:type="pct"/>
            <w:tcBorders>
              <w:bottom w:val="single" w:sz="4" w:space="0" w:color="auto"/>
            </w:tcBorders>
            <w:shd w:val="pct25"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shd w:val="pct25"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 xml:space="preserve">A credible enlargement perspective </w:t>
            </w:r>
            <w:r>
              <w:rPr>
                <w:rFonts w:ascii="Times New Roman" w:hAnsi="Times New Roman"/>
                <w:b/>
                <w:i/>
                <w:noProof/>
                <w:sz w:val="20"/>
                <w:szCs w:val="20"/>
              </w:rPr>
              <w:t>(initiati</w:t>
            </w:r>
            <w:r>
              <w:rPr>
                <w:rFonts w:ascii="Times New Roman" w:hAnsi="Times New Roman"/>
                <w:b/>
                <w:i/>
                <w:noProof/>
                <w:sz w:val="20"/>
                <w:szCs w:val="20"/>
              </w:rPr>
              <w:t>ve to be launched with a 2025 perspective</w:t>
            </w:r>
            <w:r>
              <w:rPr>
                <w:rFonts w:ascii="Times New Roman" w:hAnsi="Times New Roman"/>
                <w:b/>
                <w:noProof/>
                <w:sz w:val="20"/>
                <w:szCs w:val="20"/>
              </w:rPr>
              <w:t>)</w:t>
            </w:r>
          </w:p>
        </w:tc>
        <w:tc>
          <w:tcPr>
            <w:tcW w:w="3565" w:type="pct"/>
            <w:tcBorders>
              <w:bottom w:val="single" w:sz="4" w:space="0" w:color="auto"/>
            </w:tcBorders>
            <w:shd w:val="pct25"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 xml:space="preserve">Strategy for a succesful EU accession of Serbia and Montenegro as frontrunner candidates in the Western Balkans, with a particular emphasis on the rule of law, fundamental rights, the fight against corruption and </w:t>
            </w:r>
            <w:r>
              <w:rPr>
                <w:rFonts w:ascii="Times New Roman" w:hAnsi="Times New Roman"/>
                <w:b/>
                <w:noProof/>
                <w:sz w:val="20"/>
                <w:szCs w:val="20"/>
              </w:rPr>
              <w:t xml:space="preserve">organised crime and on the overall stability of the region </w:t>
            </w:r>
            <w:r>
              <w:rPr>
                <w:rFonts w:ascii="Times New Roman" w:hAnsi="Times New Roman"/>
                <w:noProof/>
                <w:sz w:val="20"/>
                <w:szCs w:val="20"/>
              </w:rPr>
              <w:t>(non-legislative, Q1 2018)</w:t>
            </w:r>
          </w:p>
        </w:tc>
      </w:tr>
      <w:tr w:rsidR="0023477E">
        <w:trPr>
          <w:cantSplit/>
        </w:trPr>
        <w:tc>
          <w:tcPr>
            <w:tcW w:w="181" w:type="pct"/>
            <w:tcBorders>
              <w:bottom w:val="single" w:sz="4" w:space="0" w:color="auto"/>
            </w:tcBorders>
            <w:shd w:val="pct25"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tcBorders>
              <w:bottom w:val="single" w:sz="4" w:space="0" w:color="auto"/>
            </w:tcBorders>
            <w:shd w:val="pct25"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 xml:space="preserve">More efficiency and consistency in implementing the Common Foreign Policy </w:t>
            </w:r>
            <w:r>
              <w:rPr>
                <w:rFonts w:ascii="Times New Roman" w:hAnsi="Times New Roman"/>
                <w:b/>
                <w:i/>
                <w:noProof/>
                <w:sz w:val="20"/>
                <w:szCs w:val="20"/>
              </w:rPr>
              <w:t>(initiative to be launched with a 2025 perspective</w:t>
            </w:r>
            <w:r>
              <w:rPr>
                <w:rFonts w:ascii="Times New Roman" w:hAnsi="Times New Roman"/>
                <w:b/>
                <w:noProof/>
                <w:sz w:val="20"/>
                <w:szCs w:val="20"/>
              </w:rPr>
              <w:t>)</w:t>
            </w:r>
          </w:p>
        </w:tc>
        <w:tc>
          <w:tcPr>
            <w:tcW w:w="3565" w:type="pct"/>
            <w:tcBorders>
              <w:bottom w:val="single" w:sz="4" w:space="0" w:color="auto"/>
            </w:tcBorders>
            <w:shd w:val="pct25"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 xml:space="preserve">Communication on the possibility of further enhancing the use of qualified majority voting in Common Foreign Policy, on the basis of Article 31(3)TEU, as well as on enhancing the consistency of the Common Foreign Policy </w:t>
            </w:r>
            <w:r>
              <w:rPr>
                <w:rFonts w:ascii="Times New Roman" w:hAnsi="Times New Roman"/>
                <w:noProof/>
                <w:sz w:val="20"/>
                <w:szCs w:val="20"/>
              </w:rPr>
              <w:t>(non-legislative, Q3 2018)</w:t>
            </w:r>
          </w:p>
        </w:tc>
      </w:tr>
      <w:tr w:rsidR="0023477E">
        <w:trPr>
          <w:cantSplit/>
        </w:trPr>
        <w:tc>
          <w:tcPr>
            <w:tcW w:w="5000" w:type="pct"/>
            <w:gridSpan w:val="3"/>
            <w:tcBorders>
              <w:bottom w:val="single" w:sz="4" w:space="0" w:color="auto"/>
            </w:tcBorders>
            <w:shd w:val="clear" w:color="auto" w:fill="92D050"/>
          </w:tcPr>
          <w:p w:rsidR="0023477E" w:rsidRDefault="00AB6227">
            <w:pPr>
              <w:spacing w:before="60" w:after="60"/>
              <w:jc w:val="both"/>
              <w:rPr>
                <w:rFonts w:ascii="Times New Roman" w:hAnsi="Times New Roman"/>
                <w:noProof/>
                <w:sz w:val="20"/>
                <w:szCs w:val="20"/>
              </w:rPr>
            </w:pPr>
            <w:r>
              <w:rPr>
                <w:rFonts w:ascii="Times New Roman" w:hAnsi="Times New Roman"/>
                <w:b/>
                <w:noProof/>
                <w:sz w:val="20"/>
                <w:szCs w:val="20"/>
              </w:rPr>
              <w:t xml:space="preserve">A Union </w:t>
            </w:r>
            <w:r>
              <w:rPr>
                <w:rFonts w:ascii="Times New Roman" w:hAnsi="Times New Roman"/>
                <w:b/>
                <w:noProof/>
                <w:sz w:val="20"/>
                <w:szCs w:val="20"/>
              </w:rPr>
              <w:t>of Democratic Change</w:t>
            </w:r>
          </w:p>
        </w:tc>
      </w:tr>
      <w:tr w:rsidR="0023477E">
        <w:trPr>
          <w:cantSplit/>
        </w:trPr>
        <w:tc>
          <w:tcPr>
            <w:tcW w:w="181" w:type="pct"/>
            <w:shd w:val="clear"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shd w:val="clear"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Communicating Europe</w:t>
            </w:r>
          </w:p>
        </w:tc>
        <w:tc>
          <w:tcPr>
            <w:tcW w:w="3565" w:type="pct"/>
            <w:shd w:val="clear"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 xml:space="preserve">Communication on how to make the Union more united, stronger and more democratic in communication terms </w:t>
            </w:r>
            <w:r>
              <w:rPr>
                <w:rFonts w:ascii="Times New Roman" w:hAnsi="Times New Roman"/>
                <w:noProof/>
                <w:sz w:val="20"/>
                <w:szCs w:val="20"/>
              </w:rPr>
              <w:t>(non-legislative, Q2 2018)</w:t>
            </w:r>
          </w:p>
        </w:tc>
      </w:tr>
      <w:tr w:rsidR="0023477E">
        <w:trPr>
          <w:cantSplit/>
        </w:trPr>
        <w:tc>
          <w:tcPr>
            <w:tcW w:w="181" w:type="pct"/>
            <w:shd w:val="pct25"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shd w:val="pct25"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Doing less more efficiently</w:t>
            </w:r>
            <w:r>
              <w:rPr>
                <w:rFonts w:ascii="Times New Roman" w:hAnsi="Times New Roman"/>
                <w:b/>
                <w:i/>
                <w:noProof/>
                <w:sz w:val="20"/>
                <w:szCs w:val="20"/>
              </w:rPr>
              <w:t xml:space="preserve"> (initiative to be launched with a 2025 perspective</w:t>
            </w:r>
            <w:r>
              <w:rPr>
                <w:rFonts w:ascii="Times New Roman" w:hAnsi="Times New Roman"/>
                <w:b/>
                <w:noProof/>
                <w:sz w:val="20"/>
                <w:szCs w:val="20"/>
              </w:rPr>
              <w:t>)</w:t>
            </w:r>
          </w:p>
        </w:tc>
        <w:tc>
          <w:tcPr>
            <w:tcW w:w="3565" w:type="pct"/>
            <w:shd w:val="pct25"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 xml:space="preserve">Communication on further enhancing subsidiarity, proportionality and better regulation in the daily operation of the European Union </w:t>
            </w:r>
            <w:r>
              <w:rPr>
                <w:rFonts w:ascii="Times New Roman" w:hAnsi="Times New Roman"/>
                <w:noProof/>
                <w:sz w:val="20"/>
                <w:szCs w:val="20"/>
              </w:rPr>
              <w:t>(non-legislative, Q3 2018)</w:t>
            </w:r>
            <w:r>
              <w:rPr>
                <w:rFonts w:ascii="Times New Roman" w:hAnsi="Times New Roman"/>
                <w:b/>
                <w:noProof/>
                <w:sz w:val="20"/>
                <w:szCs w:val="20"/>
              </w:rPr>
              <w:t xml:space="preserve"> </w:t>
            </w:r>
          </w:p>
        </w:tc>
      </w:tr>
      <w:tr w:rsidR="0023477E">
        <w:trPr>
          <w:cantSplit/>
        </w:trPr>
        <w:tc>
          <w:tcPr>
            <w:tcW w:w="181" w:type="pct"/>
            <w:shd w:val="pct25" w:color="auto" w:fill="auto"/>
          </w:tcPr>
          <w:p w:rsidR="0023477E" w:rsidRDefault="0023477E">
            <w:pPr>
              <w:numPr>
                <w:ilvl w:val="0"/>
                <w:numId w:val="1"/>
              </w:numPr>
              <w:spacing w:after="0" w:line="240" w:lineRule="auto"/>
              <w:rPr>
                <w:rFonts w:ascii="Times New Roman" w:hAnsi="Times New Roman"/>
                <w:b/>
                <w:noProof/>
                <w:color w:val="000000"/>
                <w:sz w:val="20"/>
                <w:szCs w:val="20"/>
              </w:rPr>
            </w:pPr>
          </w:p>
        </w:tc>
        <w:tc>
          <w:tcPr>
            <w:tcW w:w="1254" w:type="pct"/>
            <w:shd w:val="pct25" w:color="auto" w:fill="auto"/>
          </w:tcPr>
          <w:p w:rsidR="0023477E" w:rsidRDefault="00AB6227">
            <w:pPr>
              <w:spacing w:after="0"/>
              <w:rPr>
                <w:rFonts w:ascii="Times New Roman" w:hAnsi="Times New Roman"/>
                <w:b/>
                <w:noProof/>
                <w:sz w:val="20"/>
                <w:szCs w:val="20"/>
              </w:rPr>
            </w:pPr>
            <w:r>
              <w:rPr>
                <w:rFonts w:ascii="Times New Roman" w:hAnsi="Times New Roman"/>
                <w:b/>
                <w:noProof/>
                <w:sz w:val="20"/>
                <w:szCs w:val="20"/>
              </w:rPr>
              <w:t xml:space="preserve">A more efficient  and democratic Europe </w:t>
            </w:r>
            <w:r>
              <w:rPr>
                <w:rFonts w:ascii="Times New Roman" w:hAnsi="Times New Roman"/>
                <w:b/>
                <w:i/>
                <w:noProof/>
                <w:sz w:val="20"/>
                <w:szCs w:val="20"/>
              </w:rPr>
              <w:t>(initiative to be launched with a 2025 perspective</w:t>
            </w:r>
            <w:r>
              <w:rPr>
                <w:rFonts w:ascii="Times New Roman" w:hAnsi="Times New Roman"/>
                <w:b/>
                <w:noProof/>
                <w:sz w:val="20"/>
                <w:szCs w:val="20"/>
              </w:rPr>
              <w:t>)</w:t>
            </w:r>
          </w:p>
        </w:tc>
        <w:tc>
          <w:tcPr>
            <w:tcW w:w="3565" w:type="pct"/>
            <w:shd w:val="pct25" w:color="auto" w:fill="auto"/>
          </w:tcPr>
          <w:p w:rsidR="0023477E" w:rsidRDefault="00AB6227">
            <w:pPr>
              <w:spacing w:after="0"/>
              <w:jc w:val="both"/>
              <w:rPr>
                <w:rFonts w:ascii="Times New Roman" w:hAnsi="Times New Roman"/>
                <w:b/>
                <w:noProof/>
                <w:sz w:val="20"/>
                <w:szCs w:val="20"/>
              </w:rPr>
            </w:pPr>
            <w:r>
              <w:rPr>
                <w:rFonts w:ascii="Times New Roman" w:hAnsi="Times New Roman"/>
                <w:b/>
                <w:noProof/>
                <w:sz w:val="20"/>
                <w:szCs w:val="20"/>
              </w:rPr>
              <w:t xml:space="preserve">Communication on options for enhancing efficiency at the helm of the European Union </w:t>
            </w:r>
            <w:r>
              <w:rPr>
                <w:rFonts w:ascii="Times New Roman" w:hAnsi="Times New Roman"/>
                <w:noProof/>
                <w:sz w:val="20"/>
                <w:szCs w:val="20"/>
              </w:rPr>
              <w:t>(non-legislative, Q3 2018)</w:t>
            </w:r>
          </w:p>
        </w:tc>
      </w:tr>
    </w:tbl>
    <w:p w:rsidR="0023477E" w:rsidRDefault="0023477E">
      <w:pPr>
        <w:spacing w:after="480"/>
        <w:outlineLvl w:val="0"/>
        <w:rPr>
          <w:rFonts w:ascii="Times New Roman" w:hAnsi="Times New Roman"/>
          <w:b/>
          <w:noProof/>
          <w:sz w:val="20"/>
          <w:szCs w:val="20"/>
          <w:highlight w:val="yellow"/>
          <w:u w:val="single"/>
          <w:lang w:eastAsia="de-DE"/>
        </w:rPr>
      </w:pPr>
    </w:p>
    <w:sectPr w:rsidR="0023477E">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7E" w:rsidRDefault="00AB6227">
      <w:pPr>
        <w:spacing w:after="0" w:line="240" w:lineRule="auto"/>
      </w:pPr>
      <w:r>
        <w:separator/>
      </w:r>
    </w:p>
  </w:endnote>
  <w:endnote w:type="continuationSeparator" w:id="0">
    <w:p w:rsidR="0023477E" w:rsidRDefault="00AB6227">
      <w:pPr>
        <w:spacing w:after="0" w:line="240" w:lineRule="auto"/>
      </w:pPr>
      <w:r>
        <w:continuationSeparator/>
      </w:r>
    </w:p>
  </w:endnote>
  <w:endnote w:type="continuationNotice" w:id="1">
    <w:p w:rsidR="0023477E" w:rsidRDefault="002347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227" w:rsidRDefault="00AB62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09" w:rsidRPr="009D1409" w:rsidRDefault="009D1409" w:rsidP="009D1409">
    <w:pPr>
      <w:pStyle w:val="FooterCoverPage"/>
      <w:rPr>
        <w:rFonts w:ascii="Arial" w:hAnsi="Arial" w:cs="Arial"/>
        <w:b/>
        <w:sz w:val="48"/>
      </w:rPr>
    </w:pPr>
    <w:r w:rsidRPr="009D1409">
      <w:rPr>
        <w:rFonts w:ascii="Arial" w:hAnsi="Arial" w:cs="Arial"/>
        <w:b/>
        <w:sz w:val="48"/>
      </w:rPr>
      <w:t>EN</w:t>
    </w:r>
    <w:r w:rsidRPr="009D1409">
      <w:rPr>
        <w:rFonts w:ascii="Arial" w:hAnsi="Arial" w:cs="Arial"/>
        <w:b/>
        <w:sz w:val="48"/>
      </w:rPr>
      <w:tab/>
    </w:r>
    <w:r w:rsidRPr="009D1409">
      <w:rPr>
        <w:rFonts w:ascii="Arial" w:hAnsi="Arial" w:cs="Arial"/>
        <w:b/>
        <w:sz w:val="48"/>
      </w:rPr>
      <w:tab/>
    </w:r>
    <w:fldSimple w:instr=" DOCVARIABLE &quot;LW_Confidence&quot; \* MERGEFORMAT ">
      <w:r w:rsidR="00AB6227">
        <w:t xml:space="preserve"> </w:t>
      </w:r>
    </w:fldSimple>
    <w:r w:rsidRPr="009D1409">
      <w:tab/>
    </w:r>
    <w:r w:rsidRPr="009D1409">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227" w:rsidRDefault="00AB62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7E" w:rsidRDefault="002347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41069"/>
      <w:docPartObj>
        <w:docPartGallery w:val="Page Numbers (Bottom of Page)"/>
        <w:docPartUnique/>
      </w:docPartObj>
    </w:sdtPr>
    <w:sdtEndPr>
      <w:rPr>
        <w:rFonts w:ascii="Times New Roman" w:hAnsi="Times New Roman"/>
        <w:noProof/>
      </w:rPr>
    </w:sdtEndPr>
    <w:sdtContent>
      <w:p w:rsidR="0023477E" w:rsidRDefault="00AB6227">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p w:rsidR="0023477E" w:rsidRDefault="0023477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7E" w:rsidRDefault="0023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7E" w:rsidRDefault="00AB6227">
      <w:pPr>
        <w:spacing w:after="0" w:line="240" w:lineRule="auto"/>
      </w:pPr>
      <w:r>
        <w:separator/>
      </w:r>
    </w:p>
  </w:footnote>
  <w:footnote w:type="continuationSeparator" w:id="0">
    <w:p w:rsidR="0023477E" w:rsidRDefault="00AB6227">
      <w:pPr>
        <w:spacing w:after="0" w:line="240" w:lineRule="auto"/>
      </w:pPr>
      <w:r>
        <w:continuationSeparator/>
      </w:r>
    </w:p>
  </w:footnote>
  <w:footnote w:type="continuationNotice" w:id="1">
    <w:p w:rsidR="0023477E" w:rsidRDefault="0023477E">
      <w:pPr>
        <w:spacing w:after="0" w:line="240" w:lineRule="auto"/>
      </w:pPr>
    </w:p>
  </w:footnote>
  <w:footnote w:id="2">
    <w:p w:rsidR="0023477E" w:rsidRDefault="00AB6227">
      <w:pPr>
        <w:pStyle w:val="FootnoteText"/>
        <w:spacing w:after="60"/>
        <w:jc w:val="both"/>
        <w:rPr>
          <w:sz w:val="18"/>
          <w:szCs w:val="18"/>
        </w:rPr>
      </w:pPr>
      <w:r>
        <w:rPr>
          <w:rStyle w:val="FootnoteReference"/>
          <w:sz w:val="18"/>
          <w:szCs w:val="18"/>
        </w:rPr>
        <w:footnoteRef/>
      </w:r>
      <w:r>
        <w:rPr>
          <w:sz w:val="18"/>
          <w:szCs w:val="18"/>
        </w:rPr>
        <w:t xml:space="preserve"> In this annex the Commission provides further information, as far as available, on the initiatives included in its Work Programme, in line with the Interinstitutional Agreement on Better Law-making. This information, which is provided in brackets under th</w:t>
      </w:r>
      <w:r>
        <w:rPr>
          <w:sz w:val="18"/>
          <w:szCs w:val="18"/>
        </w:rPr>
        <w:t>e description of each initiative, is indicative only and subject to change during the preparatory process, notably in view of the outcome of an impact assessment process</w:t>
      </w:r>
    </w:p>
  </w:footnote>
  <w:footnote w:id="3">
    <w:p w:rsidR="0023477E" w:rsidRDefault="00AB6227">
      <w:pPr>
        <w:pStyle w:val="FootnoteText"/>
        <w:jc w:val="both"/>
      </w:pPr>
      <w:r>
        <w:rPr>
          <w:rStyle w:val="FootnoteReference"/>
          <w:sz w:val="18"/>
          <w:szCs w:val="18"/>
        </w:rPr>
        <w:footnoteRef/>
      </w:r>
      <w:r>
        <w:rPr>
          <w:sz w:val="18"/>
          <w:szCs w:val="18"/>
        </w:rPr>
        <w:t xml:space="preserve"> The Circular Economy package was already included in Annex I to the Commission Work </w:t>
      </w:r>
      <w:r>
        <w:rPr>
          <w:sz w:val="18"/>
          <w:szCs w:val="18"/>
        </w:rPr>
        <w:t>Programme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227" w:rsidRDefault="00AB62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227" w:rsidRDefault="00AB62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227" w:rsidRDefault="00AB62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7E" w:rsidRDefault="002347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7E" w:rsidRDefault="002347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7E" w:rsidRDefault="002347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D369E"/>
    <w:multiLevelType w:val="hybridMultilevel"/>
    <w:tmpl w:val="7742B7DE"/>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EU RESTRICTED"/>
    <w:docVar w:name="LW_CORRIGENDUM" w:val="&lt;UNUSED&gt;"/>
    <w:docVar w:name="LW_COVERPAGE_GUID" w:val="3FB62105ADE341C598FE1E016173BD0A"/>
    <w:docVar w:name="LW_CROSSREFERENCE" w:val="&lt;UNUSED&gt;"/>
    <w:docVar w:name="LW_DocType" w:val="NORMAL"/>
    <w:docVar w:name="LW_EMISSION" w:val="24.10.2017"/>
    <w:docVar w:name="LW_EMISSION_ISODATE" w:val="2017-10-24"/>
    <w:docVar w:name="LW_EMISSION_LOCATION" w:val="STR"/>
    <w:docVar w:name="LW_EMISSION_PREFIX" w:val="Strasbourg,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_x000b_Commission Work Programme 2018_x000b__x000b_An agenda for a more united, stronger and more democratic Europe"/>
    <w:docVar w:name="LW_PART_NBR" w:val="1"/>
    <w:docVar w:name="LW_PART_NBR_TOTAL" w:val="1"/>
    <w:docVar w:name="LW_REF.INST.NEW" w:val="COM"/>
    <w:docVar w:name="LW_REF.INST.NEW_ADOPTED" w:val="final"/>
    <w:docVar w:name="LW_REF.INST.NEW_TEXT" w:val="(2017) 650"/>
    <w:docVar w:name="LW_REF.INTERNE" w:val="&lt;UNUSED&gt;"/>
    <w:docVar w:name="LW_SUPERTITRE" w:val="&lt;UNUSED&gt;"/>
    <w:docVar w:name="LW_TITRE.OBJ.CP" w:val="&lt;UNUSED&gt;"/>
    <w:docVar w:name="LW_TYPE.DOC.CP" w:val="ANNEX_x000b_"/>
    <w:docVar w:name="LW_TYPEACTEPRINCIPAL.CP" w:val="COMMUNICATION FROM THE COMMISSION TO THE EUROPEAN PARLIAMENT, THE COUNCIL, THE EUROPEAN ECONOMIC AND SOCIAL COMMITTEE AND THE COMMITTEE OF THE REGIONS"/>
  </w:docVars>
  <w:rsids>
    <w:rsidRoot w:val="0023477E"/>
    <w:rsid w:val="0023477E"/>
    <w:rsid w:val="009D1409"/>
    <w:rsid w:val="00AB62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truncate">
    <w:name w:val="truncat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truncate">
    <w:name w:val="truncat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AEC5-07BD-493A-B14C-20E9EF9B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1531</Words>
  <Characters>8865</Characters>
  <Application>Microsoft Office Word</Application>
  <DocSecurity>0</DocSecurity>
  <Lines>177</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2017-10-24T10:51:00Z</dcterms:created>
  <dcterms:modified xsi:type="dcterms:W3CDTF">2017-10-24T10:57:00Z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