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FF715772A464C60915086E864DE3339" style="width:450.75pt;height:393.3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 xml:space="preserve">La proposition inclut: </w:t>
      </w:r>
    </w:p>
    <w:p>
      <w:pPr>
        <w:pBdr>
          <w:top w:val="nil"/>
          <w:left w:val="nil"/>
          <w:bottom w:val="nil"/>
          <w:right w:val="nil"/>
          <w:between w:val="nil"/>
          <w:bar w:val="nil"/>
        </w:pBdr>
        <w:spacing w:before="0"/>
        <w:rPr>
          <w:rFonts w:eastAsia="Arial Unicode MS"/>
          <w:noProof/>
        </w:rPr>
      </w:pPr>
      <w:r>
        <w:rPr>
          <w:noProof/>
        </w:rPr>
        <w:t>–</w:t>
      </w:r>
      <w:r>
        <w:rPr>
          <w:noProof/>
        </w:rPr>
        <w:tab/>
        <w:t>le plafond du montant annuel des contributions pour l’exercice 2019;</w:t>
      </w:r>
    </w:p>
    <w:p>
      <w:pPr>
        <w:pBdr>
          <w:top w:val="nil"/>
          <w:left w:val="nil"/>
          <w:bottom w:val="nil"/>
          <w:right w:val="nil"/>
          <w:between w:val="nil"/>
          <w:bar w:val="nil"/>
        </w:pBdr>
        <w:spacing w:before="0"/>
        <w:rPr>
          <w:rFonts w:eastAsia="Arial Unicode MS"/>
          <w:noProof/>
        </w:rPr>
      </w:pPr>
      <w:r>
        <w:rPr>
          <w:noProof/>
        </w:rPr>
        <w:t>–</w:t>
      </w:r>
      <w:r>
        <w:rPr>
          <w:noProof/>
        </w:rPr>
        <w:tab/>
        <w:t>le montant annuel des contributions pour l’exercice 2018;</w:t>
      </w:r>
    </w:p>
    <w:p>
      <w:pPr>
        <w:pBdr>
          <w:top w:val="nil"/>
          <w:left w:val="nil"/>
          <w:bottom w:val="nil"/>
          <w:right w:val="nil"/>
          <w:between w:val="nil"/>
          <w:bar w:val="nil"/>
        </w:pBdr>
        <w:spacing w:before="0"/>
        <w:rPr>
          <w:rFonts w:eastAsia="Arial Unicode MS"/>
          <w:noProof/>
        </w:rPr>
      </w:pPr>
      <w:r>
        <w:rPr>
          <w:noProof/>
        </w:rPr>
        <w:t>–</w:t>
      </w:r>
      <w:r>
        <w:rPr>
          <w:noProof/>
        </w:rPr>
        <w:tab/>
        <w:t>le montant de la première tranche des contributions pour l’exercice 2018;</w:t>
      </w:r>
    </w:p>
    <w:p>
      <w:pPr>
        <w:pBdr>
          <w:top w:val="nil"/>
          <w:left w:val="nil"/>
          <w:bottom w:val="nil"/>
          <w:right w:val="nil"/>
          <w:between w:val="nil"/>
          <w:bar w:val="nil"/>
        </w:pBdr>
        <w:spacing w:before="0"/>
        <w:ind w:left="709" w:hanging="709"/>
        <w:rPr>
          <w:rFonts w:eastAsia="Arial Unicode MS"/>
          <w:noProof/>
        </w:rPr>
      </w:pPr>
      <w:r>
        <w:rPr>
          <w:noProof/>
        </w:rPr>
        <w:t>–</w:t>
      </w:r>
      <w:r>
        <w:rPr>
          <w:noProof/>
        </w:rPr>
        <w:tab/>
        <w:t>des prévisions non contraignantes concernant le montant annuel des contributions escompté pour les exercices 2020 et 2021.</w:t>
      </w:r>
    </w:p>
    <w:p>
      <w:pPr>
        <w:pBdr>
          <w:top w:val="nil"/>
          <w:left w:val="nil"/>
          <w:bottom w:val="nil"/>
          <w:right w:val="nil"/>
          <w:between w:val="nil"/>
          <w:bar w:val="nil"/>
        </w:pBdr>
        <w:spacing w:before="0" w:after="240"/>
        <w:rPr>
          <w:rFonts w:eastAsia="Arial Unicode MS"/>
          <w:noProof/>
        </w:rPr>
      </w:pPr>
      <w:r>
        <w:rPr>
          <w:noProof/>
        </w:rPr>
        <w:t>Le 11</w:t>
      </w:r>
      <w:r>
        <w:rPr>
          <w:noProof/>
          <w:vertAlign w:val="superscript"/>
        </w:rPr>
        <w:t>e</w:t>
      </w:r>
      <w:r>
        <w:rPr>
          <w:noProof/>
        </w:rPr>
        <w:t xml:space="preserve"> Fonds européen de développement (FED) et les autres fonds du FED encore ouverts (c’est-à-dire les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xml:space="preserve"> FED) sont gérés en conformité avec l'ensemble de règles suivant:</w:t>
      </w:r>
    </w:p>
    <w:p>
      <w:pPr>
        <w:pBdr>
          <w:top w:val="nil"/>
          <w:left w:val="nil"/>
          <w:bottom w:val="nil"/>
          <w:right w:val="nil"/>
          <w:between w:val="nil"/>
          <w:bar w:val="nil"/>
        </w:pBdr>
        <w:spacing w:before="0" w:after="240"/>
        <w:rPr>
          <w:rFonts w:eastAsia="Arial Unicode MS"/>
          <w:noProof/>
        </w:rPr>
      </w:pPr>
      <w:r>
        <w:rPr>
          <w:noProof/>
        </w:rPr>
        <w:t>- l'accord de partenariat actuel entre les membres du groupe des États d'Afrique, des Caraïbes et du Pacifique, d'une part, et la Communauté européenne et ses États membres, d'autre part (l'«accord de partenariat ACP</w:t>
      </w:r>
      <w:r>
        <w:rPr>
          <w:noProof/>
        </w:rPr>
        <w:noBreakHyphen/>
        <w:t>UE»), tel que modifié en dernier lieu</w:t>
      </w:r>
      <w:r>
        <w:rPr>
          <w:rStyle w:val="FootnoteReference"/>
          <w:noProof/>
        </w:rPr>
        <w:footnoteReference w:id="1"/>
      </w:r>
      <w:r>
        <w:rPr>
          <w:noProof/>
        </w:rPr>
        <w:t>;</w:t>
      </w:r>
    </w:p>
    <w:p>
      <w:pPr>
        <w:pBdr>
          <w:top w:val="nil"/>
          <w:left w:val="nil"/>
          <w:bottom w:val="nil"/>
          <w:right w:val="nil"/>
          <w:between w:val="nil"/>
          <w:bar w:val="nil"/>
        </w:pBdr>
        <w:spacing w:before="0" w:after="240"/>
        <w:rPr>
          <w:rFonts w:eastAsia="Arial Unicode MS"/>
          <w:noProof/>
        </w:rPr>
      </w:pPr>
      <w:r>
        <w:rPr>
          <w:noProof/>
        </w:rPr>
        <w:t>- l'accord interne entre les représentants des gouvernements des États membres de l'Union européenne, réunis au sein du Conseil, relatif au financement de l'aide de l'Union européenne au titre du cadre financier pluriannuel pour la période 2014</w:t>
      </w:r>
      <w:r>
        <w:rPr>
          <w:noProof/>
        </w:rPr>
        <w:noBreakHyphen/>
        <w:t>2020, conformément à l'accord de partenariat ACP</w:t>
      </w:r>
      <w:r>
        <w:rPr>
          <w:noProof/>
        </w:rPr>
        <w:noBreakHyphen/>
        <w:t>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2"/>
      </w:r>
      <w:r>
        <w:rPr>
          <w:noProof/>
        </w:rPr>
        <w:t xml:space="preserve"> (l'«accord interne» relatif au 11</w:t>
      </w:r>
      <w:r>
        <w:rPr>
          <w:noProof/>
          <w:vertAlign w:val="superscript"/>
        </w:rPr>
        <w:t>e</w:t>
      </w:r>
      <w:r>
        <w:rPr>
          <w:noProof/>
        </w:rPr>
        <w:t xml:space="preserve"> FED);</w:t>
      </w:r>
    </w:p>
    <w:p>
      <w:pPr>
        <w:pBdr>
          <w:top w:val="nil"/>
          <w:left w:val="nil"/>
          <w:bottom w:val="nil"/>
          <w:right w:val="nil"/>
          <w:between w:val="nil"/>
          <w:bar w:val="nil"/>
        </w:pBdr>
        <w:spacing w:before="0" w:after="240"/>
        <w:rPr>
          <w:rFonts w:eastAsia="Arial Unicode MS"/>
          <w:noProof/>
        </w:rPr>
      </w:pPr>
      <w:r>
        <w:rPr>
          <w:noProof/>
        </w:rPr>
        <w:t>- le règlement (UE) 2015/323 du Conseil portant règlement financier applicable au 11</w:t>
      </w:r>
      <w:r>
        <w:rPr>
          <w:noProof/>
          <w:vertAlign w:val="superscript"/>
        </w:rPr>
        <w:t>e</w:t>
      </w:r>
      <w:r>
        <w:rPr>
          <w:noProof/>
        </w:rPr>
        <w:t xml:space="preserve"> Fonds européen de développement</w:t>
      </w:r>
      <w:r>
        <w:rPr>
          <w:rStyle w:val="FootnoteReference"/>
          <w:noProof/>
        </w:rPr>
        <w:footnoteReference w:id="3"/>
      </w:r>
      <w:r>
        <w:rPr>
          <w:noProof/>
        </w:rPr>
        <w:t xml:space="preserve"> (le «règlement financier applicable au 11</w:t>
      </w:r>
      <w:r>
        <w:rPr>
          <w:noProof/>
          <w:vertAlign w:val="superscript"/>
        </w:rPr>
        <w:t>e</w:t>
      </w:r>
      <w:r>
        <w:rPr>
          <w:noProof/>
        </w:rPr>
        <w:t xml:space="preserve"> FED»).</w:t>
      </w:r>
    </w:p>
    <w:p>
      <w:pPr>
        <w:pBdr>
          <w:top w:val="nil"/>
          <w:left w:val="nil"/>
          <w:bottom w:val="nil"/>
          <w:right w:val="nil"/>
          <w:between w:val="nil"/>
          <w:bar w:val="nil"/>
        </w:pBdr>
        <w:spacing w:before="0" w:after="240"/>
        <w:rPr>
          <w:rFonts w:eastAsia="Arial Unicode MS"/>
          <w:noProof/>
        </w:rPr>
      </w:pPr>
      <w:r>
        <w:rPr>
          <w:noProof/>
        </w:rPr>
        <w:t>Les documents précités contiennent des engagements pluriannuels des États membres en faveur d'un soutien financier à la trésorerie du FED. Le règlement financier applicable au 11</w:t>
      </w:r>
      <w:r>
        <w:rPr>
          <w:noProof/>
          <w:vertAlign w:val="superscript"/>
        </w:rPr>
        <w:t>e</w:t>
      </w:r>
      <w:r>
        <w:rPr>
          <w:noProof/>
        </w:rPr>
        <w:t xml:space="preserve"> FED prévoit que les États membres apportent des contributions régulières à la trésorerie du FED, conformément à des engagements financiers prédéterminés. Ces contributions régulières sont déclenchées par des décisions techniques du Conseil qui reflètent la mise en œuvre des engagements financiers décidés au préalable.</w:t>
      </w:r>
    </w:p>
    <w:p>
      <w:pPr>
        <w:pBdr>
          <w:top w:val="nil"/>
          <w:left w:val="nil"/>
          <w:bottom w:val="nil"/>
          <w:right w:val="nil"/>
          <w:between w:val="nil"/>
          <w:bar w:val="nil"/>
        </w:pBdr>
        <w:spacing w:before="0" w:after="240"/>
        <w:rPr>
          <w:rFonts w:eastAsia="Arial Unicode MS"/>
          <w:noProof/>
        </w:rPr>
      </w:pPr>
      <w:r>
        <w:rPr>
          <w:noProof/>
        </w:rPr>
        <w:t>Certaines rubriques de l’exposé des motifs ne sont donc pas applicables à des appels à contributions régulières tels que celui-ci.</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Conformément à l’article 21, paragraphe 7, du règlement financier applicable au 11</w:t>
      </w:r>
      <w:r>
        <w:rPr>
          <w:noProof/>
          <w:vertAlign w:val="superscript"/>
        </w:rPr>
        <w:t>e</w:t>
      </w:r>
      <w:r>
        <w:rPr>
          <w:noProof/>
        </w:rPr>
        <w:t xml:space="preserve"> FED, le montant géré par la Commission et celui géré par la Banque européenne d'investissement (BEI) sont précisés séparément.</w:t>
      </w:r>
    </w:p>
    <w:p>
      <w:pPr>
        <w:pBdr>
          <w:top w:val="nil"/>
          <w:left w:val="nil"/>
          <w:bottom w:val="nil"/>
          <w:right w:val="nil"/>
          <w:between w:val="nil"/>
          <w:bar w:val="nil"/>
        </w:pBdr>
        <w:spacing w:before="0" w:after="240"/>
        <w:rPr>
          <w:rFonts w:eastAsia="Arial Unicode MS"/>
          <w:noProof/>
        </w:rPr>
      </w:pPr>
      <w:r>
        <w:rPr>
          <w:noProof/>
        </w:rPr>
        <w:t>Conformément à l'article 52 du règlement financier applicable au 11</w:t>
      </w:r>
      <w:r>
        <w:rPr>
          <w:noProof/>
          <w:vertAlign w:val="superscript"/>
        </w:rPr>
        <w:t>e</w:t>
      </w:r>
      <w:r>
        <w:rPr>
          <w:noProof/>
        </w:rPr>
        <w:t xml:space="preserve"> FED, la BEI a communiqué à la Commission ses prévisions actualisées des engagements et des paiements pour les instruments dont elle assure la gestion.</w:t>
      </w:r>
    </w:p>
    <w:p>
      <w:pPr>
        <w:pBdr>
          <w:top w:val="nil"/>
          <w:left w:val="nil"/>
          <w:bottom w:val="nil"/>
          <w:right w:val="nil"/>
          <w:between w:val="nil"/>
          <w:bar w:val="nil"/>
        </w:pBdr>
        <w:spacing w:before="0" w:after="240"/>
        <w:rPr>
          <w:rFonts w:eastAsia="Arial Unicode MS"/>
          <w:noProof/>
        </w:rPr>
      </w:pPr>
      <w:r>
        <w:rPr>
          <w:noProof/>
        </w:rPr>
        <w:t>Conformément à l’article 22, paragraphe 1, du règlement financier applicable au 11</w:t>
      </w:r>
      <w:r>
        <w:rPr>
          <w:noProof/>
          <w:vertAlign w:val="superscript"/>
        </w:rPr>
        <w:t>e</w:t>
      </w:r>
      <w:r>
        <w:rPr>
          <w:noProof/>
        </w:rPr>
        <w:t xml:space="preserve"> FED, les appels à contributions utilisent d’abord les montants prévus dans les FED antérieurs, les uns après les autres. Les appels à contributions qui font l’objet de la présente proposition concernent donc les montants au titre du 10</w:t>
      </w:r>
      <w:r>
        <w:rPr>
          <w:noProof/>
          <w:vertAlign w:val="superscript"/>
        </w:rPr>
        <w:t>e</w:t>
      </w:r>
      <w:r>
        <w:rPr>
          <w:noProof/>
        </w:rPr>
        <w:t xml:space="preserve"> FED pour la BEI et les montants du 11</w:t>
      </w:r>
      <w:r>
        <w:rPr>
          <w:noProof/>
          <w:vertAlign w:val="superscript"/>
        </w:rPr>
        <w:t>e</w:t>
      </w:r>
      <w:r>
        <w:rPr>
          <w:noProof/>
        </w:rPr>
        <w:t> FED pour la Commission européenne.</w:t>
      </w:r>
    </w:p>
    <w:p>
      <w:pPr>
        <w:pBdr>
          <w:top w:val="nil"/>
          <w:left w:val="nil"/>
          <w:bottom w:val="nil"/>
          <w:right w:val="nil"/>
          <w:between w:val="nil"/>
          <w:bar w:val="nil"/>
        </w:pBdr>
        <w:spacing w:before="0" w:after="240"/>
        <w:rPr>
          <w:rFonts w:eastAsia="Arial Unicode MS"/>
          <w:noProof/>
        </w:rPr>
      </w:pPr>
      <w:r>
        <w:rPr>
          <w:noProof/>
        </w:rPr>
        <w:t>Conformément à l’article 21, paragraphe 2, du règlement financier applicable au 11</w:t>
      </w:r>
      <w:r>
        <w:rPr>
          <w:noProof/>
          <w:vertAlign w:val="superscript"/>
        </w:rPr>
        <w:t>e</w:t>
      </w:r>
      <w:r>
        <w:rPr>
          <w:noProof/>
        </w:rPr>
        <w:t xml:space="preserve"> FED, le Conseil se prononce sur la présente proposition au plus tard le 15 novembre.</w:t>
      </w:r>
    </w:p>
    <w:p>
      <w:pPr>
        <w:pBdr>
          <w:top w:val="nil"/>
          <w:left w:val="nil"/>
          <w:bottom w:val="nil"/>
          <w:right w:val="nil"/>
          <w:between w:val="nil"/>
          <w:bar w:val="nil"/>
        </w:pBdr>
        <w:spacing w:before="0" w:after="240"/>
        <w:rPr>
          <w:rFonts w:eastAsia="Arial Unicode MS"/>
          <w:noProof/>
        </w:rPr>
      </w:pPr>
      <w:r>
        <w:rPr>
          <w:noProof/>
        </w:rPr>
        <w:t>Conformément à l’article 2 de la décision (UE) 2017/1206 du Conseil</w:t>
      </w:r>
      <w:r>
        <w:rPr>
          <w:rStyle w:val="FootnoteReference"/>
          <w:noProof/>
        </w:rPr>
        <w:footnoteReference w:id="4"/>
      </w:r>
      <w:r>
        <w:rPr>
          <w:noProof/>
        </w:rPr>
        <w:t>, les contributions respectives des États membres indiquées à l'article 1</w:t>
      </w:r>
      <w:r>
        <w:rPr>
          <w:noProof/>
          <w:vertAlign w:val="superscript"/>
        </w:rPr>
        <w:t>er</w:t>
      </w:r>
      <w:r>
        <w:rPr>
          <w:noProof/>
        </w:rPr>
        <w:t>, paragraphe 2, point a), des accords internes relatifs aux 8</w:t>
      </w:r>
      <w:r>
        <w:rPr>
          <w:noProof/>
          <w:vertAlign w:val="superscript"/>
        </w:rPr>
        <w:t>e</w:t>
      </w:r>
      <w:r>
        <w:rPr>
          <w:noProof/>
        </w:rPr>
        <w:t xml:space="preserve"> et 9</w:t>
      </w:r>
      <w:r>
        <w:rPr>
          <w:noProof/>
          <w:vertAlign w:val="superscript"/>
        </w:rPr>
        <w:t>e</w:t>
      </w:r>
      <w:r>
        <w:rPr>
          <w:noProof/>
        </w:rPr>
        <w:t xml:space="preserve"> FED sont réduites. La réduction est mise en œuvre sur la troisième tranche de 2017 et/ou la première tranche de 2018 des contributions des États membres selon l’option d’ajustement choisie par chacun d’entre eux.</w:t>
      </w:r>
    </w:p>
    <w:p>
      <w:pPr>
        <w:pBdr>
          <w:top w:val="nil"/>
          <w:left w:val="nil"/>
          <w:bottom w:val="nil"/>
          <w:right w:val="nil"/>
          <w:between w:val="nil"/>
          <w:bar w:val="nil"/>
        </w:pBdr>
        <w:spacing w:before="0" w:after="240"/>
        <w:rPr>
          <w:rFonts w:eastAsia="Arial Unicode MS"/>
          <w:noProof/>
        </w:rPr>
      </w:pPr>
      <w:r>
        <w:rPr>
          <w:noProof/>
        </w:rPr>
        <w:t>L’article 23, paragraphe 1, du règlement financier applicable au 11</w:t>
      </w:r>
      <w:r>
        <w:rPr>
          <w:noProof/>
          <w:vertAlign w:val="superscript"/>
        </w:rPr>
        <w:t>e</w:t>
      </w:r>
      <w:r>
        <w:rPr>
          <w:noProof/>
        </w:rPr>
        <w:t xml:space="preserve"> FED prévoit que, si les tranches de contributions exigibles ne sont pas versées dans les délais fixés, l’État membre concerné est redevable d’un intérêt sur la somme non payée, selon les modalités définies dans le même article.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Sans objet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2017/0274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aux contributions financières à verser par les États membres pour financer le Fonds européen de développement, notamment le plafond pour l'exercice 2019, le montant annuel pour l'exercice 2018, la première tranche pour l'exercice 2018 et des prévisions indicatives et non contraignantes concernant le montant annuel des contributions escompté pour les exercices 2020 et 2021</w:t>
      </w:r>
    </w:p>
    <w:p>
      <w:pPr>
        <w:pStyle w:val="Institutionquiagit"/>
        <w:rPr>
          <w:noProof/>
        </w:rPr>
      </w:pPr>
      <w:r>
        <w:rPr>
          <w:noProof/>
        </w:rPr>
        <w:t>LE CONSEIL DE L'UNION EUROPÉENNE,</w:t>
      </w:r>
    </w:p>
    <w:p>
      <w:pPr>
        <w:rPr>
          <w:noProof/>
        </w:rPr>
      </w:pPr>
      <w:r>
        <w:rPr>
          <w:noProof/>
        </w:rPr>
        <w:t>vu le traité sur l'Union européenne et le traité sur le fonctionnement de l'Union européenne,</w:t>
      </w:r>
    </w:p>
    <w:p>
      <w:pPr>
        <w:rPr>
          <w:noProof/>
        </w:rPr>
      </w:pPr>
      <w:r>
        <w:rPr>
          <w:noProof/>
        </w:rPr>
        <w:t>vu le règlement (UE) 2015/323 du Conseil du 2 mars 2015 portant règlement financier applicable au 11</w:t>
      </w:r>
      <w:r>
        <w:rPr>
          <w:noProof/>
          <w:vertAlign w:val="superscript"/>
        </w:rPr>
        <w:t>e</w:t>
      </w:r>
      <w:r>
        <w:rPr>
          <w:noProof/>
        </w:rPr>
        <w:t xml:space="preserve"> Fonds européen de développement</w:t>
      </w:r>
      <w:r>
        <w:rPr>
          <w:rStyle w:val="FootnoteReference"/>
          <w:noProof/>
        </w:rPr>
        <w:footnoteReference w:id="5"/>
      </w:r>
      <w:r>
        <w:rPr>
          <w:noProof/>
        </w:rPr>
        <w:t xml:space="preserve"> (ci-après le «règlement financier applicable au 11</w:t>
      </w:r>
      <w:r>
        <w:rPr>
          <w:noProof/>
          <w:vertAlign w:val="superscript"/>
        </w:rPr>
        <w:t>e</w:t>
      </w:r>
      <w:r>
        <w:rPr>
          <w:noProof/>
        </w:rPr>
        <w:t xml:space="preserve"> FED»), et notamment son article 21, paragraphe 2,</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 procédure visée à l'article 21, paragraphe 2, du règlement financier applicable au 11</w:t>
      </w:r>
      <w:r>
        <w:rPr>
          <w:noProof/>
          <w:vertAlign w:val="superscript"/>
        </w:rPr>
        <w:t>e</w:t>
      </w:r>
      <w:r>
        <w:rPr>
          <w:noProof/>
        </w:rPr>
        <w:t xml:space="preserve"> FED, la Commission présente, pour le 15 octobre 2017, une proposition qui précise a) le plafond du montant annuel des contributions pour l'exercice 2019; b) le montant annuel des contributions pour l’exercice 2018; c) le montant de la première tranche des contributions pour l’exercice 2018 et d) des prévisions indicatives et non contraignantes concernant le montant annuel des contributions escompté pour les exercices 2020 et 2021.</w:t>
      </w:r>
    </w:p>
    <w:p>
      <w:pPr>
        <w:pStyle w:val="ManualConsidrant"/>
        <w:rPr>
          <w:noProof/>
        </w:rPr>
      </w:pPr>
      <w:r>
        <w:t>(2)</w:t>
      </w:r>
      <w:r>
        <w:tab/>
      </w:r>
      <w:r>
        <w:rPr>
          <w:noProof/>
        </w:rPr>
        <w:t>Conformément à l'article 52 du règlement financier applicable au 11</w:t>
      </w:r>
      <w:r>
        <w:rPr>
          <w:noProof/>
          <w:vertAlign w:val="superscript"/>
        </w:rPr>
        <w:t>e</w:t>
      </w:r>
      <w:r>
        <w:rPr>
          <w:noProof/>
        </w:rPr>
        <w:t xml:space="preserve"> FED, la Banque européenne d'investissement a communiqué le 4 septembre 2017 à la Commission ses prévisions actualisées des engagements et des paiements pour les instruments dont elle assure la gestion.</w:t>
      </w:r>
    </w:p>
    <w:p>
      <w:pPr>
        <w:pStyle w:val="ManualConsidrant"/>
        <w:rPr>
          <w:noProof/>
        </w:rPr>
      </w:pPr>
      <w:r>
        <w:t>(3)</w:t>
      </w:r>
      <w:r>
        <w:tab/>
      </w:r>
      <w:r>
        <w:rPr>
          <w:noProof/>
        </w:rPr>
        <w:t>L'article 22, paragraphe 1, du règlement financier applicable au 11</w:t>
      </w:r>
      <w:r>
        <w:rPr>
          <w:noProof/>
          <w:vertAlign w:val="superscript"/>
        </w:rPr>
        <w:t>e</w:t>
      </w:r>
      <w:r>
        <w:rPr>
          <w:noProof/>
        </w:rPr>
        <w:t xml:space="preserve"> FED dispose que les appels à contributions utilisent d'abord les montants prévus dans les FED antérieurs. Il convient, par conséquent, de lancer un appel de fonds au titre du 10</w:t>
      </w:r>
      <w:r>
        <w:rPr>
          <w:noProof/>
          <w:vertAlign w:val="superscript"/>
        </w:rPr>
        <w:t>e</w:t>
      </w:r>
      <w:r>
        <w:rPr>
          <w:noProof/>
        </w:rPr>
        <w:t xml:space="preserve"> FED pour la BEI et du 11</w:t>
      </w:r>
      <w:r>
        <w:rPr>
          <w:noProof/>
          <w:vertAlign w:val="superscript"/>
        </w:rPr>
        <w:t>e</w:t>
      </w:r>
      <w:r>
        <w:rPr>
          <w:noProof/>
        </w:rPr>
        <w:t xml:space="preserve"> FED pour la Commission.</w:t>
      </w:r>
    </w:p>
    <w:p>
      <w:pPr>
        <w:pStyle w:val="ManualConsidrant"/>
        <w:rPr>
          <w:noProof/>
        </w:rPr>
      </w:pPr>
      <w:r>
        <w:t>(4)</w:t>
      </w:r>
      <w:r>
        <w:tab/>
      </w:r>
      <w:r>
        <w:rPr>
          <w:noProof/>
        </w:rPr>
        <w:t>La décision (UE) 2016/2026 du Conseil du 15 novembre 2016 relative aux contributions financières à verser par les États membres pour financer le Fonds européen de développement, notamment le plafond pour l'exercice 2018, le montant annuel pour l'exercice 2017, la première tranche pour l'exercice 2017 et des prévisions indicatives et non contraignantes concernant le montant annuel des contributions escompté pour les exercices 2019 et 2020</w:t>
      </w:r>
      <w:r>
        <w:rPr>
          <w:rStyle w:val="FootnoteReference"/>
          <w:noProof/>
        </w:rPr>
        <w:footnoteReference w:id="6"/>
      </w:r>
      <w:r>
        <w:rPr>
          <w:noProof/>
        </w:rPr>
        <w:t xml:space="preserve"> fixe le plafond du montant annuel des contributions des États membres au FED pour l’exercice 2018 à 4 550 000 000 EUR pour la Commission et à 250 000 000 pour la BEI.</w:t>
      </w:r>
    </w:p>
    <w:p>
      <w:pPr>
        <w:pStyle w:val="ManualConsidrant"/>
        <w:rPr>
          <w:noProof/>
        </w:rPr>
      </w:pPr>
      <w:r>
        <w:t>(5)</w:t>
      </w:r>
      <w:r>
        <w:tab/>
      </w:r>
      <w:r>
        <w:rPr>
          <w:noProof/>
        </w:rPr>
        <w:t>La décision (UE) 2017/1206 du Conseil du 4 juillet 2017 relative aux contributions financières à verser par les États membres pour financer le Fonds européen de développement, notamment la deuxième tranche pour 2017</w:t>
      </w:r>
      <w:r>
        <w:rPr>
          <w:rStyle w:val="FootnoteReference"/>
          <w:noProof/>
        </w:rPr>
        <w:footnoteReference w:id="7"/>
      </w:r>
      <w:r>
        <w:rPr>
          <w:noProof/>
        </w:rPr>
        <w:t>, fixe à 200 000 000 EUR la réduction de la contribution provenant de fonds dégagés au titre des 8</w:t>
      </w:r>
      <w:r>
        <w:rPr>
          <w:noProof/>
          <w:vertAlign w:val="superscript"/>
        </w:rPr>
        <w:t>e</w:t>
      </w:r>
      <w:r>
        <w:rPr>
          <w:noProof/>
        </w:rPr>
        <w:t xml:space="preserve"> et 9</w:t>
      </w:r>
      <w:r>
        <w:rPr>
          <w:noProof/>
          <w:vertAlign w:val="superscript"/>
        </w:rPr>
        <w:t>e</w:t>
      </w:r>
      <w:r>
        <w:rPr>
          <w:noProof/>
        </w:rPr>
        <w:t xml:space="preserve"> FED,</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Le plafond du montant annuel des contributions des États membres au FED pour l’exercice 2019 est fixé à 4 900 000 000 EUR. Il est réparti entre la Commission à hauteur de 4 600 000 000 EUR et la BEI à hauteur de 300 000 000 EUR.</w:t>
      </w:r>
    </w:p>
    <w:p>
      <w:pPr>
        <w:pStyle w:val="Titrearticle"/>
        <w:keepNext w:val="0"/>
        <w:rPr>
          <w:noProof/>
        </w:rPr>
      </w:pPr>
      <w:r>
        <w:rPr>
          <w:noProof/>
        </w:rPr>
        <w:t>Article 2</w:t>
      </w:r>
    </w:p>
    <w:p>
      <w:pPr>
        <w:keepLines/>
        <w:rPr>
          <w:noProof/>
        </w:rPr>
      </w:pPr>
      <w:r>
        <w:rPr>
          <w:noProof/>
        </w:rPr>
        <w:t>Le montant annuel des contributions des États membres au FED pour l’exercice 2018 est fixé à 4 800 000 000 EUR. Il est réparti entre la Commission à hauteur de 4 550 000 000 EUR et la BEI à hauteur de 250 000 000 EUR.</w:t>
      </w:r>
    </w:p>
    <w:p>
      <w:pPr>
        <w:pStyle w:val="Titrearticle"/>
        <w:keepNext w:val="0"/>
        <w:rPr>
          <w:noProof/>
        </w:rPr>
      </w:pPr>
      <w:r>
        <w:rPr>
          <w:noProof/>
        </w:rPr>
        <w:t>Article 3</w:t>
      </w:r>
    </w:p>
    <w:p>
      <w:pPr>
        <w:rPr>
          <w:noProof/>
        </w:rPr>
      </w:pPr>
      <w:r>
        <w:rPr>
          <w:noProof/>
        </w:rPr>
        <w:t>Les contributions individuelles au Fonds européen de développement à verser par les États membres à la Commission européenne et à la Banque européenne d'investissement au titre de la première tranche pour 2018 sont indiquées dans le tableau figurant à l'annexe de la présente décision.</w:t>
      </w:r>
    </w:p>
    <w:p>
      <w:pPr>
        <w:rPr>
          <w:noProof/>
        </w:rPr>
      </w:pPr>
      <w:r>
        <w:rPr>
          <w:noProof/>
        </w:rPr>
        <w:t>Le paiement de ces contributions peut être combiné avec les adaptations résultant de l'application de la réduction des contributions d’un montant de 200 000 000 EUR provenant de fonds dégagés au titre des 8</w:t>
      </w:r>
      <w:r>
        <w:rPr>
          <w:noProof/>
          <w:vertAlign w:val="superscript"/>
        </w:rPr>
        <w:t>e</w:t>
      </w:r>
      <w:r>
        <w:rPr>
          <w:noProof/>
        </w:rPr>
        <w:t xml:space="preserve"> et 9</w:t>
      </w:r>
      <w:r>
        <w:rPr>
          <w:noProof/>
          <w:vertAlign w:val="superscript"/>
        </w:rPr>
        <w:t>e</w:t>
      </w:r>
      <w:r>
        <w:rPr>
          <w:noProof/>
        </w:rPr>
        <w:t xml:space="preserve"> FED, selon le plan d'adaptation communiqué par chaque État membre.</w:t>
      </w:r>
    </w:p>
    <w:p>
      <w:pPr>
        <w:pStyle w:val="Titrearticle"/>
        <w:keepNext w:val="0"/>
        <w:rPr>
          <w:noProof/>
        </w:rPr>
      </w:pPr>
      <w:r>
        <w:rPr>
          <w:noProof/>
        </w:rPr>
        <w:t>Article 4</w:t>
      </w:r>
    </w:p>
    <w:p>
      <w:pPr>
        <w:keepLines/>
        <w:rPr>
          <w:noProof/>
        </w:rPr>
      </w:pPr>
      <w:r>
        <w:rPr>
          <w:noProof/>
        </w:rPr>
        <w:t>Les prévisions indicatives non contraignantes concernant le montant annuel des contributions escompté pour l’exercice 2020 sont fixées à 4 600 000 000 EUR pour la Commission et à 300 000 000 EUR pour la BEI, et, pour l’exercice 2021, à 4 700 000 000 EUR pour la Commission et à 300 000 000 EUR pour la BEI.</w:t>
      </w:r>
    </w:p>
    <w:p>
      <w:pPr>
        <w:pStyle w:val="Titrearticle"/>
        <w:keepNext w:val="0"/>
        <w:rPr>
          <w:noProof/>
        </w:rPr>
      </w:pPr>
      <w:r>
        <w:rPr>
          <w:noProof/>
        </w:rPr>
        <w:t>Article 5</w:t>
      </w:r>
    </w:p>
    <w:p>
      <w:pPr>
        <w:keepLines/>
        <w:rPr>
          <w:noProof/>
        </w:rPr>
      </w:pPr>
      <w:r>
        <w:rPr>
          <w:noProof/>
        </w:rPr>
        <w:t>La présente décision entre en vigueur le jour de son adoption.</w:t>
      </w:r>
    </w:p>
    <w:p>
      <w:pPr>
        <w:keepNext/>
        <w:keepLines/>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317 du 15.12.2000, p. 3.</w:t>
      </w:r>
    </w:p>
  </w:footnote>
  <w:footnote w:id="2">
    <w:p>
      <w:pPr>
        <w:pStyle w:val="FootnoteText"/>
        <w:rPr>
          <w:lang w:val="pl-PL"/>
        </w:rPr>
      </w:pPr>
      <w:r>
        <w:rPr>
          <w:rStyle w:val="FootnoteReference"/>
        </w:rPr>
        <w:footnoteRef/>
      </w:r>
      <w:r>
        <w:tab/>
        <w:t>JO L 210 du 6.8.2013, p. 1.</w:t>
      </w:r>
    </w:p>
  </w:footnote>
  <w:footnote w:id="3">
    <w:p>
      <w:pPr>
        <w:pStyle w:val="FootnoteText"/>
        <w:rPr>
          <w:lang w:val="pl-PL"/>
        </w:rPr>
      </w:pPr>
      <w:r>
        <w:rPr>
          <w:rStyle w:val="FootnoteReference"/>
        </w:rPr>
        <w:footnoteRef/>
      </w:r>
      <w:r>
        <w:tab/>
        <w:t>JO L 58 du 3.3.2015, p. 17.</w:t>
      </w:r>
    </w:p>
  </w:footnote>
  <w:footnote w:id="4">
    <w:p>
      <w:pPr>
        <w:pStyle w:val="FootnoteText"/>
        <w:rPr>
          <w:lang w:val="pl-PL"/>
        </w:rPr>
      </w:pPr>
      <w:r>
        <w:rPr>
          <w:rStyle w:val="FootnoteReference"/>
        </w:rPr>
        <w:footnoteRef/>
      </w:r>
      <w:r>
        <w:tab/>
        <w:t>JO L 173 du 6.7.2017, p. 15.</w:t>
      </w:r>
    </w:p>
  </w:footnote>
  <w:footnote w:id="5">
    <w:p>
      <w:pPr>
        <w:pStyle w:val="FootnoteText"/>
        <w:rPr>
          <w:lang w:val="pl-PL"/>
        </w:rPr>
      </w:pPr>
      <w:r>
        <w:rPr>
          <w:rStyle w:val="FootnoteReference"/>
        </w:rPr>
        <w:footnoteRef/>
      </w:r>
      <w:r>
        <w:tab/>
        <w:t>JO L 58 du 3.3.2015, p. 17.</w:t>
      </w:r>
    </w:p>
  </w:footnote>
  <w:footnote w:id="6">
    <w:p>
      <w:pPr>
        <w:pStyle w:val="FootnoteText"/>
        <w:rPr>
          <w:lang w:val="pl-PL"/>
        </w:rPr>
      </w:pPr>
      <w:r>
        <w:rPr>
          <w:rStyle w:val="FootnoteReference"/>
        </w:rPr>
        <w:footnoteRef/>
      </w:r>
      <w:r>
        <w:tab/>
        <w:t>JO L 313 du 19.11.2016, p. 25.</w:t>
      </w:r>
    </w:p>
  </w:footnote>
  <w:footnote w:id="7">
    <w:p>
      <w:pPr>
        <w:pStyle w:val="FootnoteText"/>
        <w:rPr>
          <w:lang w:val="pl-PL"/>
        </w:rPr>
      </w:pPr>
      <w:r>
        <w:rPr>
          <w:rStyle w:val="FootnoteReference"/>
        </w:rPr>
        <w:footnoteRef/>
      </w:r>
      <w:r>
        <w:tab/>
        <w:t>JO L 173 du 6.7.2017, p.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98BE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D20ED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C6804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896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9A5E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3C99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60ACA8"/>
    <w:lvl w:ilvl="0">
      <w:start w:val="1"/>
      <w:numFmt w:val="decimal"/>
      <w:pStyle w:val="ListNumber"/>
      <w:lvlText w:val="%1."/>
      <w:lvlJc w:val="left"/>
      <w:pPr>
        <w:tabs>
          <w:tab w:val="num" w:pos="360"/>
        </w:tabs>
        <w:ind w:left="360" w:hanging="360"/>
      </w:pPr>
    </w:lvl>
  </w:abstractNum>
  <w:abstractNum w:abstractNumId="7">
    <w:nsid w:val="FFFFFF89"/>
    <w:multiLevelType w:val="singleLevel"/>
    <w:tmpl w:val="CD0027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4 14:37: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FF715772A464C60915086E864DE3339"/>
    <w:docVar w:name="LW_CROSSREFERENCE" w:val="&lt;UNUSED&gt;"/>
    <w:docVar w:name="LW_DocType" w:val="COM"/>
    <w:docVar w:name="LW_EMISSION" w:val="25.10.2017"/>
    <w:docVar w:name="LW_EMISSION_ISODATE" w:val="2017-10-2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74"/>
    <w:docVar w:name="LW_REF.II.NEW.CP_YEAR" w:val="2017"/>
    <w:docVar w:name="LW_REF.INST.NEW" w:val="COM"/>
    <w:docVar w:name="LW_REF.INST.NEW_ADOPTED" w:val="final"/>
    <w:docVar w:name="LW_REF.INST.NEW_TEXT" w:val="(2017) 625"/>
    <w:docVar w:name="LW_REF.INTERNE" w:val="&lt;UNUSED&gt;"/>
    <w:docVar w:name="LW_SOUS.TITRE.OBJ.CP" w:val="&lt;UNUSED&gt;"/>
    <w:docVar w:name="LW_STATUT.CP" w:val="Proposition de"/>
    <w:docVar w:name="LW_SUPERTITRE" w:val="&lt;UNUSED&gt;"/>
    <w:docVar w:name="LW_TITRE.OBJ.CP" w:val="relative aux contributions financières à verser par les États membres pour financer le Fonds européen de développement, notamment le plafond pour l'exercice 2019, le montant annuel pour l'exercice 2018, la première tranche pour l'exercice 2018 et des prévisions indicatives et non contraignantes concernant le montant annuel des contributions escompté pour les exercices 2020 et 2021"/>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6AA1A-2B1B-4FD3-949A-DDA010B6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1518</Words>
  <Characters>8213</Characters>
  <Application>Microsoft Office Word</Application>
  <DocSecurity>0</DocSecurity>
  <Lines>164</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2017-09-04T16:34:00Z</cp:lastPrinted>
  <dcterms:created xsi:type="dcterms:W3CDTF">2017-10-16T07:11:00Z</dcterms:created>
  <dcterms:modified xsi:type="dcterms:W3CDTF">2017-10-24T12:37:00Z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