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6DB6A3058B744D93B0E1EF48D7C4A5AB" style="width:450.35pt;height:410.9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Objetacteprincipal"/>
        <w:rPr>
          <w:noProof/>
        </w:rPr>
      </w:pPr>
      <w:bookmarkStart w:id="0" w:name="_GoBack"/>
      <w:bookmarkEnd w:id="0"/>
      <w:r>
        <w:rPr>
          <w:noProof/>
        </w:rPr>
        <w:lastRenderedPageBreak/>
        <w:t>ANNEX</w:t>
      </w:r>
    </w:p>
    <w:tbl>
      <w:tblPr>
        <w:tblW w:w="7640" w:type="dxa"/>
        <w:jc w:val="center"/>
        <w:tblInd w:w="93" w:type="dxa"/>
        <w:tblLook w:val="04A0" w:firstRow="1" w:lastRow="0" w:firstColumn="1" w:lastColumn="0" w:noHBand="0" w:noVBand="1"/>
      </w:tblPr>
      <w:tblGrid>
        <w:gridCol w:w="1780"/>
        <w:gridCol w:w="880"/>
        <w:gridCol w:w="900"/>
        <w:gridCol w:w="1403"/>
        <w:gridCol w:w="1257"/>
        <w:gridCol w:w="1420"/>
      </w:tblGrid>
      <w:tr>
        <w:trPr>
          <w:trHeight w:val="282"/>
          <w:jc w:val="center"/>
        </w:trPr>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MEMBER STATES</w:t>
            </w: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pPr>
              <w:spacing w:before="0" w:after="0"/>
              <w:jc w:val="center"/>
              <w:rPr>
                <w:rFonts w:eastAsia="Times New Roman"/>
                <w:b/>
                <w:bCs/>
                <w:noProof/>
                <w:sz w:val="16"/>
                <w:szCs w:val="16"/>
                <w:lang w:eastAsia="en-GB"/>
              </w:rPr>
            </w:pPr>
            <w:r>
              <w:rPr>
                <w:rFonts w:eastAsia="Times New Roman"/>
                <w:b/>
                <w:bCs/>
                <w:noProof/>
                <w:sz w:val="16"/>
                <w:szCs w:val="16"/>
                <w:lang w:eastAsia="en-GB"/>
              </w:rPr>
              <w:t>Key 10</w:t>
            </w:r>
            <w:r>
              <w:rPr>
                <w:rFonts w:eastAsia="Times New Roman"/>
                <w:b/>
                <w:bCs/>
                <w:noProof/>
                <w:sz w:val="16"/>
                <w:szCs w:val="16"/>
                <w:vertAlign w:val="superscript"/>
                <w:lang w:eastAsia="en-GB"/>
              </w:rPr>
              <w:t>th</w:t>
            </w:r>
            <w:r>
              <w:rPr>
                <w:rFonts w:eastAsia="Times New Roman"/>
                <w:b/>
                <w:bCs/>
                <w:noProof/>
                <w:sz w:val="16"/>
                <w:szCs w:val="16"/>
                <w:lang w:eastAsia="en-GB"/>
              </w:rPr>
              <w:t xml:space="preserve"> EDF %</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pPr>
              <w:spacing w:before="0" w:after="0"/>
              <w:jc w:val="center"/>
              <w:rPr>
                <w:rFonts w:eastAsia="Times New Roman"/>
                <w:b/>
                <w:bCs/>
                <w:noProof/>
                <w:sz w:val="16"/>
                <w:szCs w:val="16"/>
                <w:lang w:eastAsia="en-GB"/>
              </w:rPr>
            </w:pPr>
            <w:r>
              <w:rPr>
                <w:rFonts w:eastAsia="Times New Roman"/>
                <w:b/>
                <w:bCs/>
                <w:noProof/>
                <w:sz w:val="16"/>
                <w:szCs w:val="16"/>
                <w:lang w:eastAsia="en-GB"/>
              </w:rPr>
              <w:t>Key 11</w:t>
            </w:r>
            <w:r>
              <w:rPr>
                <w:rFonts w:eastAsia="Times New Roman"/>
                <w:b/>
                <w:bCs/>
                <w:noProof/>
                <w:sz w:val="16"/>
                <w:szCs w:val="16"/>
                <w:vertAlign w:val="superscript"/>
                <w:lang w:eastAsia="en-GB"/>
              </w:rPr>
              <w:t>th</w:t>
            </w:r>
            <w:r>
              <w:rPr>
                <w:rFonts w:eastAsia="Times New Roman"/>
                <w:b/>
                <w:bCs/>
                <w:noProof/>
                <w:sz w:val="16"/>
                <w:szCs w:val="16"/>
                <w:lang w:eastAsia="en-GB"/>
              </w:rPr>
              <w:t xml:space="preserve"> EDF %</w:t>
            </w:r>
          </w:p>
        </w:tc>
        <w:tc>
          <w:tcPr>
            <w:tcW w:w="2660" w:type="dxa"/>
            <w:gridSpan w:val="2"/>
            <w:tcBorders>
              <w:top w:val="single" w:sz="4" w:space="0" w:color="auto"/>
              <w:left w:val="nil"/>
              <w:bottom w:val="single" w:sz="4" w:space="0" w:color="auto"/>
              <w:right w:val="single" w:sz="4" w:space="0" w:color="000000"/>
            </w:tcBorders>
            <w:shd w:val="clear" w:color="auto" w:fill="auto"/>
            <w:vAlign w:val="center"/>
            <w:hideMark/>
          </w:tcPr>
          <w:p>
            <w:pPr>
              <w:spacing w:before="0" w:after="0"/>
              <w:jc w:val="center"/>
              <w:rPr>
                <w:rFonts w:eastAsia="Times New Roman"/>
                <w:b/>
                <w:bCs/>
                <w:noProof/>
                <w:sz w:val="16"/>
                <w:szCs w:val="16"/>
                <w:lang w:eastAsia="en-GB"/>
              </w:rPr>
            </w:pPr>
            <w:r>
              <w:rPr>
                <w:rFonts w:eastAsia="Times New Roman"/>
                <w:b/>
                <w:bCs/>
                <w:noProof/>
                <w:sz w:val="16"/>
                <w:szCs w:val="16"/>
                <w:lang w:eastAsia="en-GB"/>
              </w:rPr>
              <w:t>1</w:t>
            </w:r>
            <w:r>
              <w:rPr>
                <w:rFonts w:eastAsia="Times New Roman"/>
                <w:b/>
                <w:bCs/>
                <w:noProof/>
                <w:sz w:val="16"/>
                <w:szCs w:val="16"/>
                <w:vertAlign w:val="superscript"/>
                <w:lang w:eastAsia="en-GB"/>
              </w:rPr>
              <w:t>st</w:t>
            </w:r>
            <w:r>
              <w:rPr>
                <w:rFonts w:eastAsia="Times New Roman"/>
                <w:b/>
                <w:bCs/>
                <w:noProof/>
                <w:sz w:val="16"/>
                <w:szCs w:val="16"/>
                <w:lang w:eastAsia="en-GB"/>
              </w:rPr>
              <w:t xml:space="preserve"> instalment 2018 (EUR)</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spacing w:before="0" w:after="0"/>
              <w:jc w:val="center"/>
              <w:rPr>
                <w:rFonts w:eastAsia="Times New Roman"/>
                <w:b/>
                <w:bCs/>
                <w:noProof/>
                <w:sz w:val="16"/>
                <w:szCs w:val="16"/>
                <w:lang w:eastAsia="en-GB"/>
              </w:rPr>
            </w:pPr>
            <w:r>
              <w:rPr>
                <w:rFonts w:eastAsia="Times New Roman"/>
                <w:b/>
                <w:bCs/>
                <w:noProof/>
                <w:sz w:val="16"/>
                <w:szCs w:val="16"/>
                <w:lang w:eastAsia="en-GB"/>
              </w:rPr>
              <w:t>Total</w:t>
            </w:r>
          </w:p>
        </w:tc>
      </w:tr>
      <w:tr>
        <w:trPr>
          <w:trHeight w:val="225"/>
          <w:jc w:val="center"/>
        </w:trPr>
        <w:tc>
          <w:tcPr>
            <w:tcW w:w="178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sz w:val="16"/>
                <w:szCs w:val="16"/>
                <w:lang w:eastAsia="en-GB"/>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sz w:val="16"/>
                <w:szCs w:val="16"/>
                <w:lang w:eastAsia="en-GB"/>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sz w:val="16"/>
                <w:szCs w:val="16"/>
                <w:lang w:eastAsia="en-GB"/>
              </w:rPr>
            </w:pPr>
          </w:p>
        </w:tc>
        <w:tc>
          <w:tcPr>
            <w:tcW w:w="1403" w:type="dxa"/>
            <w:tcBorders>
              <w:top w:val="nil"/>
              <w:left w:val="nil"/>
              <w:bottom w:val="nil"/>
              <w:right w:val="single" w:sz="4" w:space="0" w:color="auto"/>
            </w:tcBorders>
            <w:shd w:val="clear" w:color="auto" w:fill="auto"/>
            <w:noWrap/>
            <w:vAlign w:val="bottom"/>
            <w:hideMark/>
          </w:tcPr>
          <w:p>
            <w:pPr>
              <w:spacing w:before="0" w:after="0"/>
              <w:jc w:val="center"/>
              <w:rPr>
                <w:rFonts w:eastAsia="Times New Roman"/>
                <w:b/>
                <w:bCs/>
                <w:noProof/>
                <w:sz w:val="16"/>
                <w:szCs w:val="16"/>
                <w:lang w:eastAsia="en-GB"/>
              </w:rPr>
            </w:pPr>
            <w:r>
              <w:rPr>
                <w:rFonts w:eastAsia="Times New Roman"/>
                <w:b/>
                <w:bCs/>
                <w:noProof/>
                <w:sz w:val="16"/>
                <w:szCs w:val="16"/>
                <w:lang w:eastAsia="en-GB"/>
              </w:rPr>
              <w:t>Commission</w:t>
            </w:r>
          </w:p>
        </w:tc>
        <w:tc>
          <w:tcPr>
            <w:tcW w:w="1257" w:type="dxa"/>
            <w:tcBorders>
              <w:top w:val="nil"/>
              <w:left w:val="nil"/>
              <w:bottom w:val="nil"/>
              <w:right w:val="single" w:sz="4" w:space="0" w:color="auto"/>
            </w:tcBorders>
            <w:shd w:val="clear" w:color="auto" w:fill="auto"/>
            <w:noWrap/>
            <w:vAlign w:val="bottom"/>
            <w:hideMark/>
          </w:tcPr>
          <w:p>
            <w:pPr>
              <w:spacing w:before="0" w:after="0"/>
              <w:jc w:val="center"/>
              <w:rPr>
                <w:rFonts w:eastAsia="Times New Roman"/>
                <w:b/>
                <w:bCs/>
                <w:noProof/>
                <w:sz w:val="16"/>
                <w:szCs w:val="16"/>
                <w:lang w:eastAsia="en-GB"/>
              </w:rPr>
            </w:pPr>
            <w:r>
              <w:rPr>
                <w:rFonts w:eastAsia="Times New Roman"/>
                <w:b/>
                <w:bCs/>
                <w:noProof/>
                <w:sz w:val="16"/>
                <w:szCs w:val="16"/>
                <w:lang w:eastAsia="en-GB"/>
              </w:rPr>
              <w:t>EIB</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sz w:val="16"/>
                <w:szCs w:val="16"/>
                <w:lang w:eastAsia="en-GB"/>
              </w:rPr>
            </w:pPr>
          </w:p>
        </w:tc>
      </w:tr>
      <w:tr>
        <w:trPr>
          <w:trHeight w:val="225"/>
          <w:jc w:val="center"/>
        </w:trPr>
        <w:tc>
          <w:tcPr>
            <w:tcW w:w="178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sz w:val="16"/>
                <w:szCs w:val="16"/>
                <w:lang w:eastAsia="en-GB"/>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sz w:val="16"/>
                <w:szCs w:val="16"/>
                <w:lang w:eastAsia="en-GB"/>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sz w:val="16"/>
                <w:szCs w:val="16"/>
                <w:lang w:eastAsia="en-GB"/>
              </w:rPr>
            </w:pPr>
          </w:p>
        </w:tc>
        <w:tc>
          <w:tcPr>
            <w:tcW w:w="1403" w:type="dxa"/>
            <w:tcBorders>
              <w:top w:val="nil"/>
              <w:left w:val="nil"/>
              <w:bottom w:val="single" w:sz="4" w:space="0" w:color="auto"/>
              <w:right w:val="single" w:sz="4" w:space="0" w:color="auto"/>
            </w:tcBorders>
            <w:shd w:val="clear" w:color="auto" w:fill="auto"/>
            <w:noWrap/>
            <w:vAlign w:val="bottom"/>
            <w:hideMark/>
          </w:tcPr>
          <w:p>
            <w:pPr>
              <w:spacing w:before="0" w:after="0"/>
              <w:jc w:val="center"/>
              <w:rPr>
                <w:rFonts w:eastAsia="Times New Roman"/>
                <w:b/>
                <w:bCs/>
                <w:noProof/>
                <w:sz w:val="16"/>
                <w:szCs w:val="16"/>
                <w:lang w:eastAsia="en-GB"/>
              </w:rPr>
            </w:pPr>
            <w:r>
              <w:rPr>
                <w:rFonts w:eastAsia="Times New Roman"/>
                <w:b/>
                <w:bCs/>
                <w:noProof/>
                <w:sz w:val="16"/>
                <w:szCs w:val="16"/>
                <w:lang w:eastAsia="en-GB"/>
              </w:rPr>
              <w:t>11</w:t>
            </w:r>
            <w:r>
              <w:rPr>
                <w:rFonts w:eastAsia="Times New Roman"/>
                <w:b/>
                <w:bCs/>
                <w:noProof/>
                <w:sz w:val="16"/>
                <w:szCs w:val="16"/>
                <w:vertAlign w:val="superscript"/>
                <w:lang w:eastAsia="en-GB"/>
              </w:rPr>
              <w:t>th</w:t>
            </w:r>
            <w:r>
              <w:rPr>
                <w:rFonts w:eastAsia="Times New Roman"/>
                <w:b/>
                <w:bCs/>
                <w:noProof/>
                <w:sz w:val="16"/>
                <w:szCs w:val="16"/>
                <w:lang w:eastAsia="en-GB"/>
              </w:rPr>
              <w:t xml:space="preserve"> EDF</w:t>
            </w:r>
          </w:p>
        </w:tc>
        <w:tc>
          <w:tcPr>
            <w:tcW w:w="1257" w:type="dxa"/>
            <w:tcBorders>
              <w:top w:val="nil"/>
              <w:left w:val="nil"/>
              <w:bottom w:val="single" w:sz="4" w:space="0" w:color="auto"/>
              <w:right w:val="single" w:sz="4" w:space="0" w:color="auto"/>
            </w:tcBorders>
            <w:shd w:val="clear" w:color="auto" w:fill="auto"/>
            <w:noWrap/>
            <w:vAlign w:val="bottom"/>
            <w:hideMark/>
          </w:tcPr>
          <w:p>
            <w:pPr>
              <w:spacing w:before="0" w:after="0"/>
              <w:jc w:val="center"/>
              <w:rPr>
                <w:rFonts w:eastAsia="Times New Roman"/>
                <w:b/>
                <w:bCs/>
                <w:noProof/>
                <w:sz w:val="16"/>
                <w:szCs w:val="16"/>
                <w:lang w:eastAsia="en-GB"/>
              </w:rPr>
            </w:pPr>
            <w:r>
              <w:rPr>
                <w:rFonts w:eastAsia="Times New Roman"/>
                <w:b/>
                <w:bCs/>
                <w:noProof/>
                <w:sz w:val="16"/>
                <w:szCs w:val="16"/>
                <w:lang w:eastAsia="en-GB"/>
              </w:rPr>
              <w:t>10</w:t>
            </w:r>
            <w:r>
              <w:rPr>
                <w:rFonts w:eastAsia="Times New Roman"/>
                <w:b/>
                <w:bCs/>
                <w:noProof/>
                <w:sz w:val="16"/>
                <w:szCs w:val="16"/>
                <w:vertAlign w:val="superscript"/>
                <w:lang w:eastAsia="en-GB"/>
              </w:rPr>
              <w:t>th</w:t>
            </w:r>
            <w:r>
              <w:rPr>
                <w:rFonts w:eastAsia="Times New Roman"/>
                <w:b/>
                <w:bCs/>
                <w:noProof/>
                <w:sz w:val="16"/>
                <w:szCs w:val="16"/>
                <w:lang w:eastAsia="en-GB"/>
              </w:rPr>
              <w:t xml:space="preserve"> EDF</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eastAsia="Times New Roman"/>
                <w:b/>
                <w:bCs/>
                <w:noProof/>
                <w:sz w:val="16"/>
                <w:szCs w:val="16"/>
                <w:lang w:eastAsia="en-GB"/>
              </w:rPr>
            </w:pP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BELGIUM</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3.53</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3.24927</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66 610 035.00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5 295 000.00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71 905 035.00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BULGARIA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0.14</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0.21853</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4 479 865.00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210 000.00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4 689 865.00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CZECH REPUBLIC</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0.51</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0.79745</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16 347 725.00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765 000.00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17 112 725.00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DENMARK</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2.00</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1.98045</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40 599 225.00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3 000 000.00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43 599 225.00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GERMANY</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20.50</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20.57980</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421 885 900.00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30 750 000.00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452 635 900.00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ESTONIA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0.05</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0.08635</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1 770 175.00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75 000.00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1 845 175.00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IRELAND</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0.91</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0.94006</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19 271 230.00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1 365 000.00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20 636 230.00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GREECE</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1.47</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1.50735</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30 900 675.00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2 205 000.00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33 105 675.00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SPAIN</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7.85</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7.93248</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162 615 840.00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11 775 000.00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174 390 840.00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FRANCE</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19.55</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17.81269</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365 160 145.00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29 325 000.00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394 485 145.00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CROATIA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0.00</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0.22518</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4 616 190.00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4 616 190.00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ITALY</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12.86</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12.53009</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256 866 845.00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19 290 000.00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276 156 845.00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CYPRUS</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0.09</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0.11162</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2 288 210.00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135 000.00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2 423 210.00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LATVIA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0.07</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0.11612</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2 380 460.00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105 000.00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2 485 460.00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LITHUANIA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0.12</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0.18077</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3 705 785.00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180 000.00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3 885 785.00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LUXEMBOURG</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0.27</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0.25509</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5 229 345.00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405 000.00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5 634 345.00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HUNGARY</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0.55</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0.61456</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12 598 480.00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825 000.00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13 423 480.00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MALTA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0.03</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0.03801</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779 205.00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824 205.00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NETHERLANDS</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4.85</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4.77678</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97 923 990.00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7 275 000.00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105 198 990.00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AUSTRIA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2.41</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2.39757</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49 150 185.00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3 615 000.00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52 765 185.00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POLAND</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1.30</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2.00734</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41 150 470.00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1 950 000.00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43 100 470.00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PORTUGAL</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1.15</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1.19679</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24 534 195.00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1 725 000.00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26 259 195.00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ROMANIA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0.37</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0.71815</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14 722 075.00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555 000.00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15 277 075.00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SLOVENIA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0.18</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0.22452</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4 602 660.00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270 000.00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4 872 660.00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SLOVAKIA</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0.21</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0.37616</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7 711 280.00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315 000.00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8 026 280.00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FINLAND</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1.47</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1.50909</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30 936 345.00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2 205 000.00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33 141 345.00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SWEDEN</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2.74</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2.93911</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60 251 755.00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4 110 000.00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64 361 755.00</w:t>
            </w:r>
          </w:p>
        </w:tc>
      </w:tr>
      <w:tr>
        <w:trPr>
          <w:trHeight w:val="259"/>
          <w:jc w:val="center"/>
        </w:trPr>
        <w:tc>
          <w:tcPr>
            <w:tcW w:w="1780" w:type="dxa"/>
            <w:tcBorders>
              <w:top w:val="nil"/>
              <w:left w:val="single" w:sz="4" w:space="0" w:color="auto"/>
              <w:bottom w:val="nil"/>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UNITED KINGDOM</w:t>
            </w:r>
          </w:p>
        </w:tc>
        <w:tc>
          <w:tcPr>
            <w:tcW w:w="88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14.82</w:t>
            </w:r>
          </w:p>
        </w:tc>
        <w:tc>
          <w:tcPr>
            <w:tcW w:w="900" w:type="dxa"/>
            <w:tcBorders>
              <w:top w:val="nil"/>
              <w:left w:val="nil"/>
              <w:bottom w:val="nil"/>
              <w:right w:val="single" w:sz="4" w:space="0" w:color="auto"/>
            </w:tcBorders>
            <w:shd w:val="clear" w:color="000000" w:fill="C0C0C0"/>
            <w:noWrap/>
            <w:vAlign w:val="center"/>
            <w:hideMark/>
          </w:tcPr>
          <w:p>
            <w:pPr>
              <w:spacing w:before="0" w:after="0"/>
              <w:ind w:firstLineChars="100" w:firstLine="140"/>
              <w:jc w:val="right"/>
              <w:rPr>
                <w:rFonts w:eastAsia="Times New Roman"/>
                <w:noProof/>
                <w:sz w:val="14"/>
                <w:szCs w:val="14"/>
                <w:lang w:eastAsia="en-GB"/>
              </w:rPr>
            </w:pPr>
            <w:r>
              <w:rPr>
                <w:rFonts w:eastAsia="Times New Roman"/>
                <w:noProof/>
                <w:sz w:val="14"/>
                <w:szCs w:val="14"/>
                <w:lang w:eastAsia="en-GB"/>
              </w:rPr>
              <w:t>14.67862</w:t>
            </w:r>
          </w:p>
        </w:tc>
        <w:tc>
          <w:tcPr>
            <w:tcW w:w="1403"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300 911 710.00</w:t>
            </w:r>
          </w:p>
        </w:tc>
        <w:tc>
          <w:tcPr>
            <w:tcW w:w="1257"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noProof/>
                <w:sz w:val="14"/>
                <w:szCs w:val="14"/>
                <w:lang w:eastAsia="en-GB"/>
              </w:rPr>
            </w:pPr>
            <w:r>
              <w:rPr>
                <w:rFonts w:eastAsia="Times New Roman"/>
                <w:noProof/>
                <w:sz w:val="14"/>
                <w:szCs w:val="14"/>
                <w:lang w:eastAsia="en-GB"/>
              </w:rPr>
              <w:t>22 230 000.00</w:t>
            </w:r>
          </w:p>
        </w:tc>
        <w:tc>
          <w:tcPr>
            <w:tcW w:w="1420" w:type="dxa"/>
            <w:tcBorders>
              <w:top w:val="nil"/>
              <w:left w:val="nil"/>
              <w:bottom w:val="nil"/>
              <w:right w:val="single" w:sz="4" w:space="0" w:color="auto"/>
            </w:tcBorders>
            <w:shd w:val="clear" w:color="auto" w:fill="auto"/>
            <w:noWrap/>
            <w:vAlign w:val="bottom"/>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323 141 710.00</w:t>
            </w:r>
          </w:p>
        </w:tc>
      </w:tr>
      <w:tr>
        <w:trPr>
          <w:trHeight w:val="282"/>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eastAsia="en-GB"/>
              </w:rPr>
            </w:pPr>
            <w:r>
              <w:rPr>
                <w:rFonts w:eastAsia="Times New Roman"/>
                <w:b/>
                <w:bCs/>
                <w:noProof/>
                <w:sz w:val="16"/>
                <w:szCs w:val="16"/>
                <w:lang w:eastAsia="en-GB"/>
              </w:rPr>
              <w:t>TOTAL EU-28</w:t>
            </w:r>
          </w:p>
        </w:tc>
        <w:tc>
          <w:tcPr>
            <w:tcW w:w="880" w:type="dxa"/>
            <w:tcBorders>
              <w:top w:val="single" w:sz="4" w:space="0" w:color="auto"/>
              <w:left w:val="nil"/>
              <w:bottom w:val="single" w:sz="4" w:space="0" w:color="auto"/>
              <w:right w:val="single" w:sz="4" w:space="0" w:color="auto"/>
            </w:tcBorders>
            <w:shd w:val="clear" w:color="000000" w:fill="C0C0C0"/>
            <w:noWrap/>
            <w:vAlign w:val="center"/>
            <w:hideMark/>
          </w:tcPr>
          <w:p>
            <w:pPr>
              <w:spacing w:before="0" w:after="0"/>
              <w:jc w:val="center"/>
              <w:rPr>
                <w:rFonts w:eastAsia="Times New Roman"/>
                <w:b/>
                <w:bCs/>
                <w:noProof/>
                <w:sz w:val="14"/>
                <w:szCs w:val="14"/>
                <w:lang w:eastAsia="en-GB"/>
              </w:rPr>
            </w:pPr>
            <w:r>
              <w:rPr>
                <w:rFonts w:eastAsia="Times New Roman"/>
                <w:b/>
                <w:bCs/>
                <w:noProof/>
                <w:sz w:val="14"/>
                <w:szCs w:val="14"/>
                <w:lang w:eastAsia="en-GB"/>
              </w:rPr>
              <w:t>100.00</w:t>
            </w:r>
          </w:p>
        </w:tc>
        <w:tc>
          <w:tcPr>
            <w:tcW w:w="900" w:type="dxa"/>
            <w:tcBorders>
              <w:top w:val="single" w:sz="4" w:space="0" w:color="auto"/>
              <w:left w:val="nil"/>
              <w:bottom w:val="single" w:sz="4" w:space="0" w:color="auto"/>
              <w:right w:val="single" w:sz="4" w:space="0" w:color="auto"/>
            </w:tcBorders>
            <w:shd w:val="clear" w:color="000000" w:fill="C0C0C0"/>
            <w:noWrap/>
            <w:vAlign w:val="center"/>
            <w:hideMark/>
          </w:tcPr>
          <w:p>
            <w:pPr>
              <w:spacing w:before="0" w:after="0"/>
              <w:jc w:val="center"/>
              <w:rPr>
                <w:rFonts w:eastAsia="Times New Roman"/>
                <w:b/>
                <w:bCs/>
                <w:noProof/>
                <w:sz w:val="14"/>
                <w:szCs w:val="14"/>
                <w:lang w:eastAsia="en-GB"/>
              </w:rPr>
            </w:pPr>
            <w:r>
              <w:rPr>
                <w:rFonts w:eastAsia="Times New Roman"/>
                <w:b/>
                <w:bCs/>
                <w:noProof/>
                <w:sz w:val="14"/>
                <w:szCs w:val="14"/>
                <w:lang w:eastAsia="en-GB"/>
              </w:rPr>
              <w:t>100.00</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2 050 000 000.00</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150 000 000.00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4"/>
                <w:szCs w:val="14"/>
                <w:lang w:eastAsia="en-GB"/>
              </w:rPr>
            </w:pPr>
            <w:r>
              <w:rPr>
                <w:rFonts w:eastAsia="Times New Roman"/>
                <w:b/>
                <w:bCs/>
                <w:noProof/>
                <w:sz w:val="14"/>
                <w:szCs w:val="14"/>
                <w:lang w:eastAsia="en-GB"/>
              </w:rPr>
              <w:t>2 200 000 000.00</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28AFE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BBA115A"/>
    <w:lvl w:ilvl="0">
      <w:start w:val="1"/>
      <w:numFmt w:val="decimal"/>
      <w:pStyle w:val="ListNumber3"/>
      <w:lvlText w:val="%1."/>
      <w:lvlJc w:val="left"/>
      <w:pPr>
        <w:tabs>
          <w:tab w:val="num" w:pos="926"/>
        </w:tabs>
        <w:ind w:left="926" w:hanging="360"/>
      </w:pPr>
    </w:lvl>
  </w:abstractNum>
  <w:abstractNum w:abstractNumId="2">
    <w:nsid w:val="FFFFFF7F"/>
    <w:multiLevelType w:val="singleLevel"/>
    <w:tmpl w:val="49B6227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99C0E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292BAE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AD8BA0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C84C2AC"/>
    <w:lvl w:ilvl="0">
      <w:start w:val="1"/>
      <w:numFmt w:val="decimal"/>
      <w:pStyle w:val="ListNumber"/>
      <w:lvlText w:val="%1."/>
      <w:lvlJc w:val="left"/>
      <w:pPr>
        <w:tabs>
          <w:tab w:val="num" w:pos="360"/>
        </w:tabs>
        <w:ind w:left="360" w:hanging="360"/>
      </w:pPr>
    </w:lvl>
  </w:abstractNum>
  <w:abstractNum w:abstractNumId="7">
    <w:nsid w:val="FFFFFF89"/>
    <w:multiLevelType w:val="singleLevel"/>
    <w:tmpl w:val="0A92CC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attachedTemplate r:id="rId1"/>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31 17:21:3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6DB6A3058B744D93B0E1EF48D7C4A5AB"/>
    <w:docVar w:name="LW_CROSSREFERENCE" w:val="&lt;UNUSED&gt;"/>
    <w:docVar w:name="LW_DocType" w:val="ANNEX"/>
    <w:docVar w:name="LW_EMISSION" w:val="25.10.2017"/>
    <w:docVar w:name="LW_EMISSION_ISODATE" w:val="2017-10-25"/>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on the financial contributions to be paid by Member States to finance the European Development Fund, including the ceiling for 2019, the annual amount for 2018, the first instalment for 2018 and an indicative and non-binding forecast for the expected annual amounts of contributions for the years 2020 and 2021"/>
    <w:docVar w:name="LW_PART_NBR" w:val="1"/>
    <w:docVar w:name="LW_PART_NBR_TOTAL" w:val="1"/>
    <w:docVar w:name="LW_REF.INST.NEW" w:val="COM"/>
    <w:docVar w:name="LW_REF.INST.NEW_ADOPTED" w:val="final"/>
    <w:docVar w:name="LW_REF.INST.NEW_TEXT" w:val="(2017) 625"/>
    <w:docVar w:name="LW_REF.INTERNE" w:val="&lt;UNUSED&gt;"/>
    <w:docVar w:name="LW_SUPERTITRE" w:val="&lt;UNUSED&gt;"/>
    <w:docVar w:name="LW_TITRE.OBJ.CP" w:val="&lt;UNUSED&gt;"/>
    <w:docVar w:name="LW_TYPE.DOC.CP" w:val="ANNEX"/>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05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2</Pages>
  <Words>367</Words>
  <Characters>1584</Characters>
  <Application>Microsoft Office Word</Application>
  <DocSecurity>0</DocSecurity>
  <Lines>226</Lines>
  <Paragraphs>216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CHEIKH Yagoub (DEVCO R1)</dc:creator>
  <cp:lastModifiedBy>DIGIT/A3</cp:lastModifiedBy>
  <cp:revision>8</cp:revision>
  <dcterms:created xsi:type="dcterms:W3CDTF">2017-08-31T15:21:00Z</dcterms:created>
  <dcterms:modified xsi:type="dcterms:W3CDTF">2017-10-24T12:39:00Z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