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D6815A4732047E88E65ECA87B90F41F" style="width:449.75pt;height:386.2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page" w:horzAnchor="margin" w:tblpX="-137" w:tblpY="1409"/>
        <w:tblW w:w="4969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1290"/>
        <w:gridCol w:w="2011"/>
        <w:gridCol w:w="1863"/>
        <w:gridCol w:w="1289"/>
        <w:gridCol w:w="1292"/>
        <w:gridCol w:w="1292"/>
        <w:gridCol w:w="1292"/>
        <w:gridCol w:w="1004"/>
        <w:gridCol w:w="1147"/>
        <w:gridCol w:w="1292"/>
        <w:gridCol w:w="713"/>
      </w:tblGrid>
      <w:tr>
        <w:trPr>
          <w:cantSplit/>
          <w:trHeight w:val="550"/>
        </w:trPr>
        <w:tc>
          <w:tcPr>
            <w:tcW w:w="742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rPr>
                <w:noProof/>
              </w:rPr>
            </w:pPr>
            <w:bookmarkStart w:id="1" w:name="_GoBack"/>
            <w:bookmarkEnd w:id="1"/>
          </w:p>
          <w:p>
            <w:pPr>
              <w:pStyle w:val="Pagedecouverture"/>
              <w:rPr>
                <w:noProof/>
              </w:rPr>
            </w:pPr>
          </w:p>
          <w:p>
            <w:pPr>
              <w:pStyle w:val="Pagedecouverture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rPr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Pagedecouverture"/>
              <w:jc w:val="center"/>
              <w:rPr>
                <w:b/>
                <w:noProof/>
                <w:spacing w:val="-1"/>
                <w:sz w:val="28"/>
                <w:szCs w:val="28"/>
              </w:rPr>
            </w:pPr>
            <w:r>
              <w:rPr>
                <w:b/>
                <w:noProof/>
                <w:spacing w:val="-1"/>
                <w:sz w:val="28"/>
              </w:rPr>
              <w:t>Комисия</w:t>
            </w:r>
          </w:p>
        </w:tc>
        <w:tc>
          <w:tcPr>
            <w:tcW w:w="3008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jc w:val="center"/>
              <w:rPr>
                <w:b/>
                <w:noProof/>
                <w:spacing w:val="-1"/>
                <w:sz w:val="20"/>
                <w:szCs w:val="20"/>
              </w:rPr>
            </w:pPr>
            <w:r>
              <w:rPr>
                <w:b/>
                <w:noProof/>
                <w:spacing w:val="-1"/>
                <w:sz w:val="28"/>
              </w:rPr>
              <w:t xml:space="preserve">Агенции </w:t>
            </w:r>
            <w:r>
              <w:rPr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noProof/>
                <w:spacing w:val="-1"/>
                <w:sz w:val="16"/>
              </w:rPr>
              <w:t>Брой правила за прилагане на 31 декември 2016 г.</w:t>
            </w:r>
          </w:p>
        </w:tc>
      </w:tr>
      <w:tr>
        <w:trPr>
          <w:cantSplit/>
          <w:trHeight w:val="414"/>
        </w:trPr>
        <w:tc>
          <w:tcPr>
            <w:tcW w:w="742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  <w:t>Приети преди реформата от 2014 г.</w:t>
            </w:r>
            <w:r>
              <w:rPr>
                <w:rStyle w:val="FootnoteReference"/>
                <w:rFonts w:ascii="Times New Roman" w:hAnsi="Times New Roman" w:cs="Times New Roman"/>
                <w:noProof/>
                <w:spacing w:val="-1"/>
                <w:sz w:val="20"/>
                <w:szCs w:val="20"/>
              </w:rPr>
              <w:footnoteReference w:id="1"/>
            </w:r>
          </w:p>
        </w:tc>
        <w:tc>
          <w:tcPr>
            <w:tcW w:w="1528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  <w:t>Приети след реформата от 2014 г.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Няма правило / Клауза за неучастие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2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Общо</w:t>
            </w:r>
          </w:p>
        </w:tc>
      </w:tr>
      <w:tr>
        <w:trPr>
          <w:cantSplit/>
          <w:trHeight w:val="269"/>
        </w:trPr>
        <w:tc>
          <w:tcPr>
            <w:tcW w:w="32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Член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Предмет</w:t>
            </w:r>
          </w:p>
        </w:tc>
        <w:tc>
          <w:tcPr>
            <w:tcW w:w="649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Съответно правило за прилагане на Комисията</w:t>
            </w:r>
          </w:p>
        </w:tc>
        <w:tc>
          <w:tcPr>
            <w:tcW w:w="601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Предварително съгласие</w:t>
            </w:r>
          </w:p>
        </w:tc>
        <w:tc>
          <w:tcPr>
            <w:tcW w:w="416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Аналог на правилото на Комисията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Собствени правила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Аналогия — чл. 110</w:t>
            </w:r>
          </w:p>
        </w:tc>
        <w:tc>
          <w:tcPr>
            <w:tcW w:w="3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Правило, основаващо се на предварително съгласие</w:t>
            </w:r>
          </w:p>
        </w:tc>
        <w:tc>
          <w:tcPr>
            <w:tcW w:w="37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Собствени правила, различни от тези на Комисията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4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1391"/>
        </w:trPr>
        <w:tc>
          <w:tcPr>
            <w:tcW w:w="326" w:type="pct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Прилагане по аналогия</w:t>
            </w:r>
          </w:p>
        </w:tc>
        <w:tc>
          <w:tcPr>
            <w:tcW w:w="41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9-месечният период не е изтекъл на 31.12.2016 г.</w:t>
            </w:r>
          </w:p>
        </w:tc>
        <w:tc>
          <w:tcPr>
            <w:tcW w:w="32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270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t>Правилник за длъжностните лица</w:t>
      </w:r>
    </w:p>
    <w:tbl>
      <w:tblPr>
        <w:tblStyle w:val="TableGrid"/>
        <w:tblW w:w="4900" w:type="pct"/>
        <w:tblLayout w:type="fixed"/>
        <w:tblLook w:val="04A0" w:firstRow="1" w:lastRow="0" w:firstColumn="1" w:lastColumn="0" w:noHBand="0" w:noVBand="1"/>
      </w:tblPr>
      <w:tblGrid>
        <w:gridCol w:w="964"/>
        <w:gridCol w:w="1298"/>
        <w:gridCol w:w="2006"/>
        <w:gridCol w:w="1864"/>
        <w:gridCol w:w="1291"/>
        <w:gridCol w:w="1291"/>
        <w:gridCol w:w="1291"/>
        <w:gridCol w:w="1291"/>
        <w:gridCol w:w="1003"/>
        <w:gridCol w:w="1149"/>
        <w:gridCol w:w="1291"/>
        <w:gridCol w:w="743"/>
      </w:tblGrid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1д, параграф 1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Мерки от социален характер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C(2013)4876 относно насоки за помощта за домашни грижи или грижи за болно дете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43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5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Видове длъжности и наименования на длъжностите</w:t>
            </w:r>
          </w:p>
        </w:tc>
        <w:tc>
          <w:tcPr>
            <w:tcW w:w="648" w:type="pct"/>
            <w:shd w:val="clear" w:color="auto" w:fill="92D050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C(2013)8979 относно видовете длъжности и наименованията на длъжностите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41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9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92D050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C(2016)3214 относно функцията съветник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37</w:t>
            </w: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11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7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Преместване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C(2009)7839 относно определяне на правилата за прилагане по отношение на временното заемане на ръководни длъжности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18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9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Комитет по персонала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Правила за определяне на състава и функционирането на Комитета по персонала от 22.10.1997 г.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C(2016)3323 относно правилата за прилагане за създаване на Комитет по персонала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13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12a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Тормоз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C(2006)1624/3 относно защита на личното достойнство и предотвратяване на психическия и сексуалния тормоз</w:t>
            </w:r>
          </w:p>
        </w:tc>
        <w:tc>
          <w:tcPr>
            <w:tcW w:w="602" w:type="pct"/>
            <w:shd w:val="clear" w:color="auto" w:fill="F79646" w:themeFill="accent6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C(2016)6595 относно политика за защита на личното достойнство и предотвратяване на психическия и сексуалния тормоз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27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12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>
      <w:pPr>
        <w:spacing w:after="0"/>
        <w:jc w:val="center"/>
        <w:rPr>
          <w:rFonts w:ascii="Times New Roman" w:hAnsi="Times New Roman" w:cs="Times New Roman"/>
          <w:noProof/>
          <w:vanish/>
          <w:specVanish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lastRenderedPageBreak/>
        <w:t>Правилник за длъжностните лица</w:t>
      </w:r>
    </w:p>
    <w:p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vanish/>
          <w:sz w:val="20"/>
          <w:szCs w:val="20"/>
          <w:specVanish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="-137" w:tblpY="1409"/>
        <w:tblW w:w="506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1581"/>
        <w:gridCol w:w="2004"/>
        <w:gridCol w:w="1578"/>
        <w:gridCol w:w="1288"/>
        <w:gridCol w:w="1291"/>
        <w:gridCol w:w="1291"/>
        <w:gridCol w:w="1294"/>
        <w:gridCol w:w="1004"/>
        <w:gridCol w:w="1414"/>
        <w:gridCol w:w="1026"/>
        <w:gridCol w:w="1001"/>
      </w:tblGrid>
      <w:tr>
        <w:trPr>
          <w:cantSplit/>
          <w:trHeight w:val="692"/>
        </w:trPr>
        <w:tc>
          <w:tcPr>
            <w:tcW w:w="821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4"/>
                <w:szCs w:val="4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</w:rPr>
              <w:t>Комисия</w:t>
            </w:r>
          </w:p>
        </w:tc>
        <w:tc>
          <w:tcPr>
            <w:tcW w:w="3044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</w:rPr>
              <w:t xml:space="preserve">Агенции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Брой правила за прилагане на 31 декември 2016 г.</w:t>
            </w:r>
          </w:p>
        </w:tc>
      </w:tr>
      <w:tr>
        <w:trPr>
          <w:cantSplit/>
          <w:trHeight w:val="416"/>
        </w:trPr>
        <w:tc>
          <w:tcPr>
            <w:tcW w:w="821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w:t>Приети преди реформата от 2014 г.</w:t>
            </w:r>
          </w:p>
        </w:tc>
        <w:tc>
          <w:tcPr>
            <w:tcW w:w="158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w:t>Приети след реформата от 2014 г.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Няма правило / Клауза за неучастие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Общо</w:t>
            </w:r>
          </w:p>
        </w:tc>
      </w:tr>
      <w:tr>
        <w:trPr>
          <w:cantSplit/>
          <w:trHeight w:val="269"/>
        </w:trPr>
        <w:tc>
          <w:tcPr>
            <w:tcW w:w="320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Член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Предмет</w:t>
            </w:r>
          </w:p>
        </w:tc>
        <w:tc>
          <w:tcPr>
            <w:tcW w:w="635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Съответно правило за прилагане на Комисията</w:t>
            </w:r>
          </w:p>
        </w:tc>
        <w:tc>
          <w:tcPr>
            <w:tcW w:w="50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Предварително съгласие</w:t>
            </w:r>
          </w:p>
        </w:tc>
        <w:tc>
          <w:tcPr>
            <w:tcW w:w="4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Аналог на правилото на Комисията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Собствени правила</w:t>
            </w:r>
          </w:p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819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Аналогия — чл. 110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Правило, основаващо се на предварително съгласие</w:t>
            </w:r>
          </w:p>
        </w:tc>
        <w:tc>
          <w:tcPr>
            <w:tcW w:w="44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Собствени правила, различни от тези на Комисията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32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967"/>
        </w:trPr>
        <w:tc>
          <w:tcPr>
            <w:tcW w:w="320" w:type="pct"/>
            <w:vMerge/>
            <w:tcBorders>
              <w:left w:val="single" w:sz="4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Прилагане по аналогия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9-месечният период не е изтекъл на 31.12.2016 г.</w:t>
            </w:r>
          </w:p>
        </w:tc>
        <w:tc>
          <w:tcPr>
            <w:tcW w:w="318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tbl>
      <w:tblPr>
        <w:tblStyle w:val="TableGrid"/>
        <w:tblW w:w="499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04"/>
        <w:gridCol w:w="1579"/>
        <w:gridCol w:w="2008"/>
        <w:gridCol w:w="1584"/>
        <w:gridCol w:w="1290"/>
        <w:gridCol w:w="1290"/>
        <w:gridCol w:w="1290"/>
        <w:gridCol w:w="1287"/>
        <w:gridCol w:w="1003"/>
        <w:gridCol w:w="1148"/>
        <w:gridCol w:w="1290"/>
        <w:gridCol w:w="1003"/>
      </w:tblGrid>
      <w:tr>
        <w:trPr>
          <w:cantSplit/>
        </w:trP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12б — 16 — 17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Странични дейности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C(2013)9037 относно страничните дейности и възложенията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Merge w:val="restar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24a</w:t>
            </w:r>
          </w:p>
        </w:tc>
        <w:tc>
          <w:tcPr>
            <w:tcW w:w="500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Обучение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C(2016)3829 Стратегия за обучение и развитие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33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Merge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0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C(2016)3855 относно обучението по собствена инициатива на членовете на персонала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27—34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Назначаване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C(2013)8970 Общи разпоредби за прилагане на критериите, приложими за класирането в стъпка при назначаване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29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Средни ръководни длъжности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C(2016)3288 относно средните ръководни длъжности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40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лични причини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C(2013)9054 относно мерки за отпуск по лични причини на длъжностни лица и неплатен отпуск на срочно наети и договорно наети служители на ЕС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C(2015)5320 относно мерки за отпуск по лични причини на длъжностни лица и неплатен отпуск на срочно наети и договорно наети служители на ЕС</w:t>
            </w: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37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43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Годишен доклад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C(2013)8985 Общи разпоредби за прилагане на член 43 и член 44, параграф 1 от Правилника за длъжностните лица</w:t>
            </w:r>
          </w:p>
        </w:tc>
        <w:tc>
          <w:tcPr>
            <w:tcW w:w="502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C(2015)1513 относно член 43 и член 44, параграф 1 от Правилника за длъжностните лица</w:t>
            </w: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31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>
      <w:pPr>
        <w:jc w:val="center"/>
        <w:rPr>
          <w:rFonts w:ascii="Times New Roman" w:hAnsi="Times New Roman" w:cs="Times New Roman"/>
          <w:noProof/>
          <w:vanish/>
          <w:specVanish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t>Правилник за длъжностните лица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vanish/>
          <w:sz w:val="28"/>
          <w:szCs w:val="28"/>
          <w:u w:val="single"/>
          <w:specVanish/>
        </w:rPr>
      </w:pPr>
    </w:p>
    <w:p>
      <w:pPr>
        <w:rPr>
          <w:rFonts w:ascii="Times New Roman" w:hAnsi="Times New Roman" w:cs="Times New Roman"/>
          <w:noProof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vanish/>
          <w:sz w:val="28"/>
          <w:szCs w:val="28"/>
          <w:u w:val="single"/>
          <w:specVanish/>
        </w:rPr>
      </w:pPr>
    </w:p>
    <w:tbl>
      <w:tblPr>
        <w:tblpPr w:leftFromText="180" w:rightFromText="180" w:vertAnchor="page" w:horzAnchor="margin" w:tblpX="15" w:tblpY="1409"/>
        <w:tblW w:w="495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720"/>
        <w:gridCol w:w="1871"/>
        <w:gridCol w:w="1865"/>
        <w:gridCol w:w="1430"/>
        <w:gridCol w:w="1291"/>
        <w:gridCol w:w="1146"/>
        <w:gridCol w:w="1294"/>
        <w:gridCol w:w="1004"/>
        <w:gridCol w:w="1269"/>
        <w:gridCol w:w="1025"/>
        <w:gridCol w:w="806"/>
      </w:tblGrid>
      <w:tr>
        <w:trPr>
          <w:cantSplit/>
          <w:trHeight w:val="550"/>
        </w:trPr>
        <w:tc>
          <w:tcPr>
            <w:tcW w:w="79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</w:rPr>
              <w:t>Комисия</w:t>
            </w:r>
          </w:p>
        </w:tc>
        <w:tc>
          <w:tcPr>
            <w:tcW w:w="3001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</w:rPr>
              <w:t xml:space="preserve">Агенции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Брой правила за прилагане на 31 декември 2016 г.</w:t>
            </w:r>
          </w:p>
        </w:tc>
      </w:tr>
      <w:tr>
        <w:trPr>
          <w:cantSplit/>
          <w:trHeight w:val="277"/>
        </w:trPr>
        <w:tc>
          <w:tcPr>
            <w:tcW w:w="790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w:t>Приети преди реформата от 2014 г.</w:t>
            </w:r>
          </w:p>
        </w:tc>
        <w:tc>
          <w:tcPr>
            <w:tcW w:w="1526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w:t>Приети след реформата от 2014 г.</w:t>
            </w:r>
          </w:p>
        </w:tc>
        <w:tc>
          <w:tcPr>
            <w:tcW w:w="3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Няма правило / Клауза за неучастие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2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Общо</w:t>
            </w:r>
          </w:p>
        </w:tc>
      </w:tr>
      <w:tr>
        <w:trPr>
          <w:cantSplit/>
          <w:trHeight w:val="269"/>
        </w:trPr>
        <w:tc>
          <w:tcPr>
            <w:tcW w:w="23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Член</w:t>
            </w:r>
          </w:p>
        </w:tc>
        <w:tc>
          <w:tcPr>
            <w:tcW w:w="55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Предмет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Съответно правило за прилагане на Комисията</w:t>
            </w:r>
          </w:p>
        </w:tc>
        <w:tc>
          <w:tcPr>
            <w:tcW w:w="60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Предварително съгласие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Аналог на правилото на Комисията</w:t>
            </w:r>
          </w:p>
        </w:tc>
        <w:tc>
          <w:tcPr>
            <w:tcW w:w="4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Собствени правила</w:t>
            </w:r>
          </w:p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7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Аналогия — чл. 110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Правило, основаващо се на предварително съгласие</w:t>
            </w:r>
          </w:p>
        </w:tc>
        <w:tc>
          <w:tcPr>
            <w:tcW w:w="4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Собствени правила, различни от тези на Комисията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3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1087"/>
        </w:trPr>
        <w:tc>
          <w:tcPr>
            <w:tcW w:w="2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Прилагане по аналогия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9-месечният период не е изтекъл на 31.12.2016 г.</w:t>
            </w:r>
          </w:p>
        </w:tc>
        <w:tc>
          <w:tcPr>
            <w:tcW w:w="3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259"/>
        </w:trPr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tbl>
      <w:tblPr>
        <w:tblStyle w:val="TableGrid"/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882"/>
        <w:gridCol w:w="1866"/>
        <w:gridCol w:w="1866"/>
        <w:gridCol w:w="1431"/>
        <w:gridCol w:w="1292"/>
        <w:gridCol w:w="1146"/>
        <w:gridCol w:w="1292"/>
        <w:gridCol w:w="1004"/>
        <w:gridCol w:w="1146"/>
        <w:gridCol w:w="1146"/>
        <w:gridCol w:w="813"/>
      </w:tblGrid>
      <w:tr>
        <w:trPr>
          <w:cantSplit/>
        </w:trPr>
        <w:tc>
          <w:tcPr>
            <w:tcW w:w="183" w:type="pct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45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Повишаване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C(2013)8968 за прилагане на член 45 от Правилника за длъжностните лица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C(2015)9563 за прилагане на член 45 от Правилника за длъжностните лица</w:t>
            </w: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12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6</w:t>
            </w:r>
          </w:p>
        </w:tc>
        <w:tc>
          <w:tcPr>
            <w:tcW w:w="2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55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Работно време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C(2014)2502 относно работното време</w:t>
            </w:r>
          </w:p>
        </w:tc>
        <w:tc>
          <w:tcPr>
            <w:tcW w:w="604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C(2015)9562 относно работното време</w:t>
            </w: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23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21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rPr>
          <w:trHeight w:val="827"/>
        </w:trP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55a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Непълно работно време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C(2015)9270 относно член 55a от Правилника за длъжностните лица и приложение IVa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47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Дистанционна работа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C(2015)9151 относно дистанционната работа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29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55б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Работа на половин щат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C(2004)1314 относно работата на половин щат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26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21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57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Годишен отпуск и специален отпуск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C(2013)9051 относно отпуските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59—60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болест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C(2004)1597/11 относно отпуска по болест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26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19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67—68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Надбавка за образование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C(2013)8971 Общи разпоредби за прилагане на член 3 от приложение VII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rPr>
          <w:trHeight w:val="891"/>
        </w:trP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71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Пътни разноски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C(2013)8987 Общи разпоредби за прилагане на член 8 от приложение VII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rPr>
          <w:trHeight w:val="1101"/>
        </w:trP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71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Място на произход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C(2013)8982 Общи разпоредби за прилагане на член 7, параграф 4 от приложение VII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71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Разноски за пренасяне</w:t>
            </w:r>
          </w:p>
        </w:tc>
        <w:tc>
          <w:tcPr>
            <w:tcW w:w="604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C(2013)9040 Общи разпоредби за прилагане относно разноските за пренасяне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47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71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Командировъчни и служебни пътни разноски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C(2008)6215 Общи разпоредби за прилагане относно командировките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27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17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77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Прехвърляне на пенсионни права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C(2011)1278 Общи разпоредби за прилагане на членове 11 и 12 от приложение VIII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24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19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5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18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86</w:t>
            </w:r>
          </w:p>
        </w:tc>
        <w:tc>
          <w:tcPr>
            <w:tcW w:w="6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Дисциплинарни производства и административно разследване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C(2004)1588 Общи разпоредби за прилагане относно административните разследвания и дисциплинарните производства</w:t>
            </w:r>
          </w:p>
        </w:tc>
        <w:tc>
          <w:tcPr>
            <w:tcW w:w="604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9</w:t>
            </w: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31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8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tbl>
      <w:tblPr>
        <w:tblpPr w:leftFromText="180" w:rightFromText="180" w:vertAnchor="page" w:horzAnchor="margin" w:tblpY="1423"/>
        <w:tblW w:w="4998" w:type="pct"/>
        <w:tblLayout w:type="fixed"/>
        <w:tblLook w:val="01E0" w:firstRow="1" w:lastRow="1" w:firstColumn="1" w:lastColumn="1" w:noHBand="0" w:noVBand="0"/>
      </w:tblPr>
      <w:tblGrid>
        <w:gridCol w:w="1298"/>
        <w:gridCol w:w="1475"/>
        <w:gridCol w:w="1743"/>
        <w:gridCol w:w="1889"/>
        <w:gridCol w:w="1450"/>
        <w:gridCol w:w="1308"/>
        <w:gridCol w:w="1162"/>
        <w:gridCol w:w="1308"/>
        <w:gridCol w:w="1017"/>
        <w:gridCol w:w="1162"/>
        <w:gridCol w:w="1162"/>
        <w:gridCol w:w="818"/>
      </w:tblGrid>
      <w:tr>
        <w:trPr>
          <w:cantSplit/>
          <w:trHeight w:val="555"/>
        </w:trPr>
        <w:tc>
          <w:tcPr>
            <w:tcW w:w="878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</w:rPr>
              <w:t>Комисия</w:t>
            </w:r>
          </w:p>
        </w:tc>
        <w:tc>
          <w:tcPr>
            <w:tcW w:w="2972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</w:rPr>
              <w:t xml:space="preserve">Агенции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Брой правила за прилагане на 31 декември 2016 г.</w:t>
            </w:r>
          </w:p>
        </w:tc>
      </w:tr>
      <w:tr>
        <w:trPr>
          <w:cantSplit/>
          <w:trHeight w:val="277"/>
        </w:trPr>
        <w:tc>
          <w:tcPr>
            <w:tcW w:w="878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w:t>Приети преди реформата от 2014 г.</w:t>
            </w:r>
          </w:p>
        </w:tc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20"/>
              </w:rPr>
              <w:t>Приети след реформата от 2014 г.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Няма правило / Клауза за неучастие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Общо</w:t>
            </w:r>
          </w:p>
        </w:tc>
      </w:tr>
      <w:tr>
        <w:trPr>
          <w:cantSplit/>
          <w:trHeight w:val="269"/>
        </w:trPr>
        <w:tc>
          <w:tcPr>
            <w:tcW w:w="411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Член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Предмет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Съответно правило за прилагане на Комисията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Предварително съгласие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Аналог на правилото на Комисията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Собствени правила</w:t>
            </w:r>
          </w:p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(включително текущи заявления)</w:t>
            </w:r>
          </w:p>
        </w:tc>
        <w:tc>
          <w:tcPr>
            <w:tcW w:w="782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Аналогия — чл. 110</w:t>
            </w: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Правило, основаващо се на предварително съгласие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16"/>
              </w:rPr>
              <w:t>Собствени правила, различни от тези на Комисията</w:t>
            </w:r>
            <w:r>
              <w:rPr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6"/>
                <w:sz w:val="16"/>
              </w:rPr>
              <w:t>(включително текущи заявления)</w:t>
            </w: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1259"/>
        </w:trPr>
        <w:tc>
          <w:tcPr>
            <w:tcW w:w="4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Прилагане по аналогия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9-месечният период не е изтекъл на 31.12.2016 г.</w:t>
            </w: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264"/>
        </w:trPr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ind w:left="103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t>Условия за работа на другите служители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vanish/>
          <w:sz w:val="28"/>
          <w:szCs w:val="28"/>
          <w:u w:val="single"/>
          <w:specVanish/>
        </w:rPr>
      </w:pPr>
    </w:p>
    <w:tbl>
      <w:tblPr>
        <w:tblStyle w:val="TableGrid"/>
        <w:tblpPr w:leftFromText="181" w:rightFromText="181" w:vertAnchor="text" w:horzAnchor="page" w:tblpX="814" w:tblpY="3335"/>
        <w:tblOverlap w:val="never"/>
        <w:tblW w:w="4924" w:type="pct"/>
        <w:tblLayout w:type="fixed"/>
        <w:tblLook w:val="04A0" w:firstRow="1" w:lastRow="0" w:firstColumn="1" w:lastColumn="0" w:noHBand="0" w:noVBand="1"/>
      </w:tblPr>
      <w:tblGrid>
        <w:gridCol w:w="1314"/>
        <w:gridCol w:w="1488"/>
        <w:gridCol w:w="1702"/>
        <w:gridCol w:w="1842"/>
        <w:gridCol w:w="1419"/>
        <w:gridCol w:w="1276"/>
        <w:gridCol w:w="1276"/>
        <w:gridCol w:w="1133"/>
        <w:gridCol w:w="1133"/>
        <w:gridCol w:w="993"/>
        <w:gridCol w:w="1273"/>
        <w:gridCol w:w="709"/>
      </w:tblGrid>
      <w:tr>
        <w:tc>
          <w:tcPr>
            <w:tcW w:w="422" w:type="pct"/>
            <w:vAlign w:val="center"/>
          </w:tcPr>
          <w:p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12, параграф 5</w:t>
            </w:r>
          </w:p>
        </w:tc>
        <w:tc>
          <w:tcPr>
            <w:tcW w:w="47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Наемане на срочно наети служители</w:t>
            </w:r>
          </w:p>
        </w:tc>
        <w:tc>
          <w:tcPr>
            <w:tcW w:w="547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C(2013)9049 относно политиките за наемане и използване на срочно наети служители</w:t>
            </w:r>
          </w:p>
        </w:tc>
        <w:tc>
          <w:tcPr>
            <w:tcW w:w="592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6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6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</w:t>
            </w:r>
          </w:p>
        </w:tc>
        <w:tc>
          <w:tcPr>
            <w:tcW w:w="40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38</w:t>
            </w:r>
          </w:p>
        </w:tc>
        <w:tc>
          <w:tcPr>
            <w:tcW w:w="22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4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15 от УРДС + 43 от ПДЛ</w:t>
            </w:r>
          </w:p>
        </w:tc>
        <w:tc>
          <w:tcPr>
            <w:tcW w:w="47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Оценяване на срочно наети служители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2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6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11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37</w:t>
            </w:r>
          </w:p>
        </w:tc>
        <w:tc>
          <w:tcPr>
            <w:tcW w:w="22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4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17 + 91</w:t>
            </w:r>
          </w:p>
        </w:tc>
        <w:tc>
          <w:tcPr>
            <w:tcW w:w="47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Отпуск по майчинство и обезщетение за бременност и раждане</w:t>
            </w:r>
          </w:p>
        </w:tc>
        <w:tc>
          <w:tcPr>
            <w:tcW w:w="547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C(2013)9020 относно отпуска по майчинство и обезщетението за бременност и раждане</w:t>
            </w:r>
          </w:p>
        </w:tc>
        <w:tc>
          <w:tcPr>
            <w:tcW w:w="592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6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48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4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54</w:t>
            </w:r>
          </w:p>
        </w:tc>
        <w:tc>
          <w:tcPr>
            <w:tcW w:w="47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Прекласиране на срочно наети служители</w:t>
            </w:r>
          </w:p>
        </w:tc>
        <w:tc>
          <w:tcPr>
            <w:tcW w:w="547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6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18</w:t>
            </w: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30</w:t>
            </w:r>
          </w:p>
        </w:tc>
        <w:tc>
          <w:tcPr>
            <w:tcW w:w="22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4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Прекласиране на срочно наети служители по 2е</w:t>
            </w:r>
          </w:p>
        </w:tc>
        <w:tc>
          <w:tcPr>
            <w:tcW w:w="547" w:type="pct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C(2015)4996 и C(2015)9560 относно правила за прилагане на член 54 от УРДС</w:t>
            </w:r>
          </w:p>
        </w:tc>
        <w:tc>
          <w:tcPr>
            <w:tcW w:w="456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</w:t>
            </w: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32</w:t>
            </w:r>
          </w:p>
        </w:tc>
        <w:tc>
          <w:tcPr>
            <w:tcW w:w="3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14</w:t>
            </w:r>
          </w:p>
        </w:tc>
        <w:tc>
          <w:tcPr>
            <w:tcW w:w="22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4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56</w:t>
            </w:r>
          </w:p>
        </w:tc>
        <w:tc>
          <w:tcPr>
            <w:tcW w:w="47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Наемане на срочно наети служители по 2е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C(2015)1457 и C(2015)1509 относно правила за прилагане на член 56 от УРДС</w:t>
            </w:r>
          </w:p>
        </w:tc>
        <w:tc>
          <w:tcPr>
            <w:tcW w:w="456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38</w:t>
            </w:r>
          </w:p>
        </w:tc>
        <w:tc>
          <w:tcPr>
            <w:tcW w:w="3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10</w:t>
            </w:r>
          </w:p>
        </w:tc>
        <w:tc>
          <w:tcPr>
            <w:tcW w:w="22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c>
          <w:tcPr>
            <w:tcW w:w="4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79, параграф 2—90</w:t>
            </w:r>
          </w:p>
        </w:tc>
        <w:tc>
          <w:tcPr>
            <w:tcW w:w="47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Наемане на договорно наети служители</w:t>
            </w:r>
          </w:p>
        </w:tc>
        <w:tc>
          <w:tcPr>
            <w:tcW w:w="547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C(2013)9028 относно максималната продължителност на наемането на временен персонал в службите на Комисията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6"/>
                <w:sz w:val="16"/>
              </w:rPr>
              <w:t>C(2016)2421 относно неприлагането на Решението на Комисията относно максималната продължителност на наемането на временен персонал</w:t>
            </w:r>
          </w:p>
        </w:tc>
        <w:tc>
          <w:tcPr>
            <w:tcW w:w="456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26</w:t>
            </w:r>
          </w:p>
        </w:tc>
        <w:tc>
          <w:tcPr>
            <w:tcW w:w="3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22</w:t>
            </w:r>
          </w:p>
        </w:tc>
        <w:tc>
          <w:tcPr>
            <w:tcW w:w="22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  <w:tr>
        <w:trPr>
          <w:trHeight w:val="1083"/>
        </w:trPr>
        <w:tc>
          <w:tcPr>
            <w:tcW w:w="4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87</w:t>
            </w:r>
          </w:p>
        </w:tc>
        <w:tc>
          <w:tcPr>
            <w:tcW w:w="47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Оценяване на договорно наети служители</w:t>
            </w:r>
          </w:p>
        </w:tc>
        <w:tc>
          <w:tcPr>
            <w:tcW w:w="547" w:type="pct"/>
            <w:shd w:val="clear" w:color="auto" w:fill="92D050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C(2014)2226 Общи разпоредби за прилагане на член 87, параграф 1 от УРДС</w:t>
            </w:r>
          </w:p>
        </w:tc>
        <w:tc>
          <w:tcPr>
            <w:tcW w:w="592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C(2015)1456 за прилагане на член 87, параграф 1 от УРДС и член 44, параграф 1 от ПДЛ</w:t>
            </w:r>
          </w:p>
        </w:tc>
        <w:tc>
          <w:tcPr>
            <w:tcW w:w="456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0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11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37</w:t>
            </w:r>
          </w:p>
        </w:tc>
        <w:tc>
          <w:tcPr>
            <w:tcW w:w="3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tbl>
      <w:tblPr>
        <w:tblStyle w:val="TableGrid"/>
        <w:tblW w:w="4935" w:type="pct"/>
        <w:tblInd w:w="8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81"/>
        <w:gridCol w:w="1594"/>
        <w:gridCol w:w="1865"/>
        <w:gridCol w:w="1435"/>
        <w:gridCol w:w="1291"/>
        <w:gridCol w:w="1163"/>
        <w:gridCol w:w="1135"/>
        <w:gridCol w:w="1276"/>
        <w:gridCol w:w="1014"/>
        <w:gridCol w:w="1148"/>
        <w:gridCol w:w="814"/>
      </w:tblGrid>
      <w:tr>
        <w:trPr>
          <w:cantSplit/>
          <w:trHeight w:val="1093"/>
        </w:trPr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87, параграф 3</w:t>
            </w:r>
          </w:p>
        </w:tc>
        <w:tc>
          <w:tcPr>
            <w:tcW w:w="50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Прекласиране на договорно наети служители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92D050"/>
          </w:tcPr>
          <w:p>
            <w:pPr>
              <w:pStyle w:val="TableParagraph"/>
              <w:spacing w:before="49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C(2013)2529 Общи разпоредби за прилагане на член 87, параграф 3 от УРДС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spacing w:before="49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C(2015)9561 и C(2015)4997 относно разпоредби за прилагане на член 87, параграф 3 от УРДС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</w:tcPr>
          <w:p>
            <w:pPr>
              <w:pStyle w:val="TableParagraph"/>
              <w:spacing w:before="49"/>
              <w:ind w:left="114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15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16"/>
              </w:rPr>
              <w:t>33</w:t>
            </w:r>
          </w:p>
        </w:tc>
        <w:tc>
          <w:tcPr>
            <w:tcW w:w="325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6"/>
              </w:rPr>
              <w:t>48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noProof/>
          <w:vanish/>
        </w:rPr>
      </w:pPr>
    </w:p>
    <w:p>
      <w:pPr>
        <w:widowControl w:val="0"/>
        <w:spacing w:before="88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w w:val="105"/>
          <w:sz w:val="24"/>
          <w:u w:val="single"/>
        </w:rPr>
        <w:t>Легенда</w:t>
      </w:r>
    </w:p>
    <w:tbl>
      <w:tblPr>
        <w:tblpPr w:leftFromText="180" w:rightFromText="180" w:vertAnchor="text" w:horzAnchor="page" w:tblpX="4719" w:tblpY="723"/>
        <w:tblOverlap w:val="never"/>
        <w:tblW w:w="253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</w:tblGrid>
      <w:tr>
        <w:trPr>
          <w:trHeight w:hRule="exact" w:val="855"/>
        </w:trPr>
        <w:tc>
          <w:tcPr>
            <w:tcW w:w="2532" w:type="dxa"/>
            <w:shd w:val="clear" w:color="auto" w:fill="D6E3BC" w:themeFill="accent3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 xml:space="preserve">Правила за прилагане в агенциите, които се прилагат по аналогия след реформата от 2014 г. </w:t>
            </w:r>
            <w:r>
              <w:rPr>
                <w:rFonts w:ascii="Times New Roman" w:hAnsi="Times New Roman" w:cs="Times New Roman"/>
                <w:noProof/>
                <w:spacing w:val="-2"/>
                <w:sz w:val="16"/>
              </w:rPr>
              <w:t>(чл. 110, параграф 2 от ПДЛ)</w:t>
            </w:r>
          </w:p>
        </w:tc>
      </w:tr>
    </w:tbl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281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</w:tblGrid>
      <w:tr>
        <w:trPr>
          <w:trHeight w:hRule="exact" w:val="744"/>
        </w:trPr>
        <w:tc>
          <w:tcPr>
            <w:tcW w:w="2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16"/>
              </w:rPr>
              <w:t>Правила за прилагане на Комисията, приети след реформата от 2014 г. и съобщени на агенциите</w:t>
            </w:r>
          </w:p>
        </w:tc>
      </w:tr>
    </w:tbl>
    <w:tbl>
      <w:tblPr>
        <w:tblpPr w:leftFromText="180" w:rightFromText="180" w:vertAnchor="text" w:horzAnchor="page" w:tblpX="8319" w:tblpY="-686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Дерогации след 2014 г.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(собствени правила или клауза за неучастие, включително текущи заявления)</w:t>
            </w:r>
          </w:p>
        </w:tc>
      </w:tr>
    </w:tbl>
    <w:tbl>
      <w:tblPr>
        <w:tblpPr w:leftFromText="180" w:rightFromText="180" w:vertAnchor="text" w:horzAnchor="margin" w:tblpY="371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79646" w:themeFill="accent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Хоризонтални предварителни съгласия на Комисията</w:t>
            </w:r>
          </w:p>
        </w:tc>
      </w:tr>
    </w:tbl>
    <w:tbl>
      <w:tblPr>
        <w:tblpPr w:leftFromText="141" w:rightFromText="141" w:vertAnchor="text" w:horzAnchor="page" w:tblpX="4597" w:tblpY="386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BD4B4" w:themeFill="accent6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shd w:val="clear" w:color="auto" w:fill="FBD4B4" w:themeFill="accent6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t>Правила за прилагане, приети от агенциите въз основа на предварително съгласие</w:t>
            </w:r>
          </w:p>
        </w:tc>
      </w:tr>
    </w:tbl>
    <w:p>
      <w:pPr>
        <w:rPr>
          <w:rFonts w:ascii="Times New Roman" w:hAnsi="Times New Roman" w:cs="Times New Roman"/>
          <w:noProof/>
          <w:vanish/>
        </w:rPr>
      </w:pPr>
    </w:p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                                                                      </w:t>
      </w:r>
    </w:p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536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framePr w:wrap="around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framePr w:wrap="aroun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Правилата за прилагане на Правилник за персонала, приети от агенциите преди реформата от 2014 г., са посочени, ако съществува решение на Комисията по този въпрос.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  <w:framePr w:wrap="aroun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  <w:framePr w:wrap="aroun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25061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framePr w:hSpace="180" w:wrap="around" w:vAnchor="page" w:hAnchor="page" w:x="664" w:y="64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HeaderCoverPage"/>
      <w:framePr w:wrap="around" w:hAnchor="page" w:x="664" w:y="64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FD6815A4732047E88E65ECA87B90F41F"/>
    <w:docVar w:name="LW_CROSSREFERENCE" w:val="&lt;UNUSED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2"/>
    <w:docVar w:name="LW_REF.INTERNE" w:val="&lt;UNUSED&gt;"/>
    <w:docVar w:name="LW_SUPERTITRE" w:val="&lt;UNUSED&gt;"/>
    <w:docVar w:name="LW_TITRE.OBJ.CP" w:val="\u1082?\u1098?\u1084? \u1044?\u1086?\u1082?\u1083?\u1072?\u1076?\u1072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 \u1086?\u1090?\u1085?\u1086?\u1089?\u1085?\u1086? \u1087?\u1088?\u1072?\u1074?\u1080?\u1083?\u1072?\u1090?\u1072?, \u1087?\u1088?\u1080?\u1077?\u1090?\u1080? \u1086?\u1090? \u1086?\u1088?\u1075?\u1072?\u1085?\u1072? \u1087?\u1086? \u1085?\u1072?\u1079?\u1085?\u1072?\u1095?\u1072?\u1074?\u1072?\u1085?\u1077?\u1090?\u1086? \u1085?\u1072? \u1074?\u1089?\u1103?\u1082?\u1072? \u1080?\u1085?\u1089?\u1090?\u1080?\u1090?\u1091?\u1094?\u1080?\u1103? \u1089? \u1094?\u1077?\u1083? \u1087?\u1088?\u1080?\u1083?\u1072?\u1075?\u1072?\u1085?\u1077? \u1085?\u1072? \u1055?\u1088?\u1072?\u1074?\u1080?\u1083?\u1085?\u1080?\u1082?\u1072? \u1079?\u1072? \u1087?\u1077?\u1088?\u1089?\u1086?\u1085?\u1072?\u1083?\u1072?"/>
    <w:docVar w:name="LW_TYPE.DOC.CP" w:val="\u1055?\u1056?\u1048?\u1051?\u1054?\u1046?\u1045?\u1053?\u1048?\u1045?_x000b_"/>
    <w:docVar w:name="LW_TYPEACTEPRINCIPAL.CP" w:val="\u1055?\u1088?\u1072?\u1074?\u1080?\u1083?\u1072? \u1079?\u1072? \u1087?\u1088?\u1080?\u1083?\u1072?\u1075?\u1072?\u1085?\u1077? \u1074? \u1072?\u1075?\u1077?\u1085?\u1094?\u1080?\u1080?\u1090?\u1077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framePr w:hSpace="180" w:wrap="around" w:vAnchor="page" w:hAnchor="margin" w:x="-137" w:y="1409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framePr w:hSpace="180" w:wrap="around" w:vAnchor="page" w:hAnchor="margin" w:x="-137" w:y="1409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framePr w:hSpace="180" w:wrap="around" w:vAnchor="page" w:hAnchor="margin" w:x="-137" w:y="1409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framePr w:hSpace="180" w:wrap="around" w:vAnchor="page" w:hAnchor="margin" w:x="-137" w:y="1409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C487-FFC0-4484-AA26-D48CA9F7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1300</Words>
  <Characters>7141</Characters>
  <Application>Microsoft Office Word</Application>
  <DocSecurity>0</DocSecurity>
  <Lines>1190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39</cp:revision>
  <cp:lastPrinted>2017-09-18T07:52:00Z</cp:lastPrinted>
  <dcterms:created xsi:type="dcterms:W3CDTF">2017-09-15T13:28:00Z</dcterms:created>
  <dcterms:modified xsi:type="dcterms:W3CDTF">2017-10-25T08:19:00Z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4</vt:lpwstr>
  </property>
  <property fmtid="{D5CDD505-2E9C-101B-9397-08002B2CF9AE}" pid="3" name="Last annex">
    <vt:lpwstr>4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