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F111A648018F4C26A8799BF6831D021F" style="width:450.8pt;height:385.65pt">
            <v:imagedata r:id="rId8" o:title=""/>
          </v:shape>
        </w:pict>
      </w:r>
    </w:p>
    <w:bookmarkEnd w:id="0"/>
    <w:p>
      <w:pPr>
        <w:rPr>
          <w:rFonts w:ascii="Times New Roman" w:hAnsi="Times New Roman" w:cs="Times New Roman"/>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710"/>
        <w:gridCol w:w="1028"/>
      </w:tblGrid>
      <w:tr>
        <w:trPr>
          <w:trHeight w:hRule="exact" w:val="581"/>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after="0" w:line="569" w:lineRule="exact"/>
              <w:jc w:val="center"/>
              <w:rPr>
                <w:rFonts w:ascii="Times New Roman" w:eastAsia="Times New Roman" w:hAnsi="Times New Roman" w:cs="Times New Roman"/>
                <w:noProof/>
                <w:sz w:val="50"/>
                <w:szCs w:val="50"/>
              </w:rPr>
            </w:pPr>
            <w:bookmarkStart w:id="1" w:name="_GoBack"/>
            <w:bookmarkEnd w:id="1"/>
            <w:r>
              <w:rPr>
                <w:rFonts w:ascii="Times New Roman" w:hAnsi="Times New Roman" w:cs="Times New Roman"/>
                <w:b/>
                <w:noProof/>
                <w:spacing w:val="-1"/>
                <w:sz w:val="50"/>
              </w:rPr>
              <w:lastRenderedPageBreak/>
              <w:t>Parlement européen</w:t>
            </w:r>
          </w:p>
        </w:tc>
      </w:tr>
      <w:tr>
        <w:trPr>
          <w:trHeight w:hRule="exact" w:val="785"/>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24" w:after="0" w:line="240" w:lineRule="auto"/>
              <w:ind w:right="938"/>
              <w:jc w:val="center"/>
              <w:rPr>
                <w:rFonts w:ascii="Times New Roman" w:eastAsia="Times New Roman" w:hAnsi="Times New Roman" w:cs="Times New Roman"/>
                <w:noProof/>
                <w:sz w:val="42"/>
                <w:szCs w:val="42"/>
              </w:rPr>
            </w:pPr>
            <w:r>
              <w:rPr>
                <w:rFonts w:ascii="Times New Roman" w:hAnsi="Times New Roman" w:cs="Times New Roman"/>
                <w:b/>
                <w:noProof/>
                <w:sz w:val="42"/>
              </w:rPr>
              <w:t>Statut</w:t>
            </w:r>
          </w:p>
          <w:p>
            <w:pPr>
              <w:widowControl w:val="0"/>
              <w:spacing w:before="19" w:after="0" w:line="240" w:lineRule="auto"/>
              <w:ind w:right="938"/>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(applicable par analogie aux autres agents lorsque le RAA le prévoit expressément)</w:t>
            </w:r>
          </w:p>
        </w:tc>
      </w:tr>
      <w:tr>
        <w:trPr>
          <w:trHeight w:hRule="exact" w:val="314"/>
        </w:trPr>
        <w:tc>
          <w:tcPr>
            <w:tcW w:w="779" w:type="dxa"/>
            <w:tcBorders>
              <w:top w:val="single" w:sz="5" w:space="0" w:color="000000"/>
              <w:left w:val="single" w:sz="4" w:space="0" w:color="000000"/>
              <w:bottom w:val="single" w:sz="5" w:space="0" w:color="000000"/>
              <w:right w:val="single" w:sz="3" w:space="0" w:color="000000"/>
            </w:tcBorders>
            <w:shd w:val="clear" w:color="auto" w:fill="DAEEF3"/>
          </w:tcPr>
          <w:p>
            <w:pPr>
              <w:widowControl w:val="0"/>
              <w:spacing w:before="49" w:after="0" w:line="240" w:lineRule="auto"/>
              <w:ind w:left="114"/>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ind w:left="767"/>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ind w:left="886"/>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ind w:left="75"/>
              <w:jc w:val="center"/>
              <w:rPr>
                <w:rFonts w:ascii="Times New Roman" w:eastAsia="Times New Roman" w:hAnsi="Times New Roman" w:cs="Times New Roman"/>
                <w:noProof/>
                <w:sz w:val="16"/>
                <w:szCs w:val="16"/>
              </w:rPr>
            </w:pPr>
            <w:r>
              <w:rPr>
                <w:rFonts w:ascii="Times New Roman" w:hAnsi="Times New Roman" w:cs="Times New Roman"/>
                <w:b/>
                <w:noProof/>
                <w:spacing w:val="-1"/>
                <w:sz w:val="16"/>
                <w:szCs w:val="16"/>
              </w:rPr>
              <w:t>Entrée en vigueur</w:t>
            </w:r>
          </w:p>
        </w:tc>
        <w:tc>
          <w:tcPr>
            <w:tcW w:w="1710" w:type="dxa"/>
            <w:tcBorders>
              <w:top w:val="single" w:sz="5" w:space="0" w:color="000000"/>
              <w:left w:val="single" w:sz="3" w:space="0" w:color="000000"/>
              <w:bottom w:val="single" w:sz="5" w:space="0" w:color="000000"/>
              <w:right w:val="single" w:sz="5" w:space="0" w:color="000000"/>
            </w:tcBorders>
            <w:shd w:val="clear" w:color="auto" w:fill="DAEEF3"/>
          </w:tcPr>
          <w:p>
            <w:pPr>
              <w:widowControl w:val="0"/>
              <w:spacing w:before="49" w:after="0" w:line="240" w:lineRule="auto"/>
              <w:ind w:left="341"/>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1028" w:type="dxa"/>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47" w:after="0" w:line="240" w:lineRule="auto"/>
              <w:ind w:left="99"/>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38"/>
      </w:tblGrid>
      <w:tr>
        <w:trPr>
          <w:trHeight w:hRule="exact" w:val="286"/>
        </w:trPr>
        <w:tc>
          <w:tcPr>
            <w:tcW w:w="10879" w:type="dxa"/>
            <w:gridSpan w:val="6"/>
            <w:tcBorders>
              <w:top w:val="single" w:sz="6" w:space="0" w:color="000000"/>
              <w:left w:val="single" w:sz="4" w:space="0" w:color="auto"/>
              <w:bottom w:val="single" w:sz="6" w:space="0" w:color="000000"/>
              <w:right w:val="single" w:sz="8" w:space="0" w:color="000000"/>
            </w:tcBorders>
            <w:shd w:val="clear" w:color="auto" w:fill="DCE6F1"/>
          </w:tcPr>
          <w:p>
            <w:pPr>
              <w:widowControl w:val="0"/>
              <w:spacing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 - Dispositions générales</w:t>
            </w:r>
          </w:p>
        </w:tc>
      </w:tr>
      <w:tr>
        <w:trPr>
          <w:trHeight w:hRule="exact" w:val="523"/>
        </w:trPr>
        <w:tc>
          <w:tcPr>
            <w:tcW w:w="780" w:type="dxa"/>
            <w:tcBorders>
              <w:top w:val="single" w:sz="6" w:space="0" w:color="000000"/>
              <w:left w:val="single" w:sz="3" w:space="0" w:color="000000"/>
              <w:bottom w:val="single" w:sz="3" w:space="0" w:color="000000"/>
              <w:right w:val="single" w:sz="3" w:space="0" w:color="000000"/>
            </w:tcBorders>
            <w:shd w:val="clear" w:color="auto" w:fill="DA9694"/>
          </w:tcPr>
          <w:p>
            <w:pPr>
              <w:widowControl w:val="0"/>
              <w:spacing w:after="0" w:line="240" w:lineRule="auto"/>
              <w:ind w:left="243"/>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1</w:t>
            </w:r>
            <w:r>
              <w:rPr>
                <w:rFonts w:ascii="Times New Roman" w:hAnsi="Times New Roman" w:cs="Times New Roman"/>
                <w:b/>
                <w:noProof/>
                <w:w w:val="105"/>
                <w:sz w:val="12"/>
                <w:vertAlign w:val="superscript"/>
              </w:rPr>
              <w:t>er</w:t>
            </w:r>
            <w:r>
              <w:rPr>
                <w:rFonts w:ascii="Times New Roman" w:hAnsi="Times New Roman" w:cs="Times New Roman"/>
                <w:b/>
                <w:noProof/>
                <w:w w:val="105"/>
                <w:sz w:val="12"/>
              </w:rPr>
              <w:t xml:space="preserve"> </w:t>
            </w:r>
            <w:r>
              <w:rPr>
                <w:rFonts w:ascii="Times New Roman" w:hAnsi="Times New Roman" w:cs="Times New Roman"/>
                <w:b/>
                <w:i/>
                <w:noProof/>
                <w:w w:val="105"/>
                <w:sz w:val="12"/>
              </w:rPr>
              <w:t>quinquies</w:t>
            </w:r>
            <w:r>
              <w:rPr>
                <w:rFonts w:ascii="Times New Roman" w:hAnsi="Times New Roman" w:cs="Times New Roman"/>
                <w:b/>
                <w:noProof/>
                <w:w w:val="105"/>
                <w:sz w:val="12"/>
              </w:rPr>
              <w:t xml:space="preserve"> (4)</w:t>
            </w:r>
          </w:p>
        </w:tc>
        <w:tc>
          <w:tcPr>
            <w:tcW w:w="2722" w:type="dxa"/>
            <w:tcBorders>
              <w:top w:val="single" w:sz="6" w:space="0" w:color="000000"/>
              <w:left w:val="single" w:sz="3" w:space="0" w:color="000000"/>
              <w:bottom w:val="single" w:sz="3" w:space="0" w:color="000000"/>
              <w:right w:val="single" w:sz="3" w:space="0" w:color="000000"/>
            </w:tcBorders>
            <w:shd w:val="clear" w:color="auto" w:fill="DA9694"/>
          </w:tcPr>
          <w:p>
            <w:pPr>
              <w:widowControl w:val="0"/>
              <w:spacing w:before="92" w:after="0" w:line="240" w:lineRule="auto"/>
              <w:ind w:right="3"/>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Handicap</w:t>
            </w:r>
          </w:p>
        </w:tc>
        <w:tc>
          <w:tcPr>
            <w:tcW w:w="3230" w:type="dxa"/>
            <w:tcBorders>
              <w:top w:val="single" w:sz="6" w:space="0" w:color="000000"/>
              <w:left w:val="single" w:sz="3" w:space="0" w:color="000000"/>
              <w:bottom w:val="single" w:sz="3" w:space="0" w:color="000000"/>
              <w:right w:val="single" w:sz="3" w:space="0" w:color="000000"/>
            </w:tcBorders>
            <w:shd w:val="clear" w:color="auto" w:fill="DA9694"/>
          </w:tcPr>
          <w:p>
            <w:pPr>
              <w:widowControl w:val="0"/>
              <w:spacing w:before="43" w:after="0" w:line="271" w:lineRule="auto"/>
              <w:ind w:right="119"/>
              <w:jc w:val="center"/>
              <w:rPr>
                <w:rFonts w:ascii="Times New Roman" w:eastAsia="Times New Roman" w:hAnsi="Times New Roman" w:cs="Times New Roman"/>
                <w:noProof/>
                <w:sz w:val="12"/>
                <w:szCs w:val="12"/>
              </w:rPr>
            </w:pPr>
            <w:r>
              <w:rPr>
                <w:rFonts w:ascii="Times New Roman" w:hAnsi="Times New Roman" w:cs="Times New Roman"/>
                <w:noProof/>
                <w:w w:val="105"/>
                <w:sz w:val="12"/>
              </w:rPr>
              <w:t>Réglementation interne mettant en œuvre l'article 1</w:t>
            </w:r>
            <w:r>
              <w:rPr>
                <w:rFonts w:ascii="Times New Roman" w:hAnsi="Times New Roman" w:cs="Times New Roman"/>
                <w:noProof/>
                <w:w w:val="105"/>
                <w:sz w:val="12"/>
                <w:vertAlign w:val="superscript"/>
              </w:rPr>
              <w:t>er</w:t>
            </w:r>
            <w:r>
              <w:rPr>
                <w:rFonts w:ascii="Times New Roman" w:hAnsi="Times New Roman" w:cs="Times New Roman"/>
                <w:noProof/>
                <w:w w:val="105"/>
                <w:sz w:val="12"/>
              </w:rPr>
              <w:t xml:space="preserve"> </w:t>
            </w:r>
            <w:r>
              <w:rPr>
                <w:rFonts w:ascii="Times New Roman" w:hAnsi="Times New Roman" w:cs="Times New Roman"/>
                <w:i/>
                <w:noProof/>
                <w:w w:val="105"/>
                <w:sz w:val="12"/>
              </w:rPr>
              <w:t>quinquies</w:t>
            </w:r>
            <w:r>
              <w:rPr>
                <w:rFonts w:ascii="Times New Roman" w:hAnsi="Times New Roman" w:cs="Times New Roman"/>
                <w:noProof/>
                <w:w w:val="105"/>
                <w:sz w:val="12"/>
              </w:rPr>
              <w:t>, paragraphe 4 (personnes handicapées)</w:t>
            </w:r>
          </w:p>
        </w:tc>
        <w:tc>
          <w:tcPr>
            <w:tcW w:w="1409" w:type="dxa"/>
            <w:tcBorders>
              <w:top w:val="single" w:sz="6"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1.4.2015</w:t>
            </w:r>
          </w:p>
        </w:tc>
        <w:tc>
          <w:tcPr>
            <w:tcW w:w="1800" w:type="dxa"/>
            <w:tcBorders>
              <w:top w:val="single" w:sz="6"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6" w:space="0" w:color="000000"/>
              <w:left w:val="single" w:sz="3" w:space="0" w:color="000000"/>
              <w:bottom w:val="single" w:sz="3" w:space="0" w:color="000000"/>
              <w:right w:val="single" w:sz="7" w:space="0" w:color="000000"/>
            </w:tcBorders>
            <w:shd w:val="clear" w:color="auto" w:fill="DA9694"/>
          </w:tcPr>
          <w:p>
            <w:pPr>
              <w:widowControl w:val="0"/>
              <w:spacing w:before="101" w:after="0" w:line="240" w:lineRule="auto"/>
              <w:jc w:val="center"/>
              <w:rPr>
                <w:rFonts w:ascii="Times New Roman" w:eastAsia="Calibri" w:hAnsi="Times New Roman" w:cs="Times New Roman"/>
                <w:noProof/>
                <w:sz w:val="16"/>
                <w:szCs w:val="16"/>
              </w:rPr>
            </w:pPr>
            <w:r>
              <w:rPr>
                <w:rFonts w:ascii="Times New Roman" w:hAnsi="Times New Roman" w:cs="Times New Roman"/>
                <w:b/>
                <w:noProof/>
                <w:sz w:val="16"/>
              </w:rPr>
              <w:t>1 RE</w:t>
            </w:r>
          </w:p>
        </w:tc>
      </w:tr>
      <w:tr>
        <w:trPr>
          <w:trHeight w:hRule="exact" w:val="1102"/>
        </w:trPr>
        <w:tc>
          <w:tcPr>
            <w:tcW w:w="780"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7"/>
                <w:szCs w:val="17"/>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2</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11" w:after="0" w:line="240" w:lineRule="auto"/>
              <w:jc w:val="center"/>
              <w:rPr>
                <w:rFonts w:ascii="Times New Roman" w:eastAsia="Times New Roman" w:hAnsi="Times New Roman" w:cs="Times New Roman"/>
                <w:noProof/>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Pouvoirs de l'AIPN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6"/>
                <w:szCs w:val="16"/>
              </w:rPr>
            </w:pPr>
          </w:p>
          <w:p>
            <w:pPr>
              <w:widowControl w:val="0"/>
              <w:spacing w:after="0" w:line="271" w:lineRule="auto"/>
              <w:ind w:right="207"/>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bureau du 9 décembre 2013 portant délégation en ce qui concerne les questions en rapport avec la mise en œuvre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9.12.2013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before="101" w:after="0" w:line="240" w:lineRule="auto"/>
              <w:jc w:val="center"/>
              <w:rPr>
                <w:rFonts w:ascii="Times New Roman" w:eastAsia="Calibri" w:hAnsi="Times New Roman" w:cs="Times New Roman"/>
                <w:b/>
                <w:noProof/>
                <w:spacing w:val="-1"/>
                <w:sz w:val="16"/>
                <w:szCs w:val="16"/>
              </w:rPr>
            </w:pPr>
          </w:p>
          <w:p>
            <w:pPr>
              <w:widowControl w:val="0"/>
              <w:spacing w:before="101" w:after="0" w:line="240" w:lineRule="auto"/>
              <w:jc w:val="center"/>
              <w:rPr>
                <w:rFonts w:ascii="Times New Roman" w:eastAsia="Calibri" w:hAnsi="Times New Roman" w:cs="Times New Roman"/>
                <w:b/>
                <w:noProof/>
                <w:spacing w:val="-1"/>
                <w:sz w:val="16"/>
                <w:szCs w:val="16"/>
              </w:rPr>
            </w:pPr>
          </w:p>
          <w:p>
            <w:pPr>
              <w:widowControl w:val="0"/>
              <w:spacing w:before="101" w:after="0" w:line="240" w:lineRule="auto"/>
              <w:jc w:val="center"/>
              <w:rPr>
                <w:rFonts w:ascii="Times New Roman" w:eastAsia="Calibri" w:hAnsi="Times New Roman" w:cs="Times New Roman"/>
                <w:b/>
                <w:noProof/>
                <w:spacing w:val="-1"/>
                <w:sz w:val="16"/>
                <w:szCs w:val="16"/>
              </w:rPr>
            </w:pPr>
            <w:r>
              <w:rPr>
                <w:rFonts w:ascii="Times New Roman" w:hAnsi="Times New Roman" w:cs="Times New Roman"/>
                <w:b/>
                <w:noProof/>
                <w:spacing w:val="-1"/>
                <w:sz w:val="16"/>
              </w:rPr>
              <w:t>1 RE</w:t>
            </w:r>
          </w:p>
        </w:tc>
      </w:tr>
      <w:tr>
        <w:trPr>
          <w:trHeight w:hRule="exact" w:val="1102"/>
        </w:trPr>
        <w:tc>
          <w:tcPr>
            <w:tcW w:w="780"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6"/>
                <w:szCs w:val="16"/>
              </w:rPr>
            </w:pPr>
          </w:p>
          <w:p>
            <w:pPr>
              <w:widowControl w:val="0"/>
              <w:spacing w:after="0" w:line="271" w:lineRule="auto"/>
              <w:ind w:right="66"/>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bureau du 13 janvier 2014 relative à la délégation des pouvoirs de l’autorité investie du pouvoir de nomination et de l’autorité habilitée à conclure les contrats d’engagement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13.1.2014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before="101" w:after="0" w:line="240" w:lineRule="auto"/>
              <w:jc w:val="center"/>
              <w:rPr>
                <w:rFonts w:ascii="Times New Roman" w:eastAsia="Calibri" w:hAnsi="Times New Roman" w:cs="Times New Roman"/>
                <w:b/>
                <w:noProof/>
                <w:spacing w:val="-1"/>
                <w:sz w:val="16"/>
                <w:szCs w:val="16"/>
              </w:rPr>
            </w:pPr>
          </w:p>
          <w:p>
            <w:pPr>
              <w:widowControl w:val="0"/>
              <w:spacing w:before="101" w:after="0" w:line="240" w:lineRule="auto"/>
              <w:jc w:val="center"/>
              <w:rPr>
                <w:rFonts w:ascii="Times New Roman" w:eastAsia="Calibri" w:hAnsi="Times New Roman" w:cs="Times New Roman"/>
                <w:b/>
                <w:noProof/>
                <w:spacing w:val="-1"/>
                <w:sz w:val="16"/>
                <w:szCs w:val="16"/>
              </w:rPr>
            </w:pPr>
            <w:r>
              <w:rPr>
                <w:rFonts w:ascii="Times New Roman" w:hAnsi="Times New Roman" w:cs="Times New Roman"/>
                <w:b/>
                <w:noProof/>
                <w:spacing w:val="-1"/>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58"/>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27"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II - Droits et obligations du fonctionnaire</w:t>
            </w:r>
          </w:p>
        </w:tc>
      </w:tr>
      <w:tr>
        <w:trPr>
          <w:trHeight w:hRule="exact" w:val="526"/>
        </w:trPr>
        <w:tc>
          <w:tcPr>
            <w:tcW w:w="779"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12 </w:t>
            </w:r>
            <w:r>
              <w:rPr>
                <w:rFonts w:ascii="Times New Roman" w:hAnsi="Times New Roman" w:cs="Times New Roman"/>
                <w:b/>
                <w:i/>
                <w:noProof/>
                <w:spacing w:val="1"/>
                <w:w w:val="105"/>
                <w:sz w:val="12"/>
              </w:rPr>
              <w:t>bis</w:t>
            </w:r>
          </w:p>
        </w:tc>
        <w:tc>
          <w:tcPr>
            <w:tcW w:w="2722"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7" w:after="0" w:line="240" w:lineRule="auto"/>
              <w:jc w:val="center"/>
              <w:rPr>
                <w:rFonts w:ascii="Times New Roman" w:eastAsia="Times New Roman" w:hAnsi="Times New Roman" w:cs="Times New Roman"/>
                <w:noProof/>
                <w:sz w:val="20"/>
                <w:szCs w:val="20"/>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Harcèlement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33" w:after="0" w:line="271" w:lineRule="auto"/>
              <w:ind w:right="52"/>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au comité consultatif sur le harcèlement et sa prévention sur le lieu de travail — DV\ 608697 - 21 février 2006</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21.2.2006</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7" w:space="0" w:color="000000"/>
            </w:tcBorders>
            <w:shd w:val="clear" w:color="auto" w:fill="DA9694"/>
          </w:tcPr>
          <w:p>
            <w:pPr>
              <w:widowControl w:val="0"/>
              <w:spacing w:before="101" w:after="0" w:line="240" w:lineRule="auto"/>
              <w:jc w:val="center"/>
              <w:rPr>
                <w:rFonts w:ascii="Times New Roman" w:eastAsia="Calibri" w:hAnsi="Times New Roman" w:cs="Times New Roman"/>
                <w:b/>
                <w:noProof/>
                <w:spacing w:val="-1"/>
                <w:sz w:val="16"/>
                <w:szCs w:val="16"/>
              </w:rPr>
            </w:pPr>
            <w:r>
              <w:rPr>
                <w:rFonts w:ascii="Times New Roman" w:hAnsi="Times New Roman" w:cs="Times New Roman"/>
                <w:b/>
                <w:noProof/>
                <w:spacing w:val="-1"/>
                <w:sz w:val="16"/>
              </w:rPr>
              <w:t>1 RE</w:t>
            </w:r>
          </w:p>
        </w:tc>
      </w:tr>
      <w:tr>
        <w:trPr>
          <w:trHeight w:hRule="exact" w:val="526"/>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5" w:after="0" w:line="271" w:lineRule="auto"/>
              <w:ind w:right="53"/>
              <w:jc w:val="center"/>
              <w:rPr>
                <w:rFonts w:ascii="Times New Roman" w:eastAsia="Times New Roman" w:hAnsi="Times New Roman" w:cs="Times New Roman"/>
                <w:noProof/>
                <w:sz w:val="12"/>
                <w:szCs w:val="12"/>
              </w:rPr>
            </w:pPr>
            <w:r>
              <w:rPr>
                <w:rFonts w:ascii="Times New Roman" w:hAnsi="Times New Roman" w:cs="Times New Roman"/>
                <w:noProof/>
                <w:w w:val="105"/>
                <w:sz w:val="12"/>
              </w:rPr>
              <w:t>Réglementation interne sur le harcèlement et sa prévention sur le lieu de travail et sur les plaintes pour harcèlement (modifiée en dernier lieu le 7 juillet 2015)</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14.4.2014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before="101" w:after="0" w:line="240" w:lineRule="auto"/>
              <w:jc w:val="center"/>
              <w:rPr>
                <w:rFonts w:ascii="Times New Roman" w:eastAsia="Calibri" w:hAnsi="Times New Roman" w:cs="Times New Roman"/>
                <w:b/>
                <w:noProof/>
                <w:spacing w:val="-1"/>
                <w:sz w:val="16"/>
                <w:szCs w:val="16"/>
              </w:rPr>
            </w:pPr>
            <w:r>
              <w:rPr>
                <w:rFonts w:ascii="Times New Roman" w:hAnsi="Times New Roman" w:cs="Times New Roman"/>
                <w:b/>
                <w:noProof/>
                <w:spacing w:val="-1"/>
                <w:sz w:val="16"/>
              </w:rPr>
              <w:t>1 RE</w:t>
            </w:r>
          </w:p>
        </w:tc>
      </w:tr>
      <w:tr>
        <w:trPr>
          <w:trHeight w:hRule="exact" w:val="575"/>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22 </w:t>
            </w:r>
            <w:r>
              <w:rPr>
                <w:rFonts w:ascii="Times New Roman" w:hAnsi="Times New Roman" w:cs="Times New Roman"/>
                <w:b/>
                <w:i/>
                <w:noProof/>
                <w:w w:val="105"/>
                <w:sz w:val="12"/>
              </w:rPr>
              <w:t>bis</w:t>
            </w:r>
            <w:r>
              <w:rPr>
                <w:rFonts w:ascii="Times New Roman" w:hAnsi="Times New Roman" w:cs="Times New Roman"/>
                <w:b/>
                <w:noProof/>
                <w:w w:val="105"/>
                <w:sz w:val="12"/>
              </w:rPr>
              <w:t xml:space="preserve"> - </w:t>
            </w:r>
            <w:r>
              <w:rPr>
                <w:rFonts w:ascii="Times New Roman" w:hAnsi="Times New Roman" w:cs="Times New Roman"/>
                <w:b/>
                <w:i/>
                <w:noProof/>
                <w:w w:val="105"/>
                <w:sz w:val="12"/>
              </w:rPr>
              <w:t>quater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21"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Dénonciation des dysfonctionnements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1" w:after="0" w:line="271" w:lineRule="auto"/>
              <w:ind w:right="301"/>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secrétaire général portant règles internes relatives à la mise en œuvre de l’article 22 </w:t>
            </w:r>
            <w:r>
              <w:rPr>
                <w:rFonts w:ascii="Times New Roman" w:hAnsi="Times New Roman" w:cs="Times New Roman"/>
                <w:i/>
                <w:noProof/>
                <w:w w:val="105"/>
                <w:sz w:val="12"/>
              </w:rPr>
              <w:t>quater</w:t>
            </w:r>
            <w:r>
              <w:rPr>
                <w:rFonts w:ascii="Times New Roman" w:hAnsi="Times New Roman" w:cs="Times New Roman"/>
                <w:noProof/>
                <w:w w:val="105"/>
                <w:sz w:val="12"/>
              </w:rPr>
              <w:t xml:space="preserve">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before="101" w:after="0" w:line="240" w:lineRule="auto"/>
              <w:jc w:val="center"/>
              <w:rPr>
                <w:rFonts w:ascii="Times New Roman" w:eastAsia="Calibri" w:hAnsi="Times New Roman" w:cs="Times New Roman"/>
                <w:b/>
                <w:noProof/>
                <w:spacing w:val="-1"/>
                <w:sz w:val="16"/>
                <w:szCs w:val="16"/>
              </w:rPr>
            </w:pPr>
            <w:r>
              <w:rPr>
                <w:rFonts w:ascii="Times New Roman" w:hAnsi="Times New Roman" w:cs="Times New Roman"/>
                <w:b/>
                <w:noProof/>
                <w:spacing w:val="-1"/>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14"/>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5"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z w:val="25"/>
              </w:rPr>
              <w:t>Titre III - De la carrière du fonctionnaire</w:t>
            </w:r>
          </w:p>
        </w:tc>
      </w:tr>
      <w:tr>
        <w:trPr>
          <w:trHeight w:hRule="exact" w:val="324"/>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47" w:after="0" w:line="240" w:lineRule="auto"/>
              <w:ind w:right="937"/>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Recrutement</w:t>
            </w:r>
          </w:p>
        </w:tc>
      </w:tr>
      <w:tr>
        <w:trPr>
          <w:trHeight w:hRule="exact" w:val="535"/>
        </w:trPr>
        <w:tc>
          <w:tcPr>
            <w:tcW w:w="779" w:type="dxa"/>
            <w:tcBorders>
              <w:top w:val="single" w:sz="5" w:space="0" w:color="000000"/>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tcBorders>
              <w:top w:val="single" w:sz="5" w:space="0" w:color="000000"/>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71" w:lineRule="auto"/>
              <w:ind w:right="233"/>
              <w:jc w:val="center"/>
              <w:rPr>
                <w:rFonts w:ascii="Times New Roman" w:eastAsia="Times New Roman" w:hAnsi="Times New Roman" w:cs="Times New Roman"/>
                <w:noProof/>
                <w:sz w:val="12"/>
                <w:szCs w:val="12"/>
              </w:rPr>
            </w:pPr>
            <w:r>
              <w:rPr>
                <w:rFonts w:ascii="Times New Roman" w:hAnsi="Times New Roman" w:cs="Times New Roman"/>
                <w:noProof/>
                <w:w w:val="105"/>
                <w:sz w:val="12"/>
              </w:rPr>
              <w:t>Réglementation interne relative au recrutement des fonctionnaires et autres agents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3.5.2004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938" w:type="dxa"/>
            <w:tcBorders>
              <w:top w:val="single" w:sz="5" w:space="0" w:color="000000"/>
              <w:left w:val="single" w:sz="3" w:space="0" w:color="000000"/>
              <w:bottom w:val="nil"/>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r>
      <w:tr>
        <w:trPr>
          <w:trHeight w:hRule="exact" w:val="374"/>
        </w:trPr>
        <w:tc>
          <w:tcPr>
            <w:tcW w:w="779" w:type="dxa"/>
            <w:tcBorders>
              <w:top w:val="nil"/>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tcBorders>
              <w:top w:val="nil"/>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 classement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18.5.2004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938" w:type="dxa"/>
            <w:tcBorders>
              <w:top w:val="nil"/>
              <w:left w:val="single" w:sz="3" w:space="0" w:color="000000"/>
              <w:bottom w:val="nil"/>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r>
      <w:tr>
        <w:trPr>
          <w:trHeight w:hRule="exact" w:val="1070"/>
        </w:trPr>
        <w:tc>
          <w:tcPr>
            <w:tcW w:w="779" w:type="dxa"/>
            <w:tcBorders>
              <w:top w:val="nil"/>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27 - 34</w:t>
            </w:r>
          </w:p>
        </w:tc>
        <w:tc>
          <w:tcPr>
            <w:tcW w:w="2722" w:type="dxa"/>
            <w:tcBorders>
              <w:top w:val="nil"/>
              <w:left w:val="single" w:sz="3" w:space="0" w:color="000000"/>
              <w:bottom w:val="nil"/>
              <w:right w:val="single" w:sz="3" w:space="0" w:color="000000"/>
            </w:tcBorders>
            <w:shd w:val="clear" w:color="auto" w:fill="FFFF65"/>
          </w:tcPr>
          <w:p>
            <w:pPr>
              <w:widowControl w:val="0"/>
              <w:spacing w:before="3" w:after="0" w:line="240" w:lineRule="auto"/>
              <w:jc w:val="center"/>
              <w:rPr>
                <w:rFonts w:ascii="Times New Roman" w:eastAsia="Times New Roman" w:hAnsi="Times New Roman" w:cs="Times New Roman"/>
                <w:noProof/>
                <w:sz w:val="20"/>
                <w:szCs w:val="20"/>
              </w:rPr>
            </w:pPr>
          </w:p>
          <w:p>
            <w:pPr>
              <w:widowControl w:val="0"/>
              <w:spacing w:after="0" w:line="240" w:lineRule="auto"/>
              <w:ind w:right="1"/>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3"/>
                <w:szCs w:val="13"/>
              </w:rPr>
            </w:pPr>
          </w:p>
          <w:p>
            <w:pPr>
              <w:widowControl w:val="0"/>
              <w:spacing w:after="0" w:line="271" w:lineRule="auto"/>
              <w:ind w:right="22"/>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Mesures d’exécution relatives recrutement et aux conditions d’emploi des agents contractuels et agents contractuels auxiliaires au Parlement européen et précisant certaines dispositions spécifiques concernant les droits des agents contractuels et agents contractuels auxiliaires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3"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19.11.2007</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3"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938" w:type="dxa"/>
            <w:tcBorders>
              <w:top w:val="nil"/>
              <w:left w:val="single" w:sz="3" w:space="0" w:color="000000"/>
              <w:bottom w:val="nil"/>
              <w:right w:val="single" w:sz="5"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20"/>
                <w:szCs w:val="20"/>
              </w:rPr>
            </w:pPr>
          </w:p>
          <w:p>
            <w:pPr>
              <w:widowControl w:val="0"/>
              <w:spacing w:after="0" w:line="240" w:lineRule="auto"/>
              <w:jc w:val="center"/>
              <w:rPr>
                <w:rFonts w:ascii="Times New Roman" w:eastAsia="Calibri" w:hAnsi="Times New Roman" w:cs="Times New Roman"/>
                <w:noProof/>
                <w:sz w:val="16"/>
                <w:szCs w:val="16"/>
              </w:rPr>
            </w:pPr>
            <w:r>
              <w:rPr>
                <w:rFonts w:ascii="Times New Roman" w:hAnsi="Times New Roman" w:cs="Times New Roman"/>
                <w:b/>
                <w:noProof/>
                <w:sz w:val="16"/>
              </w:rPr>
              <w:t>1 DGE</w:t>
            </w:r>
          </w:p>
        </w:tc>
      </w:tr>
      <w:tr>
        <w:trPr>
          <w:trHeight w:hRule="exact" w:val="502"/>
        </w:trPr>
        <w:tc>
          <w:tcPr>
            <w:tcW w:w="779" w:type="dxa"/>
            <w:tcBorders>
              <w:top w:val="nil"/>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tcBorders>
              <w:top w:val="nil"/>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23" w:after="0" w:line="271" w:lineRule="auto"/>
              <w:ind w:right="24"/>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aux concours et sélections, au recrutement et au classement des fonctionnaires et des autres agents du 17 octobre 2014</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nil"/>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r>
      <w:tr>
        <w:trPr>
          <w:trHeight w:hRule="exact" w:val="624"/>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29 (2)</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Recrutement de personnel d'encadrement supérieur</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3" w:after="0" w:line="271" w:lineRule="auto"/>
              <w:ind w:right="81"/>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bureau fixant les différentes étapes de la procédure de nomination des hauts fonctionnaires (modifiée en dernier lieu le 18 février 2008)</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16.5.2000</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before="101" w:after="0" w:line="240" w:lineRule="auto"/>
              <w:jc w:val="center"/>
              <w:rPr>
                <w:rFonts w:ascii="Times New Roman" w:eastAsia="Calibri" w:hAnsi="Times New Roman" w:cs="Times New Roman"/>
                <w:b/>
                <w:noProof/>
                <w:spacing w:val="-1"/>
                <w:sz w:val="16"/>
                <w:szCs w:val="16"/>
              </w:rPr>
            </w:pPr>
            <w:r>
              <w:rPr>
                <w:rFonts w:ascii="Times New Roman" w:hAnsi="Times New Roman" w:cs="Times New Roman"/>
                <w:b/>
                <w:noProof/>
                <w:spacing w:val="-1"/>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14"/>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42"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2 - Positions</w:t>
            </w:r>
          </w:p>
        </w:tc>
      </w:tr>
      <w:tr>
        <w:trPr>
          <w:trHeight w:hRule="exact" w:val="300"/>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53" w:after="0" w:line="240" w:lineRule="auto"/>
              <w:ind w:right="938"/>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Section 2 - Détachement</w:t>
            </w:r>
          </w:p>
        </w:tc>
      </w:tr>
      <w:tr>
        <w:trPr>
          <w:trHeight w:hRule="exact" w:val="497"/>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37 point a)</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Détachement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5" w:after="0" w:line="271" w:lineRule="auto"/>
              <w:ind w:right="19"/>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au détachement de fonctionnaires du 16 octobre 2014, suivant l’article 37, point a)</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before="101"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254"/>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22"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3 - Le congé de convenance personnelle</w:t>
            </w:r>
          </w:p>
        </w:tc>
      </w:tr>
      <w:tr>
        <w:trPr>
          <w:trHeight w:hRule="exact" w:val="389"/>
        </w:trPr>
        <w:tc>
          <w:tcPr>
            <w:tcW w:w="779"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1"/>
                <w:szCs w:val="11"/>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40</w:t>
            </w:r>
          </w:p>
        </w:tc>
        <w:tc>
          <w:tcPr>
            <w:tcW w:w="2722" w:type="dxa"/>
            <w:vMerge w:val="restart"/>
            <w:tcBorders>
              <w:top w:val="single" w:sz="5" w:space="0" w:color="000000"/>
              <w:left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21"/>
                <w:szCs w:val="21"/>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Congés de convenance personnelle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3" w:after="0" w:line="271" w:lineRule="auto"/>
              <w:ind w:right="76"/>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Communication au personnel sur le congé de convenance personnelle du 21 septembre 2004</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21.9.2004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938" w:type="dxa"/>
            <w:vMerge w:val="restart"/>
            <w:tcBorders>
              <w:top w:val="single" w:sz="5"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1 RE</w:t>
            </w:r>
          </w:p>
        </w:tc>
      </w:tr>
      <w:tr>
        <w:trPr>
          <w:trHeight w:hRule="exact" w:val="407"/>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9"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au congé de convenance personnelle et au congé sans rémunération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9"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Calibri" w:hAnsi="Times New Roman" w:cs="Times New Roman"/>
          <w:noProof/>
        </w:rPr>
        <w:sectPr>
          <w:headerReference w:type="even" r:id="rId15"/>
          <w:headerReference w:type="default" r:id="rId16"/>
          <w:footerReference w:type="even" r:id="rId17"/>
          <w:footerReference w:type="default" r:id="rId18"/>
          <w:headerReference w:type="first" r:id="rId19"/>
          <w:footerReference w:type="first" r:id="rId20"/>
          <w:pgSz w:w="11900" w:h="16840" w:code="9"/>
          <w:pgMar w:top="1280" w:right="580" w:bottom="280" w:left="220" w:header="1082" w:footer="72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14"/>
        </w:trPr>
        <w:tc>
          <w:tcPr>
            <w:tcW w:w="779" w:type="dxa"/>
            <w:tcBorders>
              <w:top w:val="single" w:sz="5" w:space="0" w:color="000000"/>
              <w:left w:val="single" w:sz="4"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5" w:space="0" w:color="000000"/>
              <w:left w:val="single" w:sz="3" w:space="0" w:color="000000"/>
              <w:bottom w:val="single" w:sz="5" w:space="0" w:color="000000"/>
              <w:right w:val="single" w:sz="5"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38" w:type="dxa"/>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47"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bl>
    <w:p>
      <w:pPr>
        <w:widowControl w:val="0"/>
        <w:spacing w:after="0" w:line="240" w:lineRule="auto"/>
        <w:jc w:val="center"/>
        <w:rPr>
          <w:rFonts w:ascii="Times New Roman" w:eastAsia="Times New Roman" w:hAnsi="Times New Roman" w:cs="Times New Roman"/>
          <w:noProof/>
          <w:sz w:val="25"/>
          <w:szCs w:val="25"/>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250"/>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20" w:after="0" w:line="240" w:lineRule="auto"/>
              <w:ind w:right="938"/>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6 - Congé parental ou familial</w:t>
            </w:r>
          </w:p>
        </w:tc>
      </w:tr>
      <w:tr>
        <w:trPr>
          <w:trHeight w:hRule="exact" w:val="324"/>
        </w:trPr>
        <w:tc>
          <w:tcPr>
            <w:tcW w:w="779" w:type="dxa"/>
            <w:vMerge w:val="restart"/>
            <w:tcBorders>
              <w:top w:val="single" w:sz="5" w:space="0" w:color="000000"/>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42 </w:t>
            </w:r>
            <w:r>
              <w:rPr>
                <w:rFonts w:ascii="Times New Roman" w:hAnsi="Times New Roman" w:cs="Times New Roman"/>
                <w:b/>
                <w:i/>
                <w:noProof/>
                <w:spacing w:val="1"/>
                <w:w w:val="105"/>
                <w:sz w:val="12"/>
              </w:rPr>
              <w:t>bis</w:t>
            </w:r>
          </w:p>
        </w:tc>
        <w:tc>
          <w:tcPr>
            <w:tcW w:w="2722" w:type="dxa"/>
            <w:vMerge w:val="restart"/>
            <w:tcBorders>
              <w:top w:val="single" w:sz="5" w:space="0" w:color="000000"/>
              <w:left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21"/>
                <w:szCs w:val="21"/>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Congé parental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du 18 mai 2004</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18.5.2004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1.10.2014</w:t>
            </w:r>
          </w:p>
        </w:tc>
        <w:tc>
          <w:tcPr>
            <w:tcW w:w="938" w:type="dxa"/>
            <w:vMerge w:val="restart"/>
            <w:tcBorders>
              <w:top w:val="single" w:sz="5"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00" w:after="0" w:line="240" w:lineRule="auto"/>
              <w:jc w:val="center"/>
              <w:rPr>
                <w:rFonts w:ascii="Times New Roman" w:eastAsia="Calibri" w:hAnsi="Times New Roman" w:cs="Times New Roman"/>
                <w:b/>
                <w:noProof/>
                <w:spacing w:val="-1"/>
                <w:sz w:val="16"/>
                <w:szCs w:val="16"/>
              </w:rPr>
            </w:pPr>
            <w:r>
              <w:rPr>
                <w:rFonts w:ascii="Times New Roman" w:hAnsi="Times New Roman" w:cs="Times New Roman"/>
                <w:b/>
                <w:noProof/>
                <w:sz w:val="16"/>
              </w:rPr>
              <w:t>1 DGE</w:t>
            </w:r>
          </w:p>
          <w:p>
            <w:pPr>
              <w:widowControl w:val="0"/>
              <w:spacing w:before="100" w:after="0" w:line="240" w:lineRule="auto"/>
              <w:jc w:val="center"/>
              <w:rPr>
                <w:rFonts w:ascii="Times New Roman" w:eastAsia="Calibri" w:hAnsi="Times New Roman" w:cs="Times New Roman"/>
                <w:noProof/>
                <w:sz w:val="16"/>
                <w:szCs w:val="16"/>
              </w:rPr>
            </w:pPr>
          </w:p>
        </w:tc>
      </w:tr>
      <w:tr>
        <w:trPr>
          <w:trHeight w:hRule="exact" w:val="389"/>
        </w:trPr>
        <w:tc>
          <w:tcPr>
            <w:tcW w:w="779"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5" w:after="0" w:line="271" w:lineRule="auto"/>
              <w:ind w:right="79"/>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secrétaire général du 4 septembre 2014 portant dispositions générales d’exécution relatives au congé parental</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1.10.2014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sz w:val="16"/>
                <w:szCs w:val="16"/>
              </w:rPr>
            </w:pPr>
          </w:p>
        </w:tc>
      </w:tr>
      <w:tr>
        <w:trPr>
          <w:trHeight w:hRule="exact" w:val="216"/>
        </w:trPr>
        <w:tc>
          <w:tcPr>
            <w:tcW w:w="779"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 xml:space="preserve">42 </w:t>
            </w:r>
            <w:r>
              <w:rPr>
                <w:rFonts w:ascii="Times New Roman" w:hAnsi="Times New Roman" w:cs="Times New Roman"/>
                <w:b/>
                <w:i/>
                <w:noProof/>
                <w:spacing w:val="1"/>
                <w:w w:val="105"/>
                <w:sz w:val="12"/>
              </w:rPr>
              <w:t>ter</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before="142"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Congé familial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Instructions internes du 18 mai 2004</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18.5.2004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1.7.2014</w:t>
            </w:r>
          </w:p>
        </w:tc>
        <w:tc>
          <w:tcPr>
            <w:tcW w:w="938"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1 RE</w:t>
            </w:r>
          </w:p>
        </w:tc>
      </w:tr>
      <w:tr>
        <w:trPr>
          <w:trHeight w:hRule="exact" w:val="274"/>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au congé familial du 4 juin 2014</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noProof/>
          <w:sz w:val="24"/>
          <w:szCs w:val="24"/>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Notation, avancement d'échelon et promotion</w:t>
            </w:r>
          </w:p>
        </w:tc>
      </w:tr>
      <w:tr>
        <w:trPr>
          <w:trHeight w:hRule="exact" w:val="348"/>
        </w:trPr>
        <w:tc>
          <w:tcPr>
            <w:tcW w:w="779" w:type="dxa"/>
            <w:vMerge w:val="restart"/>
            <w:tcBorders>
              <w:top w:val="single" w:sz="5" w:space="0" w:color="000000"/>
              <w:left w:val="single" w:sz="4"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val="restart"/>
            <w:tcBorders>
              <w:top w:val="single" w:sz="5"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du 6 juillet 2005</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6.7.2005</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938" w:type="dxa"/>
            <w:vMerge w:val="restart"/>
            <w:tcBorders>
              <w:top w:val="single" w:sz="5"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115" w:after="0" w:line="240" w:lineRule="auto"/>
              <w:jc w:val="center"/>
              <w:rPr>
                <w:rFonts w:ascii="Times New Roman" w:eastAsia="Calibri" w:hAnsi="Times New Roman" w:cs="Times New Roman"/>
                <w:noProof/>
                <w:sz w:val="16"/>
                <w:szCs w:val="16"/>
              </w:rPr>
            </w:pPr>
            <w:r>
              <w:rPr>
                <w:rFonts w:ascii="Times New Roman" w:hAnsi="Times New Roman" w:cs="Times New Roman"/>
                <w:b/>
                <w:noProof/>
                <w:sz w:val="16"/>
              </w:rPr>
              <w:t>1 DGE</w:t>
            </w:r>
          </w:p>
        </w:tc>
      </w:tr>
      <w:tr>
        <w:trPr>
          <w:trHeight w:hRule="exact" w:val="718"/>
        </w:trPr>
        <w:tc>
          <w:tcPr>
            <w:tcW w:w="779" w:type="dxa"/>
            <w:vMerge/>
            <w:tcBorders>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52" w:after="0" w:line="271" w:lineRule="auto"/>
              <w:ind w:right="65"/>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à la mise en œuvre de l’article 43 du statut des fonctionnaires et de l’article 15, paragraphe 2, et de l’article 87, paragraphe 1, du régime applicable aux autres agents (rapports de notation)</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sz w:val="16"/>
                <w:szCs w:val="16"/>
              </w:rPr>
            </w:pPr>
          </w:p>
        </w:tc>
      </w:tr>
      <w:tr>
        <w:trPr>
          <w:trHeight w:hRule="exact" w:val="348"/>
        </w:trPr>
        <w:tc>
          <w:tcPr>
            <w:tcW w:w="779" w:type="dxa"/>
            <w:vMerge w:val="restart"/>
            <w:tcBorders>
              <w:top w:val="nil"/>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4"/>
                <w:szCs w:val="14"/>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43</w:t>
            </w:r>
          </w:p>
        </w:tc>
        <w:tc>
          <w:tcPr>
            <w:tcW w:w="2722" w:type="dxa"/>
            <w:vMerge w:val="restart"/>
            <w:tcBorders>
              <w:top w:val="nil"/>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11" w:after="0" w:line="240" w:lineRule="auto"/>
              <w:jc w:val="center"/>
              <w:rPr>
                <w:rFonts w:ascii="Times New Roman" w:eastAsia="Times New Roman" w:hAnsi="Times New Roman" w:cs="Times New Roman"/>
                <w:noProof/>
                <w:sz w:val="23"/>
                <w:szCs w:val="23"/>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Rapport annuel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Guide de la notation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22.6.2000</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938"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90" w:after="0" w:line="240" w:lineRule="auto"/>
              <w:jc w:val="center"/>
              <w:rPr>
                <w:rFonts w:ascii="Times New Roman" w:eastAsia="Calibri" w:hAnsi="Times New Roman" w:cs="Times New Roman"/>
                <w:noProof/>
                <w:sz w:val="16"/>
                <w:szCs w:val="16"/>
              </w:rPr>
            </w:pPr>
            <w:r>
              <w:rPr>
                <w:rFonts w:ascii="Times New Roman" w:hAnsi="Times New Roman" w:cs="Times New Roman"/>
                <w:b/>
                <w:noProof/>
                <w:sz w:val="16"/>
              </w:rPr>
              <w:t>1 RE</w:t>
            </w:r>
          </w:p>
        </w:tc>
      </w:tr>
      <w:tr>
        <w:trPr>
          <w:trHeight w:hRule="exact" w:val="984"/>
        </w:trPr>
        <w:tc>
          <w:tcPr>
            <w:tcW w:w="779" w:type="dxa"/>
            <w:vMerge/>
            <w:tcBorders>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noProof/>
                <w:sz w:val="16"/>
                <w:szCs w:val="16"/>
              </w:rPr>
            </w:pPr>
          </w:p>
          <w:p>
            <w:pPr>
              <w:widowControl w:val="0"/>
              <w:spacing w:after="0" w:line="271" w:lineRule="auto"/>
              <w:ind w:right="65"/>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régissant l'application des dispositions générales d’exécution relatives à la mise en œuvre de l’article 43 du statut des fonctionnaires et de l’article 15, paragraphe 2, et de l’article 87, paragraphe 1, du régime applicable aux autres agents (rapports de notation)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noProof/>
                <w:sz w:val="16"/>
                <w:szCs w:val="16"/>
              </w:rPr>
            </w:pPr>
          </w:p>
        </w:tc>
      </w:tr>
      <w:tr>
        <w:trPr>
          <w:trHeight w:hRule="exact" w:val="840"/>
        </w:trPr>
        <w:tc>
          <w:tcPr>
            <w:tcW w:w="779" w:type="dxa"/>
            <w:vMerge w:val="restart"/>
            <w:tcBorders>
              <w:top w:val="nil"/>
              <w:left w:val="single" w:sz="4"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val="restart"/>
            <w:tcBorders>
              <w:top w:val="nil"/>
              <w:left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71" w:lineRule="auto"/>
              <w:ind w:right="61"/>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à la procédure de notation, applicables à l’encadrement supérieur, conformément à l’article 43 du statut et à l’article 15, paragraphe 2, du régime applicable aux autres agents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7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7.7.2008</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7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27.2.2015</w:t>
            </w:r>
          </w:p>
        </w:tc>
        <w:tc>
          <w:tcPr>
            <w:tcW w:w="938" w:type="dxa"/>
            <w:vMerge w:val="restart"/>
            <w:tcBorders>
              <w:top w:val="single" w:sz="3"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9"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1 DGE</w:t>
            </w:r>
          </w:p>
        </w:tc>
      </w:tr>
      <w:tr>
        <w:trPr>
          <w:trHeight w:hRule="exact" w:val="746"/>
        </w:trPr>
        <w:tc>
          <w:tcPr>
            <w:tcW w:w="779"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7" w:after="0" w:line="271" w:lineRule="auto"/>
              <w:ind w:right="61"/>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à la procédure de notation, applicables à l’encadrement supérieur, conformément à l’article 43 du statut et à l’article 15, paragraphe 2, du régime applicable aux autres agents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3"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27.2.2015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sz w:val="16"/>
                <w:szCs w:val="16"/>
              </w:rPr>
            </w:pPr>
          </w:p>
        </w:tc>
      </w:tr>
      <w:tr>
        <w:trPr>
          <w:trHeight w:hRule="exact" w:val="698"/>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44 (2) - 46</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21"/>
                <w:szCs w:val="21"/>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Confirmation dans des postes d’encadrement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71" w:lineRule="auto"/>
              <w:ind w:right="59"/>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confirmant la nomination de chefs d’unité, de directeurs et de directeurs généraux (modifiées en dernier lieu le 18 juillet 2014)</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7.7.2008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1 RE</w:t>
            </w:r>
          </w:p>
        </w:tc>
      </w:tr>
      <w:tr>
        <w:trPr>
          <w:trHeight w:hRule="exact" w:val="389"/>
        </w:trPr>
        <w:tc>
          <w:tcPr>
            <w:tcW w:w="779"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1"/>
                <w:szCs w:val="11"/>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45</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6"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Promotions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5" w:after="0" w:line="271" w:lineRule="auto"/>
              <w:ind w:right="87"/>
              <w:jc w:val="center"/>
              <w:rPr>
                <w:rFonts w:ascii="Times New Roman" w:eastAsia="Times New Roman" w:hAnsi="Times New Roman" w:cs="Times New Roman"/>
                <w:noProof/>
                <w:sz w:val="12"/>
                <w:szCs w:val="12"/>
              </w:rPr>
            </w:pPr>
            <w:r>
              <w:rPr>
                <w:rFonts w:ascii="Times New Roman" w:hAnsi="Times New Roman" w:cs="Times New Roman"/>
                <w:noProof/>
                <w:w w:val="105"/>
                <w:sz w:val="12"/>
              </w:rPr>
              <w:t>Directive interne relative aux comités consultatifs de promotion du 19 octobre 2005</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19.10.2005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18.7.2014</w:t>
            </w:r>
          </w:p>
        </w:tc>
        <w:tc>
          <w:tcPr>
            <w:tcW w:w="938"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6"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1 RE</w:t>
            </w:r>
          </w:p>
        </w:tc>
      </w:tr>
      <w:tr>
        <w:trPr>
          <w:trHeight w:hRule="exact" w:val="389"/>
        </w:trPr>
        <w:tc>
          <w:tcPr>
            <w:tcW w:w="779"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aux comités consultatifs de promotion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18.7.2014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noProof/>
                <w:sz w:val="16"/>
                <w:szCs w:val="16"/>
              </w:rPr>
            </w:pPr>
          </w:p>
        </w:tc>
      </w:tr>
      <w:tr>
        <w:trPr>
          <w:trHeight w:hRule="exact" w:val="389"/>
        </w:trPr>
        <w:tc>
          <w:tcPr>
            <w:tcW w:w="779"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5" w:after="0" w:line="271" w:lineRule="auto"/>
              <w:ind w:right="23"/>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Mesures d’exécution relatives à l’attribution des points de mérite et des promotions du 6 mai 2008</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6.5.2008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20.6.2014</w:t>
            </w:r>
          </w:p>
        </w:tc>
        <w:tc>
          <w:tcPr>
            <w:tcW w:w="938"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6"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1 RE</w:t>
            </w:r>
          </w:p>
        </w:tc>
      </w:tr>
      <w:tr>
        <w:trPr>
          <w:trHeight w:hRule="exact" w:val="389"/>
        </w:trPr>
        <w:tc>
          <w:tcPr>
            <w:tcW w:w="779"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à l’attribution des points de mérite et des promotions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20.6.2014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noProof/>
                <w:sz w:val="16"/>
                <w:szCs w:val="16"/>
              </w:rPr>
            </w:pPr>
          </w:p>
        </w:tc>
      </w:tr>
      <w:tr>
        <w:trPr>
          <w:trHeight w:hRule="exact" w:val="527"/>
        </w:trPr>
        <w:tc>
          <w:tcPr>
            <w:tcW w:w="779"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5" w:after="0" w:line="271" w:lineRule="auto"/>
              <w:ind w:right="156"/>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bureau du 6 juillet 2005 relative aux promotions et à la progression des carrières (modifiée en dernier lieu le 21 avril 2008)</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6.7.2005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20.6.2014</w:t>
            </w:r>
          </w:p>
        </w:tc>
        <w:tc>
          <w:tcPr>
            <w:tcW w:w="938"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6"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1 RE</w:t>
            </w:r>
          </w:p>
        </w:tc>
      </w:tr>
      <w:tr>
        <w:trPr>
          <w:trHeight w:hRule="exact" w:val="389"/>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5" w:after="0" w:line="271" w:lineRule="auto"/>
              <w:ind w:right="46"/>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secrétaire général du 20 juin 2014 relative à la politique de promotion et de progression des carrières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20.6.2014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noProof/>
                <w:sz w:val="16"/>
                <w:szCs w:val="16"/>
              </w:rPr>
            </w:pPr>
          </w:p>
        </w:tc>
      </w:tr>
      <w:tr>
        <w:trPr>
          <w:trHeight w:hRule="exact" w:val="586"/>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 xml:space="preserve">45 </w:t>
            </w:r>
            <w:r>
              <w:rPr>
                <w:rFonts w:ascii="Times New Roman" w:hAnsi="Times New Roman" w:cs="Times New Roman"/>
                <w:b/>
                <w:i/>
                <w:noProof/>
                <w:spacing w:val="1"/>
                <w:w w:val="105"/>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Certification</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4" w:after="0" w:line="271" w:lineRule="auto"/>
              <w:ind w:right="28"/>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à la procédure de certification (article 45 </w:t>
            </w:r>
            <w:r>
              <w:rPr>
                <w:rFonts w:ascii="Times New Roman" w:hAnsi="Times New Roman" w:cs="Times New Roman"/>
                <w:i/>
                <w:noProof/>
                <w:w w:val="105"/>
                <w:sz w:val="12"/>
              </w:rPr>
              <w:t>bis</w:t>
            </w:r>
            <w:r>
              <w:rPr>
                <w:rFonts w:ascii="Times New Roman" w:hAnsi="Times New Roman" w:cs="Times New Roman"/>
                <w:noProof/>
                <w:w w:val="105"/>
                <w:sz w:val="12"/>
              </w:rPr>
              <w:t xml:space="preserve"> du statut) (modifiées en dernier lieu le 7 juillet 2008)</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26.9.2005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before="6"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Calibri" w:hAnsi="Times New Roman" w:cs="Times New Roman"/>
                <w:noProof/>
                <w:sz w:val="16"/>
                <w:szCs w:val="16"/>
              </w:rPr>
            </w:pPr>
            <w:r>
              <w:rPr>
                <w:rFonts w:ascii="Times New Roman" w:hAnsi="Times New Roman" w:cs="Times New Roman"/>
                <w:b/>
                <w:noProof/>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4 - Cessation définitive des fonctions</w:t>
            </w:r>
          </w:p>
        </w:tc>
      </w:tr>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Section 4 - Procédures de traitement de l’insuffisance professionnelle</w:t>
            </w:r>
          </w:p>
        </w:tc>
      </w:tr>
      <w:tr>
        <w:trPr>
          <w:trHeight w:hRule="exact" w:val="389"/>
        </w:trPr>
        <w:tc>
          <w:tcPr>
            <w:tcW w:w="779"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71"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51</w:t>
            </w:r>
          </w:p>
        </w:tc>
        <w:tc>
          <w:tcPr>
            <w:tcW w:w="2722"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34"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Insuffisance professionnelle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3" w:after="0" w:line="271" w:lineRule="auto"/>
              <w:ind w:right="89"/>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bureau du 3 juillet 2006 sur la mise en œuvre de l’article 51 portant sur l’insuffisance professionnelle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3.7.2006</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1.1.2016</w:t>
            </w:r>
          </w:p>
        </w:tc>
        <w:tc>
          <w:tcPr>
            <w:tcW w:w="938" w:type="dxa"/>
            <w:vMerge w:val="restart"/>
            <w:tcBorders>
              <w:top w:val="single" w:sz="5"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71"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56"/>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9" w:after="0" w:line="271" w:lineRule="auto"/>
              <w:ind w:right="261"/>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à la mise en œuvre de l’article 51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25"/>
              </w:rPr>
              <w:t>Titre IV - Des conditions de travail du fonctionnaire</w:t>
            </w:r>
          </w:p>
        </w:tc>
      </w:tr>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Durée du travail</w:t>
            </w:r>
          </w:p>
        </w:tc>
      </w:tr>
      <w:tr>
        <w:trPr>
          <w:trHeight w:hRule="exact" w:val="389"/>
        </w:trPr>
        <w:tc>
          <w:tcPr>
            <w:tcW w:w="779"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rPr>
                <w:rFonts w:ascii="Times New Roman" w:eastAsia="Times New Roman" w:hAnsi="Times New Roman" w:cs="Times New Roman"/>
                <w:b/>
                <w:bCs/>
                <w:noProof/>
                <w:sz w:val="12"/>
                <w:szCs w:val="12"/>
              </w:rPr>
            </w:pPr>
          </w:p>
          <w:p>
            <w:pPr>
              <w:widowControl w:val="0"/>
              <w:spacing w:before="7" w:after="0" w:line="240" w:lineRule="auto"/>
              <w:rPr>
                <w:rFonts w:ascii="Times New Roman" w:eastAsia="Times New Roman" w:hAnsi="Times New Roman" w:cs="Times New Roman"/>
                <w:b/>
                <w:bCs/>
                <w:noProof/>
                <w:sz w:val="11"/>
                <w:szCs w:val="11"/>
              </w:rPr>
            </w:pPr>
          </w:p>
          <w:p>
            <w:pPr>
              <w:widowControl w:val="0"/>
              <w:spacing w:after="0" w:line="240" w:lineRule="auto"/>
              <w:ind w:left="46"/>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55 </w:t>
            </w:r>
            <w:r>
              <w:rPr>
                <w:rFonts w:ascii="Times New Roman" w:hAnsi="Times New Roman" w:cs="Times New Roman"/>
                <w:b/>
                <w:i/>
                <w:noProof/>
                <w:w w:val="105"/>
                <w:sz w:val="12"/>
              </w:rPr>
              <w:t>bis</w:t>
            </w:r>
            <w:r>
              <w:rPr>
                <w:rFonts w:ascii="Times New Roman" w:hAnsi="Times New Roman" w:cs="Times New Roman"/>
                <w:b/>
                <w:noProof/>
                <w:w w:val="105"/>
                <w:sz w:val="12"/>
              </w:rPr>
              <w:t xml:space="preserve"> + annexe</w:t>
            </w:r>
          </w:p>
          <w:p>
            <w:pPr>
              <w:widowControl w:val="0"/>
              <w:spacing w:after="0" w:line="240" w:lineRule="auto"/>
              <w:ind w:left="46"/>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IV </w:t>
            </w:r>
            <w:r>
              <w:rPr>
                <w:rFonts w:ascii="Times New Roman" w:hAnsi="Times New Roman" w:cs="Times New Roman"/>
                <w:b/>
                <w:i/>
                <w:noProof/>
                <w:w w:val="105"/>
                <w:sz w:val="12"/>
              </w:rPr>
              <w:t>bis</w:t>
            </w:r>
          </w:p>
        </w:tc>
        <w:tc>
          <w:tcPr>
            <w:tcW w:w="2722" w:type="dxa"/>
            <w:vMerge w:val="restart"/>
            <w:tcBorders>
              <w:top w:val="single" w:sz="5" w:space="0" w:color="000000"/>
              <w:left w:val="single" w:sz="3" w:space="0" w:color="000000"/>
              <w:right w:val="single" w:sz="3" w:space="0" w:color="000000"/>
            </w:tcBorders>
            <w:shd w:val="clear" w:color="auto" w:fill="DA9694"/>
          </w:tcPr>
          <w:p>
            <w:pPr>
              <w:widowControl w:val="0"/>
              <w:spacing w:before="134"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Travail à temps partiel</w:t>
            </w:r>
          </w:p>
        </w:tc>
        <w:tc>
          <w:tcPr>
            <w:tcW w:w="3230" w:type="dxa"/>
            <w:tcBorders>
              <w:top w:val="single" w:sz="5" w:space="0" w:color="000000"/>
              <w:left w:val="single" w:sz="3" w:space="0" w:color="000000"/>
              <w:bottom w:val="single" w:sz="3" w:space="0" w:color="000000"/>
              <w:right w:val="single" w:sz="3" w:space="0" w:color="000000"/>
            </w:tcBorders>
            <w:shd w:val="clear" w:color="auto" w:fill="FFFF66"/>
          </w:tcPr>
          <w:p>
            <w:pPr>
              <w:widowControl w:val="0"/>
              <w:spacing w:before="10" w:after="0" w:line="240" w:lineRule="auto"/>
              <w:rPr>
                <w:rFonts w:ascii="Times New Roman" w:eastAsia="Times New Roman" w:hAnsi="Times New Roman" w:cs="Times New Roman"/>
                <w:b/>
                <w:bCs/>
                <w:noProof/>
                <w:sz w:val="11"/>
                <w:szCs w:val="11"/>
              </w:rPr>
            </w:pPr>
          </w:p>
          <w:p>
            <w:pPr>
              <w:widowControl w:val="0"/>
              <w:spacing w:after="0" w:line="240" w:lineRule="auto"/>
              <w:ind w:left="378"/>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du 2 juin 2004</w:t>
            </w:r>
          </w:p>
        </w:tc>
        <w:tc>
          <w:tcPr>
            <w:tcW w:w="1409" w:type="dxa"/>
            <w:tcBorders>
              <w:top w:val="single" w:sz="5" w:space="0" w:color="000000"/>
              <w:left w:val="single" w:sz="3" w:space="0" w:color="000000"/>
              <w:bottom w:val="single" w:sz="3" w:space="0" w:color="000000"/>
              <w:right w:val="single" w:sz="3" w:space="0" w:color="000000"/>
            </w:tcBorders>
            <w:shd w:val="clear" w:color="auto" w:fill="FFFF66"/>
          </w:tcPr>
          <w:p>
            <w:pPr>
              <w:widowControl w:val="0"/>
              <w:spacing w:before="10" w:after="0" w:line="240" w:lineRule="auto"/>
              <w:rPr>
                <w:rFonts w:ascii="Times New Roman" w:eastAsia="Times New Roman" w:hAnsi="Times New Roman" w:cs="Times New Roman"/>
                <w:b/>
                <w:bCs/>
                <w:noProof/>
                <w:sz w:val="11"/>
                <w:szCs w:val="11"/>
              </w:rPr>
            </w:pPr>
          </w:p>
          <w:p>
            <w:pPr>
              <w:widowControl w:val="0"/>
              <w:spacing w:after="0" w:line="240" w:lineRule="auto"/>
              <w:ind w:left="411"/>
              <w:rPr>
                <w:rFonts w:ascii="Times New Roman" w:eastAsia="Times New Roman" w:hAnsi="Times New Roman" w:cs="Times New Roman"/>
                <w:noProof/>
                <w:sz w:val="12"/>
                <w:szCs w:val="12"/>
              </w:rPr>
            </w:pPr>
            <w:r>
              <w:rPr>
                <w:rFonts w:ascii="Times New Roman" w:hAnsi="Times New Roman" w:cs="Times New Roman"/>
                <w:noProof/>
                <w:w w:val="105"/>
                <w:sz w:val="12"/>
              </w:rPr>
              <w:t>2.6.2004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6"/>
          </w:tcPr>
          <w:p>
            <w:pPr>
              <w:widowControl w:val="0"/>
              <w:spacing w:before="10" w:after="0" w:line="240" w:lineRule="auto"/>
              <w:rPr>
                <w:rFonts w:ascii="Times New Roman" w:eastAsia="Times New Roman" w:hAnsi="Times New Roman" w:cs="Times New Roman"/>
                <w:b/>
                <w:bCs/>
                <w:noProof/>
                <w:sz w:val="11"/>
                <w:szCs w:val="11"/>
              </w:rPr>
            </w:pPr>
          </w:p>
          <w:p>
            <w:pPr>
              <w:widowControl w:val="0"/>
              <w:spacing w:after="0" w:line="240" w:lineRule="auto"/>
              <w:ind w:left="2"/>
              <w:jc w:val="center"/>
              <w:rPr>
                <w:rFonts w:ascii="Times New Roman" w:eastAsia="Times New Roman" w:hAnsi="Times New Roman" w:cs="Times New Roman"/>
                <w:noProof/>
                <w:sz w:val="12"/>
                <w:szCs w:val="12"/>
              </w:rPr>
            </w:pPr>
            <w:r>
              <w:rPr>
                <w:rFonts w:ascii="Times New Roman" w:hAnsi="Times New Roman" w:cs="Times New Roman"/>
                <w:noProof/>
                <w:w w:val="105"/>
                <w:sz w:val="12"/>
              </w:rPr>
              <w:t>1.7.2014</w:t>
            </w:r>
          </w:p>
        </w:tc>
        <w:tc>
          <w:tcPr>
            <w:tcW w:w="938" w:type="dxa"/>
            <w:vMerge w:val="restart"/>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51"/>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2" w:after="0" w:line="271" w:lineRule="auto"/>
              <w:ind w:left="927" w:right="43" w:hanging="881"/>
              <w:rPr>
                <w:rFonts w:ascii="Times New Roman" w:eastAsia="Times New Roman" w:hAnsi="Times New Roman" w:cs="Times New Roman"/>
                <w:noProof/>
                <w:sz w:val="12"/>
                <w:szCs w:val="12"/>
              </w:rPr>
            </w:pPr>
            <w:r>
              <w:rPr>
                <w:rFonts w:ascii="Times New Roman" w:hAnsi="Times New Roman" w:cs="Times New Roman"/>
                <w:noProof/>
                <w:w w:val="105"/>
                <w:sz w:val="12"/>
              </w:rPr>
              <w:t>Décision du secrétaire général du 4 juin 2014 portant règles internes relatives à l'exercice de l'activité à temps partiel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rPr>
                <w:rFonts w:ascii="Times New Roman" w:eastAsia="Times New Roman" w:hAnsi="Times New Roman" w:cs="Times New Roman"/>
                <w:b/>
                <w:bCs/>
                <w:noProof/>
                <w:sz w:val="12"/>
                <w:szCs w:val="12"/>
              </w:rPr>
            </w:pPr>
          </w:p>
          <w:p>
            <w:pPr>
              <w:widowControl w:val="0"/>
              <w:spacing w:after="0" w:line="240" w:lineRule="auto"/>
              <w:ind w:left="409"/>
              <w:rPr>
                <w:rFonts w:ascii="Times New Roman" w:eastAsia="Times New Roman" w:hAnsi="Times New Roman" w:cs="Times New Roman"/>
                <w:noProof/>
                <w:sz w:val="12"/>
                <w:szCs w:val="12"/>
              </w:rPr>
            </w:pPr>
            <w:r>
              <w:rPr>
                <w:rFonts w:ascii="Times New Roman" w:hAnsi="Times New Roman" w:cs="Times New Roman"/>
                <w:noProof/>
                <w:w w:val="105"/>
                <w:sz w:val="12"/>
              </w:rPr>
              <w:t>1.7.2014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noProof/>
          <w:sz w:val="12"/>
          <w:szCs w:val="12"/>
        </w:rPr>
        <w:sectPr>
          <w:headerReference w:type="even" r:id="rId21"/>
          <w:headerReference w:type="default" r:id="rId22"/>
          <w:footerReference w:type="even" r:id="rId23"/>
          <w:footerReference w:type="default" r:id="rId24"/>
          <w:headerReference w:type="first" r:id="rId25"/>
          <w:footerReference w:type="first" r:id="rId26"/>
          <w:pgSz w:w="11900" w:h="16840" w:code="9"/>
          <w:pgMar w:top="1280" w:right="580" w:bottom="280" w:left="220" w:header="1082" w:footer="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14"/>
        </w:trPr>
        <w:tc>
          <w:tcPr>
            <w:tcW w:w="779" w:type="dxa"/>
            <w:tcBorders>
              <w:top w:val="single" w:sz="5" w:space="0" w:color="000000"/>
              <w:left w:val="single" w:sz="4"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5" w:space="0" w:color="000000"/>
              <w:left w:val="single" w:sz="3" w:space="0" w:color="000000"/>
              <w:bottom w:val="single" w:sz="5" w:space="0" w:color="000000"/>
              <w:right w:val="single" w:sz="5"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38" w:type="dxa"/>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47"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38"/>
      </w:tblGrid>
      <w:tr>
        <w:trPr>
          <w:trHeight w:hRule="exact" w:val="422"/>
        </w:trPr>
        <w:tc>
          <w:tcPr>
            <w:tcW w:w="780"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1" w:after="0" w:line="240" w:lineRule="auto"/>
              <w:jc w:val="center"/>
              <w:rPr>
                <w:rFonts w:ascii="Times New Roman" w:eastAsia="Times New Roman" w:hAnsi="Times New Roman" w:cs="Times New Roman"/>
                <w:b/>
                <w:bCs/>
                <w:noProof/>
                <w:sz w:val="15"/>
                <w:szCs w:val="15"/>
              </w:rPr>
            </w:pPr>
          </w:p>
          <w:p>
            <w:pPr>
              <w:widowControl w:val="0"/>
              <w:spacing w:after="0" w:line="271" w:lineRule="auto"/>
              <w:ind w:right="79"/>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56 + annexe VI</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101"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Heures supplémentaires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2" w:after="0" w:line="271" w:lineRule="auto"/>
              <w:ind w:right="46"/>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à l’indemnité forfaitaire pour heures supplémentaires du 14 mars 2005</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14.3.2005</w:t>
            </w:r>
          </w:p>
        </w:tc>
        <w:tc>
          <w:tcPr>
            <w:tcW w:w="1800" w:type="dxa"/>
            <w:tcBorders>
              <w:top w:val="single" w:sz="3" w:space="0" w:color="000000"/>
              <w:left w:val="single" w:sz="3" w:space="0" w:color="000000"/>
              <w:bottom w:val="single" w:sz="3" w:space="0" w:color="000000"/>
              <w:right w:val="single" w:sz="4" w:space="0" w:color="000000"/>
            </w:tcBorders>
            <w:shd w:val="clear" w:color="auto" w:fill="DA9694"/>
          </w:tcPr>
          <w:p>
            <w:pPr>
              <w:widowControl w:val="0"/>
              <w:spacing w:before="1"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938" w:type="dxa"/>
            <w:vMerge w:val="restart"/>
            <w:tcBorders>
              <w:top w:val="single" w:sz="4" w:space="0" w:color="auto"/>
              <w:left w:val="single" w:sz="4"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1"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6"/>
              </w:rPr>
              <w:t>1 RE</w:t>
            </w:r>
          </w:p>
        </w:tc>
      </w:tr>
      <w:tr>
        <w:trPr>
          <w:trHeight w:hRule="exact" w:val="629"/>
        </w:trPr>
        <w:tc>
          <w:tcPr>
            <w:tcW w:w="780"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b/>
                <w:bCs/>
                <w:noProof/>
                <w:sz w:val="14"/>
                <w:szCs w:val="14"/>
              </w:rPr>
            </w:pPr>
          </w:p>
          <w:p>
            <w:pPr>
              <w:widowControl w:val="0"/>
              <w:spacing w:after="0" w:line="271" w:lineRule="auto"/>
              <w:ind w:right="92"/>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à la compensation des heures supplémentaires du 18 mai 2004</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18.5.2004</w:t>
            </w:r>
          </w:p>
        </w:tc>
        <w:tc>
          <w:tcPr>
            <w:tcW w:w="1800" w:type="dxa"/>
            <w:tcBorders>
              <w:top w:val="single" w:sz="3" w:space="0" w:color="000000"/>
              <w:left w:val="single" w:sz="3" w:space="0" w:color="000000"/>
              <w:bottom w:val="single" w:sz="3"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938" w:type="dxa"/>
            <w:vMerge/>
            <w:tcBorders>
              <w:left w:val="single" w:sz="4"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r>
        <w:trPr>
          <w:trHeight w:hRule="exact" w:val="442"/>
        </w:trPr>
        <w:tc>
          <w:tcPr>
            <w:tcW w:w="780"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aux heures supplémentaires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vMerge/>
            <w:tcBorders>
              <w:left w:val="single" w:sz="4"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25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6" w:after="0" w:line="240" w:lineRule="auto"/>
              <w:ind w:right="936"/>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2 - Congés</w:t>
            </w:r>
          </w:p>
        </w:tc>
      </w:tr>
      <w:tr>
        <w:trPr>
          <w:trHeight w:hRule="exact" w:val="389"/>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57 + annexe V</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1"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Congés annuels et congés spéciaux</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à la gestion des congés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29"/>
        </w:trPr>
        <w:tc>
          <w:tcPr>
            <w:tcW w:w="779" w:type="dxa"/>
            <w:vMerge w:val="restart"/>
            <w:tcBorders>
              <w:top w:val="single" w:sz="3" w:space="0" w:color="000000"/>
              <w:left w:val="single" w:sz="4"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b/>
                <w:bCs/>
                <w:noProof/>
                <w:sz w:val="17"/>
                <w:szCs w:val="17"/>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58</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Congé de maternité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Guide concernant les congés et absences du 10 novembre 2008</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10.11.2008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5.9.2014</w:t>
            </w:r>
          </w:p>
        </w:tc>
        <w:tc>
          <w:tcPr>
            <w:tcW w:w="938"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226"/>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à la gestion des congés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5.9.2014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550"/>
        </w:trPr>
        <w:tc>
          <w:tcPr>
            <w:tcW w:w="779"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1"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59 - 60</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93"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Congé de maladie</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7" w:after="0" w:line="271" w:lineRule="auto"/>
              <w:ind w:right="41"/>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aux contrôles des absences au travail et aux contrôles périodiques de la persistance des invalidités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4.6.2010</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12.9.2014</w:t>
            </w:r>
          </w:p>
        </w:tc>
        <w:tc>
          <w:tcPr>
            <w:tcW w:w="938"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1"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59"/>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2" w:after="0" w:line="271" w:lineRule="auto"/>
              <w:ind w:right="41"/>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aux contrôles des absences au travail et aux contrôles périodiques de la persistance des invalidités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7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12.9.2014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05"/>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V + annexe VII - Du régime pécuniaire et des avantages sociaux du fonctionnaire</w:t>
            </w:r>
          </w:p>
        </w:tc>
      </w:tr>
      <w:tr>
        <w:trPr>
          <w:trHeight w:hRule="exact" w:val="300"/>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35"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Rémunération et remboursement de frais</w:t>
            </w:r>
          </w:p>
        </w:tc>
      </w:tr>
      <w:tr>
        <w:trPr>
          <w:trHeight w:hRule="exact" w:val="264"/>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3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Annexe VII - Règles relatives à la rémunération et aux remboursements de frais</w:t>
            </w:r>
          </w:p>
        </w:tc>
      </w:tr>
      <w:tr>
        <w:trPr>
          <w:trHeight w:hRule="exact" w:val="264"/>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27" w:after="0" w:line="240" w:lineRule="auto"/>
              <w:ind w:right="935"/>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1 - Allocations familiales</w:t>
            </w:r>
          </w:p>
        </w:tc>
      </w:tr>
      <w:tr>
        <w:trPr>
          <w:trHeight w:hRule="exact" w:val="506"/>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26"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 1</w:t>
            </w:r>
            <w:r>
              <w:rPr>
                <w:rFonts w:ascii="Times New Roman" w:hAnsi="Times New Roman" w:cs="Times New Roman"/>
                <w:b/>
                <w:noProof/>
                <w:spacing w:val="-2"/>
                <w:w w:val="105"/>
                <w:sz w:val="12"/>
                <w:vertAlign w:val="superscript"/>
              </w:rPr>
              <w:t>er</w:t>
            </w:r>
            <w:r>
              <w:rPr>
                <w:rFonts w:ascii="Times New Roman" w:hAnsi="Times New Roman" w:cs="Times New Roman"/>
                <w:b/>
                <w:noProof/>
                <w:spacing w:val="-2"/>
                <w:w w:val="105"/>
                <w:sz w:val="12"/>
              </w:rPr>
              <w:t xml:space="preserve"> - 3)</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Allocations familiales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0" w:after="0" w:line="271" w:lineRule="auto"/>
              <w:ind w:right="271"/>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aux allocations familiales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791"/>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86" w:after="0" w:line="240" w:lineRule="auto"/>
              <w:jc w:val="center"/>
              <w:rPr>
                <w:rFonts w:ascii="Times New Roman" w:eastAsia="Times New Roman" w:hAnsi="Times New Roman" w:cs="Times New Roman"/>
                <w:noProof/>
                <w:sz w:val="12"/>
                <w:szCs w:val="12"/>
                <w:lang w:val="da-DK"/>
              </w:rPr>
            </w:pPr>
            <w:r>
              <w:rPr>
                <w:rFonts w:ascii="Times New Roman" w:hAnsi="Times New Roman" w:cs="Times New Roman"/>
                <w:b/>
                <w:noProof/>
                <w:w w:val="105"/>
                <w:sz w:val="12"/>
                <w:lang w:val="da-DK"/>
              </w:rPr>
              <w:t>67 - 68 +</w:t>
            </w:r>
          </w:p>
          <w:p>
            <w:pPr>
              <w:widowControl w:val="0"/>
              <w:spacing w:before="18" w:after="0" w:line="271" w:lineRule="auto"/>
              <w:ind w:right="45"/>
              <w:jc w:val="center"/>
              <w:rPr>
                <w:rFonts w:ascii="Times New Roman" w:eastAsia="Times New Roman" w:hAnsi="Times New Roman" w:cs="Times New Roman"/>
                <w:noProof/>
                <w:sz w:val="12"/>
                <w:szCs w:val="12"/>
                <w:lang w:val="da-DK"/>
              </w:rPr>
            </w:pPr>
            <w:r>
              <w:rPr>
                <w:rFonts w:ascii="Times New Roman" w:hAnsi="Times New Roman" w:cs="Times New Roman"/>
                <w:b/>
                <w:noProof/>
                <w:spacing w:val="-2"/>
                <w:w w:val="105"/>
                <w:sz w:val="12"/>
                <w:lang w:val="da-DK"/>
              </w:rPr>
              <w:t>annexe VII [art. 1</w:t>
            </w:r>
            <w:r>
              <w:rPr>
                <w:rFonts w:ascii="Times New Roman" w:hAnsi="Times New Roman" w:cs="Times New Roman"/>
                <w:b/>
                <w:noProof/>
                <w:spacing w:val="-2"/>
                <w:w w:val="105"/>
                <w:sz w:val="12"/>
                <w:vertAlign w:val="superscript"/>
                <w:lang w:val="da-DK"/>
              </w:rPr>
              <w:t>er</w:t>
            </w:r>
            <w:r>
              <w:rPr>
                <w:rFonts w:ascii="Times New Roman" w:hAnsi="Times New Roman" w:cs="Times New Roman"/>
                <w:b/>
                <w:noProof/>
                <w:spacing w:val="-2"/>
                <w:w w:val="105"/>
                <w:sz w:val="12"/>
                <w:lang w:val="da-DK"/>
              </w:rPr>
              <w:t xml:space="preserve"> (2) point d)]</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1" w:after="0" w:line="258" w:lineRule="auto"/>
              <w:ind w:right="221"/>
              <w:jc w:val="center"/>
              <w:rPr>
                <w:rFonts w:ascii="Times New Roman" w:eastAsia="Times New Roman" w:hAnsi="Times New Roman" w:cs="Times New Roman"/>
                <w:noProof/>
                <w:sz w:val="16"/>
                <w:szCs w:val="16"/>
              </w:rPr>
            </w:pPr>
            <w:r>
              <w:rPr>
                <w:rFonts w:ascii="Times New Roman" w:hAnsi="Times New Roman" w:cs="Times New Roman"/>
                <w:b/>
                <w:noProof/>
                <w:spacing w:val="-1"/>
                <w:sz w:val="17"/>
              </w:rPr>
              <w:t>Allocation de foyer par décision spéciale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b/>
                <w:bCs/>
                <w:noProof/>
                <w:sz w:val="14"/>
                <w:szCs w:val="14"/>
              </w:rPr>
            </w:pPr>
          </w:p>
          <w:p>
            <w:pPr>
              <w:widowControl w:val="0"/>
              <w:spacing w:after="0" w:line="271" w:lineRule="auto"/>
              <w:ind w:right="69"/>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à l'allocation de foyer par décision spéciale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99"/>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23"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 2 (4)]</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Personnes assimilées à un enfant à charge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8" w:after="0" w:line="271" w:lineRule="auto"/>
              <w:ind w:right="56"/>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en matière de personne assimilée à l'enfant à charge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75"/>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(article 3)</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Allocation scolaire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8" w:after="0" w:line="271" w:lineRule="auto"/>
              <w:ind w:right="61"/>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à l’octroi de l’allocation scolaire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1.12.2016</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250"/>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AEEF3"/>
          </w:tcPr>
          <w:p>
            <w:pPr>
              <w:widowControl w:val="0"/>
              <w:spacing w:before="2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3 - Remboursement de frais</w:t>
            </w:r>
          </w:p>
        </w:tc>
      </w:tr>
      <w:tr>
        <w:trPr>
          <w:trHeight w:hRule="exact" w:val="550"/>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10"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71 + annexe</w:t>
            </w:r>
          </w:p>
          <w:p>
            <w:pPr>
              <w:widowControl w:val="0"/>
              <w:spacing w:before="18"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VII (art. 7 - 8)</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Frais de voyage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b/>
                <w:bCs/>
                <w:noProof/>
                <w:sz w:val="10"/>
                <w:szCs w:val="10"/>
              </w:rPr>
            </w:pPr>
          </w:p>
          <w:p>
            <w:pPr>
              <w:widowControl w:val="0"/>
              <w:spacing w:after="0" w:line="271" w:lineRule="auto"/>
              <w:ind w:right="70"/>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 paiement des frais de voyage annuel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27"/>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67"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71 + annexe</w:t>
            </w:r>
          </w:p>
          <w:p>
            <w:pPr>
              <w:widowControl w:val="0"/>
              <w:spacing w:before="18"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VII (art. 8)</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23"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Lieu d’origine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4" w:after="0" w:line="271" w:lineRule="auto"/>
              <w:ind w:right="17"/>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à la détermination ou au changement de lieu d'origine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3"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358"/>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31"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71 + annexe</w:t>
            </w:r>
          </w:p>
          <w:p>
            <w:pPr>
              <w:widowControl w:val="0"/>
              <w:spacing w:before="18"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VII (art. 9)</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Frais de déménagement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28" w:after="0" w:line="271" w:lineRule="auto"/>
              <w:ind w:right="109"/>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 remboursement des frais de déménagement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08"/>
        </w:trPr>
        <w:tc>
          <w:tcPr>
            <w:tcW w:w="779" w:type="dxa"/>
            <w:tcBorders>
              <w:top w:val="single" w:sz="3" w:space="0" w:color="000000"/>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 w:after="0" w:line="240" w:lineRule="auto"/>
              <w:jc w:val="center"/>
              <w:rPr>
                <w:rFonts w:ascii="Times New Roman" w:eastAsia="Times New Roman" w:hAnsi="Times New Roman" w:cs="Times New Roman"/>
                <w:b/>
                <w:bCs/>
                <w:noProof/>
                <w:sz w:val="13"/>
                <w:szCs w:val="13"/>
              </w:rPr>
            </w:pPr>
          </w:p>
          <w:p>
            <w:pPr>
              <w:widowControl w:val="0"/>
              <w:spacing w:after="0" w:line="107" w:lineRule="exact"/>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71 + annexe</w:t>
            </w:r>
          </w:p>
        </w:tc>
        <w:tc>
          <w:tcPr>
            <w:tcW w:w="2722" w:type="dxa"/>
            <w:tcBorders>
              <w:top w:val="single" w:sz="3" w:space="0" w:color="000000"/>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55" w:after="0" w:line="271" w:lineRule="auto"/>
              <w:ind w:right="51"/>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 remboursement des frais de mission et de déplacement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b/>
                <w:bCs/>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10.9.2009</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767"/>
        </w:trPr>
        <w:tc>
          <w:tcPr>
            <w:tcW w:w="779" w:type="dxa"/>
            <w:tcBorders>
              <w:top w:val="nil"/>
              <w:left w:val="single" w:sz="4" w:space="0" w:color="000000"/>
              <w:bottom w:val="single" w:sz="3" w:space="0" w:color="000000"/>
              <w:right w:val="single" w:sz="3" w:space="0" w:color="000000"/>
            </w:tcBorders>
            <w:shd w:val="clear" w:color="auto" w:fill="FFFF65"/>
          </w:tcPr>
          <w:p>
            <w:pPr>
              <w:widowControl w:val="0"/>
              <w:spacing w:before="48" w:after="0" w:line="271" w:lineRule="auto"/>
              <w:ind w:right="38"/>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 xml:space="preserve">VII (art. 11 - 13 </w:t>
            </w:r>
            <w:r>
              <w:rPr>
                <w:rFonts w:ascii="Times New Roman" w:hAnsi="Times New Roman" w:cs="Times New Roman"/>
                <w:b/>
                <w:i/>
                <w:noProof/>
                <w:spacing w:val="-1"/>
                <w:w w:val="105"/>
                <w:sz w:val="12"/>
              </w:rPr>
              <w:t>bis</w:t>
            </w:r>
            <w:r>
              <w:rPr>
                <w:rFonts w:ascii="Times New Roman" w:hAnsi="Times New Roman" w:cs="Times New Roman"/>
                <w:b/>
                <w:noProof/>
                <w:spacing w:val="-1"/>
                <w:w w:val="105"/>
                <w:sz w:val="12"/>
              </w:rPr>
              <w:t>)</w:t>
            </w:r>
          </w:p>
        </w:tc>
        <w:tc>
          <w:tcPr>
            <w:tcW w:w="2722" w:type="dxa"/>
            <w:tcBorders>
              <w:top w:val="nil"/>
              <w:left w:val="single" w:sz="3" w:space="0" w:color="000000"/>
              <w:bottom w:val="single" w:sz="3" w:space="0" w:color="000000"/>
              <w:right w:val="single" w:sz="3" w:space="0" w:color="000000"/>
            </w:tcBorders>
            <w:shd w:val="clear" w:color="auto" w:fill="FFFF65"/>
          </w:tcPr>
          <w:p>
            <w:pPr>
              <w:widowControl w:val="0"/>
              <w:spacing w:before="28"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Frais de mission et de déplacement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3" w:after="0" w:line="271" w:lineRule="auto"/>
              <w:ind w:right="54"/>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à la gestion des missions et des déplacements des fonctionnaires et des autres agents du Parlement européen (décision du secrétaire général du 10.9.2009)</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1.1.2010</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2 - Sécurité sociale</w:t>
            </w:r>
          </w:p>
        </w:tc>
      </w:tr>
      <w:tr>
        <w:trPr>
          <w:trHeight w:hRule="exact" w:val="820"/>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6"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Art. 76</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b/>
                <w:bCs/>
                <w:noProof/>
                <w:sz w:val="19"/>
                <w:szCs w:val="19"/>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Aide financière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0" w:after="0" w:line="271" w:lineRule="auto"/>
              <w:ind w:right="26"/>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à l’application de l’article 76 du statut portant sur l'aide financière octroyée aux fonctionnaires et agents se trouvant dans une situation financière particulièrement difficile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4"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1.12.2016</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7" w:space="0" w:color="000000"/>
            </w:tcBorders>
            <w:shd w:val="clear" w:color="auto" w:fill="DA9694"/>
          </w:tcPr>
          <w:p>
            <w:pPr>
              <w:widowControl w:val="0"/>
              <w:spacing w:before="8"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48"/>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AEEF3"/>
          </w:tcPr>
          <w:p>
            <w:pPr>
              <w:widowControl w:val="0"/>
              <w:spacing w:before="59"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annexe VIII - Pensions et allocation d’invalidité</w:t>
            </w:r>
          </w:p>
        </w:tc>
      </w:tr>
      <w:tr>
        <w:trPr>
          <w:trHeight w:hRule="exact" w:val="943"/>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6" w:after="0" w:line="271" w:lineRule="auto"/>
              <w:ind w:right="-5"/>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77 + annexe VIII (art. 11 - 12)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10"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Transfert des droits à pension</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 w:after="0" w:line="240" w:lineRule="auto"/>
              <w:jc w:val="center"/>
              <w:rPr>
                <w:rFonts w:ascii="Times New Roman" w:eastAsia="Times New Roman" w:hAnsi="Times New Roman" w:cs="Times New Roman"/>
                <w:b/>
                <w:bCs/>
                <w:noProof/>
                <w:sz w:val="15"/>
                <w:szCs w:val="15"/>
              </w:rPr>
            </w:pPr>
          </w:p>
          <w:p>
            <w:pPr>
              <w:widowControl w:val="0"/>
              <w:spacing w:after="0" w:line="271" w:lineRule="auto"/>
              <w:ind w:right="56"/>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 transfert des droits à pension</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7"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1.8.2011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4"/>
                <w:szCs w:val="14"/>
              </w:rPr>
            </w:pPr>
          </w:p>
          <w:p>
            <w:pPr>
              <w:widowControl w:val="0"/>
              <w:spacing w:before="11" w:after="0" w:line="240" w:lineRule="auto"/>
              <w:jc w:val="center"/>
              <w:rPr>
                <w:rFonts w:ascii="Times New Roman" w:eastAsia="Times New Roman" w:hAnsi="Times New Roman" w:cs="Times New Roman"/>
                <w:b/>
                <w:bCs/>
                <w:noProof/>
                <w:sz w:val="18"/>
                <w:szCs w:val="18"/>
              </w:rPr>
            </w:pPr>
          </w:p>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Calibri" w:hAnsi="Times New Roman" w:cs="Times New Roman"/>
          <w:noProof/>
          <w:sz w:val="14"/>
          <w:szCs w:val="14"/>
        </w:rPr>
        <w:sectPr>
          <w:headerReference w:type="even" r:id="rId27"/>
          <w:headerReference w:type="default" r:id="rId28"/>
          <w:footerReference w:type="even" r:id="rId29"/>
          <w:footerReference w:type="default" r:id="rId30"/>
          <w:headerReference w:type="first" r:id="rId31"/>
          <w:footerReference w:type="first" r:id="rId32"/>
          <w:pgSz w:w="11900" w:h="16840" w:code="9"/>
          <w:pgMar w:top="1280" w:right="580" w:bottom="280" w:left="220" w:header="1082" w:footer="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14"/>
        </w:trPr>
        <w:tc>
          <w:tcPr>
            <w:tcW w:w="779" w:type="dxa"/>
            <w:tcBorders>
              <w:top w:val="single" w:sz="5" w:space="0" w:color="000000"/>
              <w:left w:val="single" w:sz="4"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5" w:space="0" w:color="000000"/>
              <w:left w:val="single" w:sz="3" w:space="0" w:color="000000"/>
              <w:bottom w:val="single" w:sz="5" w:space="0" w:color="000000"/>
              <w:right w:val="single" w:sz="5"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38" w:type="dxa"/>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47"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2722"/>
        <w:gridCol w:w="3230"/>
        <w:gridCol w:w="1409"/>
        <w:gridCol w:w="1800"/>
        <w:gridCol w:w="938"/>
      </w:tblGrid>
      <w:tr>
        <w:trPr>
          <w:trHeight w:hRule="exact" w:val="722"/>
        </w:trPr>
        <w:tc>
          <w:tcPr>
            <w:tcW w:w="780" w:type="dxa"/>
            <w:shd w:val="clear" w:color="auto" w:fill="DA9694"/>
          </w:tcPr>
          <w:p>
            <w:pPr>
              <w:widowControl w:val="0"/>
              <w:spacing w:before="2"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Art. 73 et</w:t>
            </w:r>
          </w:p>
          <w:p>
            <w:pPr>
              <w:widowControl w:val="0"/>
              <w:spacing w:before="18" w:after="0" w:line="271" w:lineRule="auto"/>
              <w:ind w:right="77"/>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78 + annexe VIII</w:t>
            </w:r>
          </w:p>
        </w:tc>
        <w:tc>
          <w:tcPr>
            <w:tcW w:w="2722" w:type="dxa"/>
            <w:shd w:val="clear" w:color="auto" w:fill="DA9694"/>
          </w:tcPr>
          <w:p>
            <w:pPr>
              <w:widowControl w:val="0"/>
              <w:spacing w:before="11" w:after="0" w:line="240" w:lineRule="auto"/>
              <w:jc w:val="center"/>
              <w:rPr>
                <w:rFonts w:ascii="Times New Roman" w:eastAsia="Times New Roman" w:hAnsi="Times New Roman" w:cs="Times New Roman"/>
                <w:b/>
                <w:bCs/>
                <w:noProof/>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Allocation d'invalidité</w:t>
            </w:r>
          </w:p>
        </w:tc>
        <w:tc>
          <w:tcPr>
            <w:tcW w:w="3230" w:type="dxa"/>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76" w:after="0" w:line="271" w:lineRule="auto"/>
              <w:ind w:right="73"/>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à la procédure pour la convocation de la commission d’invalidité</w:t>
            </w:r>
          </w:p>
        </w:tc>
        <w:tc>
          <w:tcPr>
            <w:tcW w:w="1409" w:type="dxa"/>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6"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24.9.2010</w:t>
            </w:r>
          </w:p>
        </w:tc>
        <w:tc>
          <w:tcPr>
            <w:tcW w:w="1800" w:type="dxa"/>
            <w:shd w:val="clear" w:color="auto" w:fill="DA9694"/>
          </w:tcPr>
          <w:p>
            <w:pPr>
              <w:widowControl w:val="0"/>
              <w:spacing w:after="0" w:line="240" w:lineRule="auto"/>
              <w:jc w:val="center"/>
              <w:rPr>
                <w:rFonts w:ascii="Times New Roman" w:eastAsia="Calibri" w:hAnsi="Times New Roman" w:cs="Times New Roman"/>
                <w:noProof/>
              </w:rPr>
            </w:pPr>
          </w:p>
        </w:tc>
        <w:tc>
          <w:tcPr>
            <w:tcW w:w="938" w:type="dxa"/>
            <w:shd w:val="clear" w:color="auto" w:fill="DA9694"/>
          </w:tcPr>
          <w:p>
            <w:pPr>
              <w:widowControl w:val="0"/>
              <w:spacing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VI - Du régime disciplinaire</w:t>
            </w:r>
          </w:p>
        </w:tc>
      </w:tr>
      <w:tr>
        <w:trPr>
          <w:trHeight w:hRule="exact" w:val="595"/>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b/>
                <w:bCs/>
                <w:noProof/>
                <w:sz w:val="12"/>
                <w:szCs w:val="12"/>
              </w:rPr>
            </w:pPr>
          </w:p>
          <w:p>
            <w:pPr>
              <w:widowControl w:val="0"/>
              <w:spacing w:after="0" w:line="271" w:lineRule="auto"/>
              <w:ind w:right="79"/>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86 + annexe IX</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4" w:after="0" w:line="247" w:lineRule="auto"/>
              <w:ind w:right="311"/>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Procédures disciplinaires et enquêtes administratives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67" w:after="0" w:line="271" w:lineRule="auto"/>
              <w:ind w:right="159"/>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secrétaire général du 18 mai 2004 concernant les dispositions générales d’exécution relatives aux procédures disciplinaires et aux enquêtes administratives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Calibri" w:hAnsi="Times New Roman" w:cs="Times New Roman"/>
          <w:noProof/>
          <w:sz w:val="14"/>
          <w:szCs w:val="14"/>
        </w:rPr>
        <w:sectPr>
          <w:headerReference w:type="even" r:id="rId33"/>
          <w:headerReference w:type="default" r:id="rId34"/>
          <w:footerReference w:type="even" r:id="rId35"/>
          <w:footerReference w:type="default" r:id="rId36"/>
          <w:headerReference w:type="first" r:id="rId37"/>
          <w:footerReference w:type="first" r:id="rId38"/>
          <w:pgSz w:w="11900" w:h="16840" w:code="9"/>
          <w:pgMar w:top="1280" w:right="580" w:bottom="280" w:left="220" w:header="1082" w:footer="0" w:gutter="0"/>
          <w:cols w:space="720"/>
        </w:sectPr>
      </w:pPr>
    </w:p>
    <w:p>
      <w:pPr>
        <w:widowControl w:val="0"/>
        <w:spacing w:after="0" w:line="20" w:lineRule="atLeast"/>
        <w:jc w:val="center"/>
        <w:rPr>
          <w:rFonts w:ascii="Times New Roman" w:eastAsia="Times New Roman" w:hAnsi="Times New Roman" w:cs="Times New Roman"/>
          <w:noProof/>
          <w:sz w:val="2"/>
          <w:szCs w:val="2"/>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90"/>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after="0" w:line="478" w:lineRule="exact"/>
              <w:jc w:val="center"/>
              <w:rPr>
                <w:rFonts w:ascii="Times New Roman" w:eastAsia="Times New Roman" w:hAnsi="Times New Roman" w:cs="Times New Roman"/>
                <w:noProof/>
                <w:sz w:val="42"/>
                <w:szCs w:val="42"/>
              </w:rPr>
            </w:pPr>
            <w:r>
              <w:rPr>
                <w:rFonts w:ascii="Times New Roman" w:hAnsi="Times New Roman" w:cs="Times New Roman"/>
                <w:b/>
                <w:noProof/>
                <w:sz w:val="42"/>
              </w:rPr>
              <w:t>Régime applicable aux autres agents</w:t>
            </w:r>
          </w:p>
        </w:tc>
      </w:tr>
      <w:tr>
        <w:trPr>
          <w:trHeight w:hRule="exact" w:val="358"/>
        </w:trPr>
        <w:tc>
          <w:tcPr>
            <w:tcW w:w="779"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7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38"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68"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II - Agents temporaires</w:t>
            </w:r>
          </w:p>
        </w:tc>
      </w:tr>
      <w:tr>
        <w:trPr>
          <w:trHeight w:hRule="exact" w:val="559"/>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70"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8</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75" w:after="0" w:line="258" w:lineRule="auto"/>
              <w:ind w:right="30"/>
              <w:jc w:val="center"/>
              <w:rPr>
                <w:rFonts w:ascii="Times New Roman" w:eastAsia="Times New Roman" w:hAnsi="Times New Roman" w:cs="Times New Roman"/>
                <w:noProof/>
                <w:sz w:val="16"/>
                <w:szCs w:val="16"/>
              </w:rPr>
            </w:pPr>
            <w:r>
              <w:rPr>
                <w:rFonts w:ascii="Times New Roman" w:hAnsi="Times New Roman" w:cs="Times New Roman"/>
                <w:b/>
                <w:noProof/>
                <w:spacing w:val="-2"/>
                <w:sz w:val="16"/>
              </w:rPr>
              <w:t>Politique générale d’engagement des agents temporaires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0" w:after="0" w:line="271" w:lineRule="auto"/>
              <w:ind w:right="24"/>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aux concours et sélections, au recrutement et au classement des fonctionnaires et des autres agents du 17 octobre 2014</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before="3"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DGE</w:t>
            </w:r>
          </w:p>
        </w:tc>
      </w:tr>
      <w:tr>
        <w:trPr>
          <w:trHeight w:hRule="exact" w:val="487"/>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b/>
                <w:bCs/>
                <w:noProof/>
                <w:sz w:val="15"/>
                <w:szCs w:val="15"/>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10</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Reclassement des agents temporaires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6" w:after="0" w:line="271" w:lineRule="auto"/>
              <w:ind w:right="51"/>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au reclassement des agents temporaires engagés en application de l’article 2, point a), du régime applicable aux autres agents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21.10.2014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before="4"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Conditions d'engagement</w:t>
            </w:r>
          </w:p>
        </w:tc>
      </w:tr>
      <w:tr>
        <w:trPr>
          <w:trHeight w:hRule="exact" w:val="502"/>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17 + 91</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Congé de maternité et son paiement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à la gestion des congés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44" w:after="0" w:line="240" w:lineRule="auto"/>
              <w:ind w:right="936"/>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IV - Agents contractuels</w:t>
            </w:r>
          </w:p>
        </w:tc>
      </w:tr>
      <w:tr>
        <w:trPr>
          <w:trHeight w:hRule="exact" w:val="389"/>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Chapitre 1 - Dispositions générales</w:t>
            </w:r>
          </w:p>
        </w:tc>
      </w:tr>
      <w:tr>
        <w:trPr>
          <w:trHeight w:hRule="exact" w:val="689"/>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9" w:after="0" w:line="240" w:lineRule="auto"/>
              <w:jc w:val="center"/>
              <w:rPr>
                <w:rFonts w:ascii="Times New Roman" w:eastAsia="Times New Roman" w:hAnsi="Times New Roman" w:cs="Times New Roman"/>
                <w:b/>
                <w:bCs/>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79 (2)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Recours aux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b/>
                <w:bCs/>
                <w:noProof/>
                <w:sz w:val="9"/>
                <w:szCs w:val="9"/>
              </w:rPr>
            </w:pPr>
          </w:p>
          <w:p>
            <w:pPr>
              <w:widowControl w:val="0"/>
              <w:spacing w:after="0" w:line="271" w:lineRule="auto"/>
              <w:ind w:right="24"/>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aux concours et sélections, au recrutement et au classement des fonctionnaires et des autres agents du 17 octobre 2014</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6" w:after="0" w:line="240" w:lineRule="auto"/>
              <w:jc w:val="center"/>
              <w:rPr>
                <w:rFonts w:ascii="Times New Roman" w:eastAsia="Times New Roman" w:hAnsi="Times New Roman" w:cs="Times New Roman"/>
                <w:b/>
                <w:bCs/>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1"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97"/>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97"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Chapitre 3 - Conditions d'engagement</w:t>
            </w:r>
          </w:p>
        </w:tc>
      </w:tr>
      <w:tr>
        <w:trPr>
          <w:trHeight w:hRule="exact" w:val="576"/>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3"/>
                <w:szCs w:val="13"/>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7" w:after="0" w:line="250" w:lineRule="auto"/>
              <w:ind w:right="354"/>
              <w:jc w:val="center"/>
              <w:rPr>
                <w:rFonts w:ascii="Times New Roman" w:eastAsia="Times New Roman" w:hAnsi="Times New Roman" w:cs="Times New Roman"/>
                <w:noProof/>
                <w:sz w:val="17"/>
                <w:szCs w:val="17"/>
              </w:rPr>
            </w:pPr>
            <w:r>
              <w:rPr>
                <w:rFonts w:ascii="Times New Roman" w:hAnsi="Times New Roman" w:cs="Times New Roman"/>
                <w:b/>
                <w:noProof/>
                <w:spacing w:val="-2"/>
                <w:w w:val="105"/>
                <w:sz w:val="16"/>
              </w:rPr>
              <w:t>Procédures de recrutement des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2" w:after="0" w:line="271" w:lineRule="auto"/>
              <w:ind w:right="24"/>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aux concours et sélections, au recrutement et au classement des fonctionnaires et des autres agents du 17 octobre 2014</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583"/>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b/>
                <w:bCs/>
                <w:noProof/>
                <w:sz w:val="13"/>
                <w:szCs w:val="13"/>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86</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3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Grades au 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 w:after="0" w:line="271" w:lineRule="auto"/>
              <w:ind w:right="24"/>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aux concours et sélections, au recrutement et au classement des fonctionnaires et des autres agents du 17 octobre 2014</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97"/>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97"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 xml:space="preserve">Chapitre 4 - Dispositions particulières applicables aux agents contractuels visés à l'article 3 </w:t>
            </w:r>
            <w:r>
              <w:rPr>
                <w:rFonts w:ascii="Times New Roman" w:hAnsi="Times New Roman" w:cs="Times New Roman"/>
                <w:b/>
                <w:i/>
                <w:noProof/>
                <w:spacing w:val="-1"/>
                <w:sz w:val="25"/>
              </w:rPr>
              <w:t>bis</w:t>
            </w:r>
          </w:p>
        </w:tc>
      </w:tr>
      <w:tr>
        <w:trPr>
          <w:trHeight w:hRule="exact" w:val="720"/>
        </w:trPr>
        <w:tc>
          <w:tcPr>
            <w:tcW w:w="779" w:type="dxa"/>
            <w:vMerge w:val="restart"/>
            <w:tcBorders>
              <w:top w:val="single" w:sz="5" w:space="0" w:color="000000"/>
              <w:left w:val="single" w:sz="4" w:space="0" w:color="000000"/>
              <w:right w:val="single" w:sz="3" w:space="0" w:color="000000"/>
            </w:tcBorders>
            <w:shd w:val="clear" w:color="auto" w:fill="FFFF65"/>
            <w:vAlign w:val="center"/>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87</w:t>
            </w:r>
          </w:p>
        </w:tc>
        <w:tc>
          <w:tcPr>
            <w:tcW w:w="2722" w:type="dxa"/>
            <w:vMerge w:val="restart"/>
            <w:tcBorders>
              <w:top w:val="single" w:sz="5" w:space="0" w:color="000000"/>
              <w:left w:val="single" w:sz="3" w:space="0" w:color="000000"/>
              <w:right w:val="single" w:sz="3" w:space="0" w:color="000000"/>
            </w:tcBorders>
            <w:shd w:val="clear" w:color="auto" w:fill="FFFF65"/>
            <w:vAlign w:val="center"/>
          </w:tcPr>
          <w:p>
            <w:pPr>
              <w:widowControl w:val="0"/>
              <w:tabs>
                <w:tab w:val="left" w:pos="1272"/>
              </w:tabs>
              <w:spacing w:before="86"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Évaluation des agents contractuels</w:t>
            </w:r>
          </w:p>
          <w:p>
            <w:pPr>
              <w:widowControl w:val="0"/>
              <w:spacing w:before="37" w:after="0" w:line="250" w:lineRule="auto"/>
              <w:ind w:right="354"/>
              <w:jc w:val="center"/>
              <w:rPr>
                <w:rFonts w:ascii="Times New Roman" w:eastAsia="Times New Roman" w:hAnsi="Times New Roman" w:cs="Times New Roman"/>
                <w:noProof/>
                <w:sz w:val="17"/>
                <w:szCs w:val="17"/>
              </w:rPr>
            </w:pP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2" w:after="0" w:line="271" w:lineRule="auto"/>
              <w:ind w:right="24"/>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à la mise en œuvre de l’article 43 du statut des fonctionnaires et de l’article 15, paragraphe 2, et de l’article 87, paragraphe 1, du régime applicable aux autres agents (rapports de notation)</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835"/>
        </w:trPr>
        <w:tc>
          <w:tcPr>
            <w:tcW w:w="779"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ind w:right="2"/>
              <w:jc w:val="center"/>
              <w:rPr>
                <w:rFonts w:ascii="Times New Roman" w:eastAsia="Times New Roman" w:hAnsi="Times New Roman" w:cs="Times New Roman"/>
                <w:noProof/>
                <w:sz w:val="12"/>
                <w:szCs w:val="12"/>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before="130" w:after="0" w:line="240" w:lineRule="auto"/>
              <w:jc w:val="center"/>
              <w:rPr>
                <w:rFonts w:ascii="Times New Roman" w:eastAsia="Times New Roman" w:hAnsi="Times New Roman" w:cs="Times New Roman"/>
                <w:noProof/>
                <w:sz w:val="17"/>
                <w:szCs w:val="17"/>
              </w:rPr>
            </w:pPr>
          </w:p>
        </w:tc>
        <w:tc>
          <w:tcPr>
            <w:tcW w:w="323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before="4" w:after="0" w:line="271" w:lineRule="auto"/>
              <w:ind w:right="24"/>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régissant l'application des dispositions générales d’exécution relatives à la mise en œuvre de l’article 43 du statut des fonctionnaires et de l’article 15, paragraphe 2, et de l’article 87, paragraphe 1, du régime applicable aux autres agents (rapports de notation)</w:t>
            </w:r>
          </w:p>
        </w:tc>
        <w:tc>
          <w:tcPr>
            <w:tcW w:w="1409"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1.11.2014</w:t>
            </w:r>
          </w:p>
        </w:tc>
        <w:tc>
          <w:tcPr>
            <w:tcW w:w="180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D99594" w:themeFill="accent2" w:themeFillTint="99"/>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3" w:space="0" w:color="000000"/>
            </w:tcBorders>
            <w:shd w:val="clear" w:color="auto" w:fill="C5D9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z w:val="25"/>
              </w:rPr>
              <w:t>Titre VII - Assistants parlementaires</w:t>
            </w:r>
          </w:p>
        </w:tc>
      </w:tr>
      <w:tr>
        <w:trPr>
          <w:trHeight w:hRule="exact" w:val="389"/>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125 - 139</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1"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Mesures d'application du titre VII</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3" w:after="0" w:line="271" w:lineRule="auto"/>
              <w:ind w:right="174"/>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Mesures d’application du titre VII du régime applicable aux autres agents de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14.5.2014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p>
      <w:pPr>
        <w:widowControl w:val="0"/>
        <w:spacing w:before="11" w:after="0" w:line="240" w:lineRule="auto"/>
        <w:jc w:val="center"/>
        <w:rPr>
          <w:rFonts w:ascii="Times New Roman" w:eastAsia="Times New Roman" w:hAnsi="Times New Roman" w:cs="Times New Roman"/>
          <w:b/>
          <w:bCs/>
          <w:noProof/>
          <w:sz w:val="29"/>
          <w:szCs w:val="29"/>
        </w:rPr>
      </w:pPr>
    </w:p>
    <w:p>
      <w:pPr>
        <w:jc w:val="center"/>
        <w:rPr>
          <w:rFonts w:ascii="Times New Roman" w:hAnsi="Times New Roman" w:cs="Times New Roman"/>
          <w:noProof/>
        </w:rPr>
      </w:pPr>
      <w:r>
        <w:rPr>
          <w:rFonts w:ascii="Times New Roman" w:hAnsi="Times New Roman" w:cs="Times New Roman"/>
          <w:noProof/>
        </w:rPr>
        <w:br w:type="page"/>
      </w: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523"/>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C5D9F1"/>
          </w:tcPr>
          <w:p>
            <w:pPr>
              <w:widowControl w:val="0"/>
              <w:spacing w:after="0" w:line="512" w:lineRule="exact"/>
              <w:ind w:right="865"/>
              <w:jc w:val="center"/>
              <w:rPr>
                <w:rFonts w:ascii="Times New Roman" w:eastAsia="Times New Roman" w:hAnsi="Times New Roman" w:cs="Times New Roman"/>
                <w:noProof/>
                <w:sz w:val="50"/>
                <w:szCs w:val="50"/>
              </w:rPr>
            </w:pPr>
            <w:r>
              <w:rPr>
                <w:rFonts w:ascii="Times New Roman" w:hAnsi="Times New Roman" w:cs="Times New Roman"/>
                <w:noProof/>
              </w:rPr>
              <w:t xml:space="preserve">   </w:t>
            </w:r>
            <w:r>
              <w:rPr>
                <w:rFonts w:ascii="Times New Roman" w:hAnsi="Times New Roman" w:cs="Times New Roman"/>
                <w:b/>
                <w:noProof/>
                <w:spacing w:val="-1"/>
                <w:sz w:val="50"/>
              </w:rPr>
              <w:t>Conseil</w:t>
            </w:r>
          </w:p>
        </w:tc>
      </w:tr>
      <w:tr>
        <w:trPr>
          <w:trHeight w:hRule="exact" w:val="770"/>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B8CCE4"/>
          </w:tcPr>
          <w:p>
            <w:pPr>
              <w:widowControl w:val="0"/>
              <w:spacing w:before="17" w:after="0" w:line="240" w:lineRule="auto"/>
              <w:ind w:right="866"/>
              <w:jc w:val="center"/>
              <w:rPr>
                <w:rFonts w:ascii="Times New Roman" w:eastAsia="Times New Roman" w:hAnsi="Times New Roman" w:cs="Times New Roman"/>
                <w:noProof/>
                <w:sz w:val="42"/>
                <w:szCs w:val="42"/>
              </w:rPr>
            </w:pPr>
            <w:r>
              <w:rPr>
                <w:rFonts w:ascii="Times New Roman" w:hAnsi="Times New Roman" w:cs="Times New Roman"/>
                <w:b/>
                <w:noProof/>
                <w:sz w:val="42"/>
              </w:rPr>
              <w:t>Statut</w:t>
            </w:r>
          </w:p>
          <w:p>
            <w:pPr>
              <w:widowControl w:val="0"/>
              <w:spacing w:before="19" w:after="0" w:line="240" w:lineRule="auto"/>
              <w:ind w:right="866"/>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(applicable par analogie aux autres agents lorsque le RAA le prévoit expressément)</w:t>
            </w:r>
          </w:p>
        </w:tc>
      </w:tr>
      <w:tr>
        <w:trPr>
          <w:trHeight w:hRule="exact" w:val="456"/>
        </w:trPr>
        <w:tc>
          <w:tcPr>
            <w:tcW w:w="780" w:type="dxa"/>
            <w:tcBorders>
              <w:top w:val="single" w:sz="5" w:space="0" w:color="000000"/>
              <w:left w:val="single" w:sz="5"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713"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53"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19"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394"/>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tcPr>
          <w:p>
            <w:pPr>
              <w:widowControl w:val="0"/>
              <w:spacing w:before="46"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 - Dispositions générales</w:t>
            </w:r>
          </w:p>
        </w:tc>
      </w:tr>
      <w:tr>
        <w:trPr>
          <w:trHeight w:hRule="exact" w:val="468"/>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before="10"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1</w:t>
            </w:r>
            <w:r>
              <w:rPr>
                <w:rFonts w:ascii="Times New Roman" w:hAnsi="Times New Roman" w:cs="Times New Roman"/>
                <w:b/>
                <w:noProof/>
                <w:w w:val="105"/>
                <w:sz w:val="12"/>
                <w:vertAlign w:val="superscript"/>
              </w:rPr>
              <w:t>er</w:t>
            </w:r>
            <w:r>
              <w:rPr>
                <w:rFonts w:ascii="Times New Roman" w:hAnsi="Times New Roman" w:cs="Times New Roman"/>
                <w:b/>
                <w:noProof/>
                <w:w w:val="105"/>
                <w:sz w:val="12"/>
              </w:rPr>
              <w:t xml:space="preserve"> </w:t>
            </w:r>
            <w:r>
              <w:rPr>
                <w:rFonts w:ascii="Times New Roman" w:hAnsi="Times New Roman" w:cs="Times New Roman"/>
                <w:b/>
                <w:i/>
                <w:noProof/>
                <w:w w:val="105"/>
                <w:sz w:val="12"/>
              </w:rPr>
              <w:t>quinquies</w:t>
            </w:r>
            <w:r>
              <w:rPr>
                <w:rFonts w:ascii="Times New Roman" w:hAnsi="Times New Roman" w:cs="Times New Roman"/>
                <w:b/>
                <w:noProof/>
                <w:w w:val="105"/>
                <w:sz w:val="12"/>
              </w:rPr>
              <w:t xml:space="preserve"> (4)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4" w:after="0" w:line="240" w:lineRule="auto"/>
              <w:ind w:right="3"/>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Handicap</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de l'article 1</w:t>
            </w:r>
            <w:r>
              <w:rPr>
                <w:rFonts w:ascii="Times New Roman" w:hAnsi="Times New Roman" w:cs="Times New Roman"/>
                <w:noProof/>
                <w:w w:val="105"/>
                <w:sz w:val="12"/>
                <w:vertAlign w:val="superscript"/>
              </w:rPr>
              <w:t>er</w:t>
            </w:r>
            <w:r>
              <w:rPr>
                <w:rFonts w:ascii="Times New Roman" w:hAnsi="Times New Roman" w:cs="Times New Roman"/>
                <w:noProof/>
                <w:w w:val="105"/>
                <w:sz w:val="12"/>
              </w:rPr>
              <w:t xml:space="preserve"> </w:t>
            </w:r>
            <w:r>
              <w:rPr>
                <w:rFonts w:ascii="Times New Roman" w:hAnsi="Times New Roman" w:cs="Times New Roman"/>
                <w:i/>
                <w:noProof/>
                <w:w w:val="105"/>
                <w:sz w:val="12"/>
              </w:rPr>
              <w:t>quinquies</w:t>
            </w:r>
            <w:r>
              <w:rPr>
                <w:rFonts w:ascii="Times New Roman" w:hAnsi="Times New Roman" w:cs="Times New Roman"/>
                <w:noProof/>
                <w:w w:val="105"/>
                <w:sz w:val="12"/>
              </w:rPr>
              <w:t>, paragraphe 4</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713"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92"/>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i/>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w:t>
            </w:r>
            <w:r>
              <w:rPr>
                <w:rFonts w:ascii="Times New Roman" w:hAnsi="Times New Roman" w:cs="Times New Roman"/>
                <w:b/>
                <w:noProof/>
                <w:spacing w:val="1"/>
                <w:w w:val="105"/>
                <w:sz w:val="12"/>
                <w:vertAlign w:val="superscript"/>
              </w:rPr>
              <w:t>er</w:t>
            </w:r>
            <w:r>
              <w:rPr>
                <w:rFonts w:ascii="Times New Roman" w:hAnsi="Times New Roman" w:cs="Times New Roman"/>
                <w:b/>
                <w:noProof/>
                <w:spacing w:val="1"/>
                <w:w w:val="105"/>
                <w:sz w:val="12"/>
              </w:rPr>
              <w:t xml:space="preserve"> </w:t>
            </w:r>
            <w:r>
              <w:rPr>
                <w:rFonts w:ascii="Times New Roman" w:hAnsi="Times New Roman" w:cs="Times New Roman"/>
                <w:b/>
                <w:i/>
                <w:noProof/>
                <w:spacing w:val="1"/>
                <w:w w:val="105"/>
                <w:sz w:val="12"/>
              </w:rPr>
              <w:t>sexies</w:t>
            </w:r>
            <w:r>
              <w:rPr>
                <w:rFonts w:ascii="Times New Roman" w:hAnsi="Times New Roman" w:cs="Times New Roman"/>
                <w:b/>
                <w:noProof/>
                <w:spacing w:val="1"/>
                <w:w w:val="105"/>
                <w:sz w:val="12"/>
              </w:rPr>
              <w:t xml:space="preserve"> (2)</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i/>
                <w:noProof/>
                <w:sz w:val="12"/>
                <w:szCs w:val="12"/>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Santé et sécurité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5" w:after="0" w:line="271" w:lineRule="auto"/>
              <w:ind w:right="69"/>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124/03 portant création d’un comité paritaire pour l’amélioration de la santé et de la sécurité au 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i/>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2003</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823"/>
        </w:trPr>
        <w:tc>
          <w:tcPr>
            <w:tcW w:w="780" w:type="dxa"/>
            <w:vMerge w:val="restart"/>
            <w:tcBorders>
              <w:top w:val="single" w:sz="3" w:space="0" w:color="000000"/>
              <w:left w:val="single" w:sz="5"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after="0" w:line="240" w:lineRule="auto"/>
              <w:jc w:val="center"/>
              <w:rPr>
                <w:rFonts w:ascii="Times New Roman" w:eastAsia="Times New Roman" w:hAnsi="Times New Roman" w:cs="Times New Roman"/>
                <w:i/>
                <w:noProof/>
                <w:sz w:val="12"/>
                <w:szCs w:val="12"/>
              </w:rPr>
            </w:pPr>
          </w:p>
          <w:p>
            <w:pPr>
              <w:widowControl w:val="0"/>
              <w:spacing w:after="0" w:line="240" w:lineRule="auto"/>
              <w:jc w:val="center"/>
              <w:rPr>
                <w:rFonts w:ascii="Times New Roman" w:eastAsia="Times New Roman" w:hAnsi="Times New Roman" w:cs="Times New Roman"/>
                <w:i/>
                <w:noProof/>
                <w:sz w:val="12"/>
                <w:szCs w:val="12"/>
              </w:rPr>
            </w:pPr>
          </w:p>
          <w:p>
            <w:pPr>
              <w:widowControl w:val="0"/>
              <w:spacing w:before="9" w:after="0" w:line="240" w:lineRule="auto"/>
              <w:jc w:val="center"/>
              <w:rPr>
                <w:rFonts w:ascii="Times New Roman" w:eastAsia="Times New Roman" w:hAnsi="Times New Roman" w:cs="Times New Roman"/>
                <w:i/>
                <w:noProof/>
                <w:sz w:val="11"/>
                <w:szCs w:val="11"/>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2</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6"/>
                <w:szCs w:val="16"/>
              </w:rPr>
            </w:pPr>
          </w:p>
          <w:p>
            <w:pPr>
              <w:widowControl w:val="0"/>
              <w:spacing w:after="0" w:line="240" w:lineRule="auto"/>
              <w:jc w:val="center"/>
              <w:rPr>
                <w:rFonts w:ascii="Times New Roman" w:eastAsia="Times New Roman" w:hAnsi="Times New Roman" w:cs="Times New Roman"/>
                <w:i/>
                <w:noProof/>
                <w:sz w:val="16"/>
                <w:szCs w:val="16"/>
              </w:rPr>
            </w:pPr>
          </w:p>
          <w:p>
            <w:pPr>
              <w:widowControl w:val="0"/>
              <w:spacing w:before="2"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Pouvoirs de l'AIPN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i/>
                <w:noProof/>
                <w:sz w:val="12"/>
                <w:szCs w:val="12"/>
              </w:rPr>
            </w:pPr>
          </w:p>
          <w:p>
            <w:pPr>
              <w:widowControl w:val="0"/>
              <w:spacing w:after="0" w:line="271" w:lineRule="auto"/>
              <w:ind w:right="68"/>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2013/811/UE du Conseil portant détermination pour le secrétariat général du Conseil de l'autorité investie du pouvoir de nomination et de l'autorité habilitée à conclure les contrats d'engagement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3" w:after="0" w:line="240" w:lineRule="auto"/>
              <w:jc w:val="center"/>
              <w:rPr>
                <w:rFonts w:ascii="Times New Roman" w:eastAsia="Times New Roman" w:hAnsi="Times New Roman" w:cs="Times New Roman"/>
                <w:i/>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17.12.2013</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22"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97"/>
        </w:trPr>
        <w:tc>
          <w:tcPr>
            <w:tcW w:w="780" w:type="dxa"/>
            <w:vMerge/>
            <w:tcBorders>
              <w:left w:val="single" w:sz="5"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21" w:after="0" w:line="271" w:lineRule="auto"/>
              <w:ind w:right="179"/>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Décisions du secrétaire général 22/14, 23/14, 72/14 et 47/2015 et décisions 24/14 et 46/14 du directeur général de l’administration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i/>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2014-2015</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51"/>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5 + annexe I</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4"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Emplois types et intitulés d'emploi</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24/16 relative aux emplois types et aux intitulés d'emploi</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1.7.2016</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1447"/>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9" w:after="0" w:line="240" w:lineRule="auto"/>
              <w:jc w:val="center"/>
              <w:rPr>
                <w:rFonts w:ascii="Times New Roman" w:eastAsia="Times New Roman" w:hAnsi="Times New Roman" w:cs="Times New Roman"/>
                <w:i/>
                <w:noProof/>
                <w:sz w:val="17"/>
                <w:szCs w:val="17"/>
              </w:rPr>
            </w:pPr>
          </w:p>
          <w:p>
            <w:pPr>
              <w:widowControl w:val="0"/>
              <w:spacing w:after="0" w:line="271" w:lineRule="auto"/>
              <w:ind w:right="49"/>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5 + annexe I et annexe XIII (articles 30 - 31)</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i/>
                <w:noProof/>
                <w:sz w:val="13"/>
                <w:szCs w:val="13"/>
              </w:rPr>
            </w:pPr>
          </w:p>
          <w:p>
            <w:pPr>
              <w:widowControl w:val="0"/>
              <w:spacing w:after="0" w:line="255" w:lineRule="auto"/>
              <w:ind w:right="118"/>
              <w:jc w:val="center"/>
              <w:rPr>
                <w:rFonts w:ascii="Times New Roman" w:eastAsia="Times New Roman" w:hAnsi="Times New Roman" w:cs="Times New Roman"/>
                <w:noProof/>
                <w:sz w:val="17"/>
                <w:szCs w:val="17"/>
              </w:rPr>
            </w:pPr>
            <w:r>
              <w:rPr>
                <w:rFonts w:ascii="Times New Roman" w:hAnsi="Times New Roman" w:cs="Times New Roman"/>
                <w:b/>
                <w:noProof/>
                <w:spacing w:val="-2"/>
                <w:w w:val="105"/>
                <w:sz w:val="17"/>
              </w:rPr>
              <w:t>Classement des fonctionnaires investis de responsabilités particulières en tant que «chef d'unité ou équivalent» ou «conseiller ou équivalent» avant le 31 décembre 2015</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7" w:after="0" w:line="271" w:lineRule="auto"/>
              <w:ind w:right="13"/>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6/14 relative au classement de fonctionnaires AD 9-14 investis de responsabilités particulières dans l’emploi type «chef d’unité ou équivalent» ou «conseiller ou équivalent» avant le 31.12.2015 (modifiée en dernier lieu par la décision 34/14 portant modification de l'organigramme des postes d'encadrement et des entités administratives, et nomination aux postes équivalents aux postes d'encadrement, de conseiller, et/ou de chef d'unité)</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after="0" w:line="240" w:lineRule="auto"/>
              <w:jc w:val="center"/>
              <w:rPr>
                <w:rFonts w:ascii="Times New Roman" w:eastAsia="Times New Roman" w:hAnsi="Times New Roman" w:cs="Times New Roman"/>
                <w:i/>
                <w:noProof/>
                <w:sz w:val="12"/>
                <w:szCs w:val="12"/>
              </w:rPr>
            </w:pPr>
          </w:p>
          <w:p>
            <w:pPr>
              <w:widowControl w:val="0"/>
              <w:spacing w:after="0" w:line="240" w:lineRule="auto"/>
              <w:jc w:val="center"/>
              <w:rPr>
                <w:rFonts w:ascii="Times New Roman" w:eastAsia="Times New Roman" w:hAnsi="Times New Roman" w:cs="Times New Roman"/>
                <w:i/>
                <w:noProof/>
                <w:sz w:val="12"/>
                <w:szCs w:val="12"/>
              </w:rPr>
            </w:pPr>
          </w:p>
          <w:p>
            <w:pPr>
              <w:widowControl w:val="0"/>
              <w:spacing w:before="1" w:after="0" w:line="240" w:lineRule="auto"/>
              <w:jc w:val="center"/>
              <w:rPr>
                <w:rFonts w:ascii="Times New Roman" w:eastAsia="Times New Roman" w:hAnsi="Times New Roman" w:cs="Times New Roman"/>
                <w:i/>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5"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715"/>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82"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7</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i/>
                <w:noProof/>
                <w:sz w:val="17"/>
                <w:szCs w:val="17"/>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Transfert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i/>
                <w:noProof/>
                <w:sz w:val="12"/>
                <w:szCs w:val="12"/>
              </w:rPr>
            </w:pPr>
          </w:p>
          <w:p>
            <w:pPr>
              <w:widowControl w:val="0"/>
              <w:spacing w:after="0" w:line="271" w:lineRule="auto"/>
              <w:ind w:right="54"/>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101/2011 relative aux procédures de mobilité (modifiée en dernier lieu par la décision 21/15 du 27 mars 2016)</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2011</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394"/>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tcPr>
          <w:p>
            <w:pPr>
              <w:widowControl w:val="0"/>
              <w:spacing w:before="46"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II - Droits et obligations du fonctionnaire</w:t>
            </w:r>
          </w:p>
        </w:tc>
      </w:tr>
      <w:tr>
        <w:trPr>
          <w:trHeight w:hRule="exact" w:val="456"/>
        </w:trPr>
        <w:tc>
          <w:tcPr>
            <w:tcW w:w="780" w:type="dxa"/>
            <w:vMerge w:val="restart"/>
            <w:tcBorders>
              <w:top w:val="single" w:sz="5" w:space="0" w:color="000000"/>
              <w:left w:val="single" w:sz="5"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after="0" w:line="240" w:lineRule="auto"/>
              <w:jc w:val="center"/>
              <w:rPr>
                <w:rFonts w:ascii="Times New Roman" w:eastAsia="Times New Roman" w:hAnsi="Times New Roman" w:cs="Times New Roman"/>
                <w:i/>
                <w:noProof/>
                <w:sz w:val="12"/>
                <w:szCs w:val="12"/>
              </w:rPr>
            </w:pPr>
          </w:p>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11 - 21</w:t>
            </w:r>
          </w:p>
        </w:tc>
        <w:tc>
          <w:tcPr>
            <w:tcW w:w="2722"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6"/>
                <w:szCs w:val="16"/>
              </w:rPr>
            </w:pPr>
          </w:p>
          <w:p>
            <w:pPr>
              <w:widowControl w:val="0"/>
              <w:spacing w:before="4" w:after="0" w:line="240" w:lineRule="auto"/>
              <w:jc w:val="center"/>
              <w:rPr>
                <w:rFonts w:ascii="Times New Roman" w:eastAsia="Times New Roman" w:hAnsi="Times New Roman" w:cs="Times New Roman"/>
                <w:i/>
                <w:noProof/>
                <w:sz w:val="15"/>
                <w:szCs w:val="15"/>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Éthique et intégrité</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34/2013 relative aux faveurs et aux dons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2.9.2013</w:t>
            </w:r>
          </w:p>
        </w:tc>
        <w:tc>
          <w:tcPr>
            <w:tcW w:w="1713"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16.11.2015</w:t>
            </w:r>
          </w:p>
        </w:tc>
        <w:tc>
          <w:tcPr>
            <w:tcW w:w="953" w:type="dxa"/>
            <w:vMerge w:val="restart"/>
            <w:tcBorders>
              <w:top w:val="single" w:sz="5"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1"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56"/>
        </w:trPr>
        <w:tc>
          <w:tcPr>
            <w:tcW w:w="780" w:type="dxa"/>
            <w:vMerge/>
            <w:tcBorders>
              <w:left w:val="single" w:sz="5"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61/2015 relative aux activités extérieures et aux mandats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16.11.2015</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456"/>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12 </w:t>
            </w:r>
            <w:r>
              <w:rPr>
                <w:rFonts w:ascii="Times New Roman" w:hAnsi="Times New Roman" w:cs="Times New Roman"/>
                <w:b/>
                <w:i/>
                <w:noProof/>
                <w:spacing w:val="1"/>
                <w:w w:val="105"/>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28"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Harcèlement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9" w:after="0" w:line="271" w:lineRule="auto"/>
              <w:ind w:right="188"/>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15/2015 relative au harcèlement moral et sexuel au 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1.5.2015</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56"/>
        </w:trPr>
        <w:tc>
          <w:tcPr>
            <w:tcW w:w="780" w:type="dxa"/>
            <w:vMerge w:val="restart"/>
            <w:tcBorders>
              <w:top w:val="single" w:sz="3" w:space="0" w:color="000000"/>
              <w:left w:val="single" w:sz="5"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after="0" w:line="240" w:lineRule="auto"/>
              <w:jc w:val="center"/>
              <w:rPr>
                <w:rFonts w:ascii="Times New Roman" w:eastAsia="Times New Roman" w:hAnsi="Times New Roman" w:cs="Times New Roman"/>
                <w:i/>
                <w:noProof/>
                <w:sz w:val="12"/>
                <w:szCs w:val="12"/>
              </w:rPr>
            </w:pPr>
          </w:p>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12 </w:t>
            </w:r>
            <w:r>
              <w:rPr>
                <w:rFonts w:ascii="Times New Roman" w:hAnsi="Times New Roman" w:cs="Times New Roman"/>
                <w:b/>
                <w:i/>
                <w:noProof/>
                <w:w w:val="105"/>
                <w:sz w:val="12"/>
              </w:rPr>
              <w:t>ter</w:t>
            </w:r>
            <w:r>
              <w:rPr>
                <w:rFonts w:ascii="Times New Roman" w:hAnsi="Times New Roman" w:cs="Times New Roman"/>
                <w:b/>
                <w:noProof/>
                <w:w w:val="105"/>
                <w:sz w:val="12"/>
              </w:rPr>
              <w:t xml:space="preserve"> - 16 - 17</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6"/>
                <w:szCs w:val="16"/>
              </w:rPr>
            </w:pPr>
          </w:p>
          <w:p>
            <w:pPr>
              <w:widowControl w:val="0"/>
              <w:spacing w:before="7" w:after="0" w:line="240" w:lineRule="auto"/>
              <w:jc w:val="center"/>
              <w:rPr>
                <w:rFonts w:ascii="Times New Roman" w:eastAsia="Times New Roman" w:hAnsi="Times New Roman" w:cs="Times New Roman"/>
                <w:i/>
                <w:noProof/>
                <w:sz w:val="15"/>
                <w:szCs w:val="15"/>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Activités extérieures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Communication au personnel 124/2000 relative aux activités extérieures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22.9.2000</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16.11.2015</w:t>
            </w:r>
          </w:p>
        </w:tc>
        <w:tc>
          <w:tcPr>
            <w:tcW w:w="953"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2"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56"/>
        </w:trPr>
        <w:tc>
          <w:tcPr>
            <w:tcW w:w="780" w:type="dxa"/>
            <w:vMerge/>
            <w:tcBorders>
              <w:left w:val="single" w:sz="5"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61/2015 relative aux activités extérieures et aux mandats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16.11.2015</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427"/>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22 </w:t>
            </w:r>
            <w:r>
              <w:rPr>
                <w:rFonts w:ascii="Times New Roman" w:hAnsi="Times New Roman" w:cs="Times New Roman"/>
                <w:b/>
                <w:i/>
                <w:noProof/>
                <w:w w:val="105"/>
                <w:sz w:val="12"/>
              </w:rPr>
              <w:t>bis</w:t>
            </w:r>
            <w:r>
              <w:rPr>
                <w:rFonts w:ascii="Times New Roman" w:hAnsi="Times New Roman" w:cs="Times New Roman"/>
                <w:b/>
                <w:noProof/>
                <w:w w:val="105"/>
                <w:sz w:val="12"/>
              </w:rPr>
              <w:t xml:space="preserve"> - </w:t>
            </w:r>
            <w:r>
              <w:rPr>
                <w:rFonts w:ascii="Times New Roman" w:hAnsi="Times New Roman" w:cs="Times New Roman"/>
                <w:b/>
                <w:i/>
                <w:noProof/>
                <w:w w:val="105"/>
                <w:sz w:val="12"/>
              </w:rPr>
              <w:t>quater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4"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Dénonciation des dysfonctionnements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au signalement d’irrégularités graves (3/16)</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29.2.2016</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66"/>
      </w:tblGrid>
      <w:tr>
        <w:trPr>
          <w:trHeight w:hRule="exact" w:val="394"/>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tcPr>
          <w:p>
            <w:pPr>
              <w:widowControl w:val="0"/>
              <w:spacing w:before="46"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z w:val="25"/>
              </w:rPr>
              <w:t>Titre III - De la carrière du fonctionnaire</w:t>
            </w:r>
          </w:p>
        </w:tc>
      </w:tr>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ind w:right="865"/>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Recrutement</w:t>
            </w:r>
          </w:p>
        </w:tc>
      </w:tr>
      <w:tr>
        <w:trPr>
          <w:trHeight w:hRule="exact" w:val="638"/>
        </w:trPr>
        <w:tc>
          <w:tcPr>
            <w:tcW w:w="780" w:type="dxa"/>
            <w:vMerge w:val="restart"/>
            <w:tcBorders>
              <w:top w:val="single" w:sz="5" w:space="0" w:color="000000"/>
              <w:left w:val="single" w:sz="5"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after="0" w:line="240" w:lineRule="auto"/>
              <w:jc w:val="center"/>
              <w:rPr>
                <w:rFonts w:ascii="Times New Roman" w:eastAsia="Times New Roman" w:hAnsi="Times New Roman" w:cs="Times New Roman"/>
                <w:i/>
                <w:noProof/>
                <w:sz w:val="12"/>
                <w:szCs w:val="12"/>
              </w:rPr>
            </w:pPr>
          </w:p>
          <w:p>
            <w:pPr>
              <w:widowControl w:val="0"/>
              <w:spacing w:after="0" w:line="240" w:lineRule="auto"/>
              <w:jc w:val="center"/>
              <w:rPr>
                <w:rFonts w:ascii="Times New Roman" w:eastAsia="Times New Roman" w:hAnsi="Times New Roman" w:cs="Times New Roman"/>
                <w:i/>
                <w:noProof/>
                <w:sz w:val="12"/>
                <w:szCs w:val="12"/>
              </w:rPr>
            </w:pPr>
          </w:p>
          <w:p>
            <w:pPr>
              <w:widowControl w:val="0"/>
              <w:spacing w:before="8"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27 - 34</w:t>
            </w:r>
          </w:p>
        </w:tc>
        <w:tc>
          <w:tcPr>
            <w:tcW w:w="2722" w:type="dxa"/>
            <w:vMerge w:val="restart"/>
            <w:tcBorders>
              <w:top w:val="single" w:sz="5"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6"/>
                <w:szCs w:val="16"/>
              </w:rPr>
            </w:pPr>
          </w:p>
          <w:p>
            <w:pPr>
              <w:widowControl w:val="0"/>
              <w:spacing w:after="0" w:line="240" w:lineRule="auto"/>
              <w:jc w:val="center"/>
              <w:rPr>
                <w:rFonts w:ascii="Times New Roman" w:eastAsia="Times New Roman" w:hAnsi="Times New Roman" w:cs="Times New Roman"/>
                <w:i/>
                <w:noProof/>
                <w:sz w:val="16"/>
                <w:szCs w:val="16"/>
              </w:rPr>
            </w:pPr>
          </w:p>
          <w:p>
            <w:pPr>
              <w:widowControl w:val="0"/>
              <w:spacing w:before="1" w:after="0" w:line="240" w:lineRule="auto"/>
              <w:jc w:val="center"/>
              <w:rPr>
                <w:rFonts w:ascii="Times New Roman" w:eastAsia="Times New Roman" w:hAnsi="Times New Roman" w:cs="Times New Roman"/>
                <w:i/>
                <w:noProof/>
                <w:sz w:val="15"/>
                <w:szCs w:val="15"/>
              </w:rPr>
            </w:pPr>
          </w:p>
          <w:p>
            <w:pPr>
              <w:widowControl w:val="0"/>
              <w:spacing w:after="0" w:line="240" w:lineRule="auto"/>
              <w:ind w:right="1"/>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Recrutement</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8" w:after="0" w:line="271" w:lineRule="auto"/>
              <w:ind w:right="63"/>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Conseil portant dispositions générales d'exécution relatives aux critères applicables au classement en échelon lors du recrutement de fonctionnaires ou de l'engagement</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106"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29.4.2004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106"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25.3.2015</w:t>
            </w:r>
          </w:p>
        </w:tc>
        <w:tc>
          <w:tcPr>
            <w:tcW w:w="866" w:type="dxa"/>
            <w:vMerge w:val="restart"/>
            <w:tcBorders>
              <w:top w:val="single" w:sz="5"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4"/>
                <w:szCs w:val="14"/>
              </w:rPr>
            </w:pPr>
          </w:p>
          <w:p>
            <w:pPr>
              <w:widowControl w:val="0"/>
              <w:spacing w:after="0" w:line="240" w:lineRule="auto"/>
              <w:jc w:val="center"/>
              <w:rPr>
                <w:rFonts w:ascii="Times New Roman" w:eastAsia="Times New Roman" w:hAnsi="Times New Roman" w:cs="Times New Roman"/>
                <w:i/>
                <w:noProof/>
                <w:sz w:val="14"/>
                <w:szCs w:val="14"/>
              </w:rPr>
            </w:pPr>
          </w:p>
          <w:p>
            <w:pPr>
              <w:widowControl w:val="0"/>
              <w:spacing w:before="9" w:after="0" w:line="240" w:lineRule="auto"/>
              <w:jc w:val="center"/>
              <w:rPr>
                <w:rFonts w:ascii="Times New Roman" w:eastAsia="Times New Roman" w:hAnsi="Times New Roman" w:cs="Times New Roman"/>
                <w:i/>
                <w:noProof/>
                <w:sz w:val="19"/>
                <w:szCs w:val="19"/>
              </w:rPr>
            </w:pPr>
          </w:p>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DGE</w:t>
            </w:r>
          </w:p>
        </w:tc>
      </w:tr>
      <w:tr>
        <w:trPr>
          <w:trHeight w:hRule="exact" w:val="751"/>
        </w:trPr>
        <w:tc>
          <w:tcPr>
            <w:tcW w:w="780" w:type="dxa"/>
            <w:vMerge/>
            <w:tcBorders>
              <w:left w:val="single" w:sz="5"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8" w:after="0" w:line="271" w:lineRule="auto"/>
              <w:ind w:right="54"/>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18/2015 portant dispositions générales d'exécution relatives aux critères applicables au classement en échelon lors du recrutement de fonctionnaires ou de l'engagement d'agents temporaires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1"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25.3.2015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866" w:type="dxa"/>
            <w:vMerge/>
            <w:tcBorders>
              <w:left w:val="single" w:sz="3" w:space="0" w:color="000000"/>
              <w:bottom w:val="single" w:sz="3" w:space="0" w:color="000000"/>
              <w:right w:val="single" w:sz="5" w:space="0" w:color="000000"/>
            </w:tcBorders>
            <w:shd w:val="clear" w:color="auto" w:fill="FFFF65"/>
          </w:tcPr>
          <w:p>
            <w:pPr>
              <w:jc w:val="center"/>
              <w:rPr>
                <w:rFonts w:ascii="Times New Roman" w:hAnsi="Times New Roman" w:cs="Times New Roman"/>
                <w:noProof/>
              </w:rPr>
            </w:pPr>
          </w:p>
        </w:tc>
      </w:tr>
    </w:tbl>
    <w:tbl>
      <w:tblPr>
        <w:tblpPr w:leftFromText="180" w:rightFromText="180" w:vertAnchor="text" w:horzAnchor="margin" w:tblpX="154" w:tblpY="434"/>
        <w:tblW w:w="0" w:type="auto"/>
        <w:tblLayout w:type="fixed"/>
        <w:tblCellMar>
          <w:left w:w="0" w:type="dxa"/>
          <w:right w:w="0" w:type="dxa"/>
        </w:tblCellMar>
        <w:tblLook w:val="01E0" w:firstRow="1" w:lastRow="1" w:firstColumn="1" w:lastColumn="1" w:noHBand="0" w:noVBand="0"/>
      </w:tblPr>
      <w:tblGrid>
        <w:gridCol w:w="626"/>
        <w:gridCol w:w="2722"/>
        <w:gridCol w:w="3230"/>
        <w:gridCol w:w="1409"/>
        <w:gridCol w:w="1859"/>
        <w:gridCol w:w="921"/>
      </w:tblGrid>
      <w:tr>
        <w:trPr>
          <w:trHeight w:hRule="exact" w:val="389"/>
        </w:trPr>
        <w:tc>
          <w:tcPr>
            <w:tcW w:w="1076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2 - Positions</w:t>
            </w:r>
          </w:p>
        </w:tc>
      </w:tr>
      <w:tr>
        <w:trPr>
          <w:trHeight w:hRule="exact" w:val="314"/>
        </w:trPr>
        <w:tc>
          <w:tcPr>
            <w:tcW w:w="10767" w:type="dxa"/>
            <w:gridSpan w:val="6"/>
            <w:tcBorders>
              <w:top w:val="single" w:sz="5" w:space="0" w:color="000000"/>
              <w:left w:val="single" w:sz="5" w:space="0" w:color="000000"/>
              <w:bottom w:val="single" w:sz="5" w:space="0" w:color="000000"/>
              <w:right w:val="single" w:sz="5" w:space="0" w:color="000000"/>
            </w:tcBorders>
            <w:shd w:val="clear" w:color="auto" w:fill="B7DEE8"/>
          </w:tcPr>
          <w:p>
            <w:pPr>
              <w:widowControl w:val="0"/>
              <w:spacing w:before="51" w:after="0" w:line="240" w:lineRule="auto"/>
              <w:ind w:right="866"/>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3 - Le congé de convenance personnelle</w:t>
            </w:r>
          </w:p>
        </w:tc>
      </w:tr>
      <w:tr>
        <w:trPr>
          <w:trHeight w:hRule="exact" w:val="377"/>
        </w:trPr>
        <w:tc>
          <w:tcPr>
            <w:tcW w:w="626"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i/>
                <w:noProof/>
                <w:sz w:val="10"/>
                <w:szCs w:val="10"/>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40</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4"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Congés de convenance personnelle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i/>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au congé de convenance personnelle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i/>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59"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21"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RE</w:t>
            </w:r>
          </w:p>
        </w:tc>
      </w:tr>
    </w:tbl>
    <w:p>
      <w:pPr>
        <w:widowControl w:val="0"/>
        <w:spacing w:before="83" w:after="0" w:line="240" w:lineRule="auto"/>
        <w:rPr>
          <w:rFonts w:ascii="Times New Roman" w:eastAsia="Times New Roman" w:hAnsi="Times New Roman" w:cs="Times New Roman"/>
          <w:noProof/>
          <w:sz w:val="15"/>
          <w:szCs w:val="15"/>
        </w:rPr>
      </w:pPr>
      <w:r>
        <w:rPr>
          <w:rFonts w:ascii="Times New Roman" w:hAnsi="Times New Roman" w:cs="Times New Roman"/>
          <w:i/>
          <w:noProof/>
          <w:spacing w:val="-1"/>
          <w:w w:val="105"/>
          <w:sz w:val="15"/>
        </w:rPr>
        <w:t xml:space="preserve">  </w:t>
      </w:r>
    </w:p>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708"/>
        <w:gridCol w:w="958"/>
      </w:tblGrid>
      <w:tr>
        <w:trPr>
          <w:trHeight w:hRule="exact" w:val="314"/>
        </w:trPr>
        <w:tc>
          <w:tcPr>
            <w:tcW w:w="10807" w:type="dxa"/>
            <w:gridSpan w:val="6"/>
            <w:tcBorders>
              <w:top w:val="single" w:sz="3" w:space="0" w:color="000000"/>
              <w:left w:val="single" w:sz="3" w:space="0" w:color="000000"/>
              <w:bottom w:val="single" w:sz="3" w:space="0" w:color="000000"/>
              <w:right w:val="single" w:sz="3" w:space="0" w:color="000000"/>
            </w:tcBorders>
            <w:shd w:val="clear" w:color="auto" w:fill="B7DEE8"/>
          </w:tcPr>
          <w:p>
            <w:pPr>
              <w:widowControl w:val="0"/>
              <w:spacing w:before="54" w:after="0" w:line="240" w:lineRule="auto"/>
              <w:ind w:right="866"/>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6 - Congé parental ou familial</w:t>
            </w:r>
          </w:p>
        </w:tc>
      </w:tr>
      <w:tr>
        <w:trPr>
          <w:trHeight w:hRule="exact" w:val="358"/>
        </w:trPr>
        <w:tc>
          <w:tcPr>
            <w:tcW w:w="78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i/>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42 </w:t>
            </w:r>
            <w:r>
              <w:rPr>
                <w:rFonts w:ascii="Times New Roman" w:hAnsi="Times New Roman" w:cs="Times New Roman"/>
                <w:b/>
                <w:i/>
                <w:noProof/>
                <w:spacing w:val="1"/>
                <w:w w:val="105"/>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Congé parental</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 congé parental</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08"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8"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DGE</w:t>
            </w:r>
          </w:p>
        </w:tc>
      </w:tr>
    </w:tbl>
    <w:p>
      <w:pPr>
        <w:spacing w:before="4"/>
        <w:jc w:val="center"/>
        <w:rPr>
          <w:rFonts w:ascii="Times New Roman" w:eastAsia="Times New Roman" w:hAnsi="Times New Roman" w:cs="Times New Roman"/>
          <w:i/>
          <w:noProof/>
          <w:sz w:val="20"/>
          <w:szCs w:val="20"/>
        </w:rPr>
      </w:pPr>
    </w:p>
    <w:p>
      <w:pPr>
        <w:spacing w:before="4"/>
        <w:jc w:val="center"/>
        <w:rPr>
          <w:rFonts w:ascii="Times New Roman" w:eastAsia="Times New Roman" w:hAnsi="Times New Roman" w:cs="Times New Roman"/>
          <w:i/>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314"/>
        </w:trPr>
        <w:tc>
          <w:tcPr>
            <w:tcW w:w="780" w:type="dxa"/>
            <w:tcBorders>
              <w:top w:val="single" w:sz="5" w:space="0" w:color="000000"/>
              <w:left w:val="single" w:sz="5"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5" w:space="0" w:color="000000"/>
              <w:right w:val="single" w:sz="3"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713" w:type="dxa"/>
            <w:tcBorders>
              <w:top w:val="single" w:sz="5" w:space="0" w:color="000000"/>
              <w:left w:val="single" w:sz="3" w:space="0" w:color="000000"/>
              <w:bottom w:val="single" w:sz="5" w:space="0" w:color="000000"/>
              <w:right w:val="single" w:sz="5" w:space="0" w:color="000000"/>
            </w:tcBorders>
            <w:shd w:val="clear" w:color="auto" w:fill="DAEEF3"/>
          </w:tcPr>
          <w:p>
            <w:pPr>
              <w:widowControl w:val="0"/>
              <w:spacing w:before="4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53" w:type="dxa"/>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47"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389"/>
        </w:trPr>
        <w:tc>
          <w:tcPr>
            <w:tcW w:w="10807" w:type="dxa"/>
            <w:gridSpan w:val="6"/>
            <w:tcBorders>
              <w:top w:val="single" w:sz="5" w:space="0" w:color="000000"/>
              <w:left w:val="single" w:sz="5" w:space="0" w:color="000000"/>
              <w:bottom w:val="single" w:sz="3"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Notation, avancement d'échelon et promotion</w:t>
            </w:r>
          </w:p>
        </w:tc>
      </w:tr>
      <w:tr>
        <w:trPr>
          <w:trHeight w:hRule="exact" w:val="679"/>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6" w:after="0" w:line="240" w:lineRule="auto"/>
              <w:jc w:val="center"/>
              <w:rPr>
                <w:rFonts w:ascii="Times New Roman" w:eastAsia="Times New Roman" w:hAnsi="Times New Roman" w:cs="Times New Roman"/>
                <w:i/>
                <w:noProof/>
                <w:sz w:val="11"/>
                <w:szCs w:val="11"/>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43</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i/>
                <w:noProof/>
                <w:sz w:val="21"/>
                <w:szCs w:val="21"/>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Rapport annuel</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i/>
                <w:noProof/>
                <w:sz w:val="9"/>
                <w:szCs w:val="9"/>
              </w:rPr>
            </w:pPr>
          </w:p>
          <w:p>
            <w:pPr>
              <w:widowControl w:val="0"/>
              <w:spacing w:after="0" w:line="271" w:lineRule="auto"/>
              <w:ind w:right="162"/>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Conseil portant fixation des dispositions générales d’exécution de l’article 43 du statut relatif aux rapports de notation</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4" w:after="0" w:line="240" w:lineRule="auto"/>
              <w:jc w:val="center"/>
              <w:rPr>
                <w:rFonts w:ascii="Times New Roman" w:eastAsia="Times New Roman" w:hAnsi="Times New Roman" w:cs="Times New Roman"/>
                <w:i/>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19.10.1981</w:t>
            </w:r>
          </w:p>
        </w:tc>
        <w:tc>
          <w:tcPr>
            <w:tcW w:w="1713"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8"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45"/>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i/>
                <w:noProof/>
                <w:sz w:val="17"/>
                <w:szCs w:val="17"/>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45</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i/>
                <w:noProof/>
                <w:sz w:val="15"/>
                <w:szCs w:val="15"/>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Promotions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5" w:after="0" w:line="271" w:lineRule="auto"/>
              <w:ind w:right="27"/>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194/83 relative aux comités consultatifs des promotions (modifiée en dernier lieu par la décision 33/14 relative au comité consultatif des promotions)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i/>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13.4.1983</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45"/>
        </w:trPr>
        <w:tc>
          <w:tcPr>
            <w:tcW w:w="780" w:type="dxa"/>
            <w:vMerge w:val="restart"/>
            <w:tcBorders>
              <w:top w:val="single" w:sz="3" w:space="0" w:color="000000"/>
              <w:left w:val="single" w:sz="5" w:space="0" w:color="000000"/>
              <w:right w:val="single" w:sz="3" w:space="0" w:color="000000"/>
            </w:tcBorders>
            <w:shd w:val="clear" w:color="auto" w:fill="FFFF65"/>
          </w:tcPr>
          <w:p>
            <w:pPr>
              <w:jc w:val="center"/>
              <w:rPr>
                <w:rFonts w:ascii="Times New Roman" w:hAnsi="Times New Roman" w:cs="Times New Roman"/>
                <w:noProof/>
              </w:rPr>
            </w:pPr>
          </w:p>
        </w:tc>
        <w:tc>
          <w:tcPr>
            <w:tcW w:w="2722" w:type="dxa"/>
            <w:vMerge w:val="restart"/>
            <w:tcBorders>
              <w:top w:val="single" w:sz="3" w:space="0" w:color="000000"/>
              <w:left w:val="single" w:sz="3" w:space="0" w:color="000000"/>
              <w:right w:val="single" w:sz="3" w:space="0" w:color="000000"/>
            </w:tcBorders>
            <w:shd w:val="clear" w:color="auto" w:fill="FFFF65"/>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71" w:lineRule="auto"/>
              <w:ind w:right="191"/>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Conseil portant dispositions générales d’exécution de l’article 45 </w:t>
            </w:r>
            <w:r>
              <w:rPr>
                <w:rFonts w:ascii="Times New Roman" w:hAnsi="Times New Roman" w:cs="Times New Roman"/>
                <w:i/>
                <w:noProof/>
                <w:w w:val="105"/>
                <w:sz w:val="12"/>
              </w:rPr>
              <w:t>bis</w:t>
            </w:r>
            <w:r>
              <w:rPr>
                <w:rFonts w:ascii="Times New Roman" w:hAnsi="Times New Roman" w:cs="Times New Roman"/>
                <w:noProof/>
                <w:w w:val="105"/>
                <w:sz w:val="12"/>
              </w:rPr>
              <w:t xml:space="preserve">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i/>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20.9.2005</w:t>
            </w:r>
          </w:p>
        </w:tc>
        <w:tc>
          <w:tcPr>
            <w:tcW w:w="1713"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i/>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16.12.2015</w:t>
            </w:r>
          </w:p>
        </w:tc>
        <w:tc>
          <w:tcPr>
            <w:tcW w:w="953" w:type="dxa"/>
            <w:vMerge w:val="restart"/>
            <w:tcBorders>
              <w:top w:val="single" w:sz="3"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3"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45"/>
        </w:trPr>
        <w:tc>
          <w:tcPr>
            <w:tcW w:w="780" w:type="dxa"/>
            <w:vMerge/>
            <w:tcBorders>
              <w:left w:val="single" w:sz="5" w:space="0" w:color="000000"/>
              <w:bottom w:val="nil"/>
              <w:right w:val="single" w:sz="3" w:space="0" w:color="000000"/>
            </w:tcBorders>
            <w:shd w:val="clear" w:color="auto" w:fill="FFFF65"/>
          </w:tcPr>
          <w:p>
            <w:pPr>
              <w:jc w:val="center"/>
              <w:rPr>
                <w:rFonts w:ascii="Times New Roman" w:hAnsi="Times New Roman" w:cs="Times New Roman"/>
                <w:noProof/>
              </w:rPr>
            </w:pPr>
          </w:p>
        </w:tc>
        <w:tc>
          <w:tcPr>
            <w:tcW w:w="2722" w:type="dxa"/>
            <w:vMerge/>
            <w:tcBorders>
              <w:left w:val="single" w:sz="3" w:space="0" w:color="000000"/>
              <w:bottom w:val="nil"/>
              <w:right w:val="single" w:sz="3" w:space="0" w:color="000000"/>
            </w:tcBorders>
            <w:shd w:val="clear" w:color="auto" w:fill="FFFF65"/>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71" w:lineRule="auto"/>
              <w:ind w:right="46"/>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portant dispositions générales d’exécution relatives à la certification en application de l’article 45 </w:t>
            </w:r>
            <w:r>
              <w:rPr>
                <w:rFonts w:ascii="Times New Roman" w:hAnsi="Times New Roman" w:cs="Times New Roman"/>
                <w:i/>
                <w:noProof/>
                <w:w w:val="105"/>
                <w:sz w:val="12"/>
              </w:rPr>
              <w:t>bis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i/>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16.12.2015</w:t>
            </w:r>
          </w:p>
        </w:tc>
        <w:tc>
          <w:tcPr>
            <w:tcW w:w="1713"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634"/>
        </w:trPr>
        <w:tc>
          <w:tcPr>
            <w:tcW w:w="780" w:type="dxa"/>
            <w:vMerge w:val="restart"/>
            <w:tcBorders>
              <w:top w:val="nil"/>
              <w:left w:val="single" w:sz="5" w:space="0" w:color="000000"/>
              <w:right w:val="single" w:sz="3" w:space="0" w:color="000000"/>
            </w:tcBorders>
            <w:shd w:val="clear" w:color="auto" w:fill="FFFF65"/>
          </w:tcPr>
          <w:p>
            <w:pPr>
              <w:widowControl w:val="0"/>
              <w:spacing w:after="0" w:line="136" w:lineRule="exact"/>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 xml:space="preserve">45 </w:t>
            </w:r>
            <w:r>
              <w:rPr>
                <w:rFonts w:ascii="Times New Roman" w:hAnsi="Times New Roman" w:cs="Times New Roman"/>
                <w:b/>
                <w:i/>
                <w:noProof/>
                <w:spacing w:val="1"/>
                <w:w w:val="105"/>
                <w:sz w:val="12"/>
              </w:rPr>
              <w:t>bis</w:t>
            </w:r>
          </w:p>
        </w:tc>
        <w:tc>
          <w:tcPr>
            <w:tcW w:w="2722" w:type="dxa"/>
            <w:vMerge w:val="restart"/>
            <w:tcBorders>
              <w:top w:val="nil"/>
              <w:left w:val="single" w:sz="3" w:space="0" w:color="000000"/>
              <w:right w:val="single" w:sz="3" w:space="0" w:color="000000"/>
            </w:tcBorders>
            <w:shd w:val="clear" w:color="auto" w:fill="FFFF65"/>
          </w:tcPr>
          <w:p>
            <w:pPr>
              <w:widowControl w:val="0"/>
              <w:spacing w:after="0" w:line="164" w:lineRule="exact"/>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Certification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8" w:after="0" w:line="271" w:lineRule="auto"/>
              <w:ind w:right="37"/>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50/2013 de l’AIPN relative aux critères de classement des candidats aux fins de la procédure de certification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106"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2013</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90"/>
        </w:trPr>
        <w:tc>
          <w:tcPr>
            <w:tcW w:w="780" w:type="dxa"/>
            <w:vMerge/>
            <w:tcBorders>
              <w:left w:val="single" w:sz="5"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i/>
                <w:noProof/>
                <w:sz w:val="12"/>
                <w:szCs w:val="12"/>
              </w:rPr>
            </w:pPr>
          </w:p>
          <w:p>
            <w:pPr>
              <w:widowControl w:val="0"/>
              <w:spacing w:after="0" w:line="271" w:lineRule="auto"/>
              <w:ind w:right="88"/>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64/2014 relative aux critères de classement des candidats aux fins de la procédure de certification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1.12.2014</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4 - Cessation définitive des fonctions</w:t>
            </w:r>
          </w:p>
        </w:tc>
      </w:tr>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Section 4 - Procédures de traitement de l’insuffisance professionnelle</w:t>
            </w:r>
          </w:p>
        </w:tc>
      </w:tr>
      <w:tr>
        <w:trPr>
          <w:trHeight w:hRule="exact" w:val="502"/>
        </w:trPr>
        <w:tc>
          <w:tcPr>
            <w:tcW w:w="780" w:type="dxa"/>
            <w:vMerge w:val="restart"/>
            <w:tcBorders>
              <w:top w:val="single" w:sz="5" w:space="0" w:color="000000"/>
              <w:left w:val="single" w:sz="5"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after="0" w:line="240" w:lineRule="auto"/>
              <w:jc w:val="center"/>
              <w:rPr>
                <w:rFonts w:ascii="Times New Roman" w:eastAsia="Times New Roman" w:hAnsi="Times New Roman" w:cs="Times New Roman"/>
                <w:i/>
                <w:noProof/>
                <w:sz w:val="12"/>
                <w:szCs w:val="12"/>
              </w:rPr>
            </w:pPr>
          </w:p>
          <w:p>
            <w:pPr>
              <w:widowControl w:val="0"/>
              <w:spacing w:before="5" w:after="0" w:line="240" w:lineRule="auto"/>
              <w:jc w:val="center"/>
              <w:rPr>
                <w:rFonts w:ascii="Times New Roman" w:eastAsia="Times New Roman" w:hAnsi="Times New Roman" w:cs="Times New Roman"/>
                <w:i/>
                <w:noProof/>
                <w:sz w:val="15"/>
                <w:szCs w:val="15"/>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51</w:t>
            </w:r>
          </w:p>
        </w:tc>
        <w:tc>
          <w:tcPr>
            <w:tcW w:w="2722"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6"/>
                <w:szCs w:val="16"/>
              </w:rPr>
            </w:pPr>
          </w:p>
          <w:p>
            <w:pPr>
              <w:widowControl w:val="0"/>
              <w:spacing w:before="7" w:after="0" w:line="240" w:lineRule="auto"/>
              <w:jc w:val="center"/>
              <w:rPr>
                <w:rFonts w:ascii="Times New Roman" w:eastAsia="Times New Roman" w:hAnsi="Times New Roman" w:cs="Times New Roman"/>
                <w:i/>
                <w:noProof/>
                <w:sz w:val="21"/>
                <w:szCs w:val="21"/>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Insuffisance professionnelle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8" w:after="0" w:line="271" w:lineRule="auto"/>
              <w:ind w:right="85"/>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144/2011 relative à la procédure de détection, de gestion et de résolution des cas d’insuffisance professionnelle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i/>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2011</w:t>
            </w:r>
          </w:p>
        </w:tc>
        <w:tc>
          <w:tcPr>
            <w:tcW w:w="1713"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i/>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29.7.2015</w:t>
            </w:r>
          </w:p>
        </w:tc>
        <w:tc>
          <w:tcPr>
            <w:tcW w:w="953" w:type="dxa"/>
            <w:vMerge w:val="restart"/>
            <w:tcBorders>
              <w:top w:val="single" w:sz="5"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4"/>
                <w:szCs w:val="14"/>
              </w:rPr>
            </w:pPr>
          </w:p>
          <w:p>
            <w:pPr>
              <w:widowControl w:val="0"/>
              <w:spacing w:after="0" w:line="240" w:lineRule="auto"/>
              <w:jc w:val="center"/>
              <w:rPr>
                <w:rFonts w:ascii="Times New Roman" w:eastAsia="Times New Roman" w:hAnsi="Times New Roman" w:cs="Times New Roman"/>
                <w:i/>
                <w:noProof/>
                <w:sz w:val="14"/>
                <w:szCs w:val="14"/>
              </w:rPr>
            </w:pPr>
          </w:p>
          <w:p>
            <w:pPr>
              <w:widowControl w:val="0"/>
              <w:spacing w:after="0" w:line="240" w:lineRule="auto"/>
              <w:jc w:val="center"/>
              <w:rPr>
                <w:rFonts w:ascii="Times New Roman" w:eastAsia="Times New Roman" w:hAnsi="Times New Roman" w:cs="Times New Roman"/>
                <w:noProof/>
                <w:sz w:val="14"/>
                <w:szCs w:val="14"/>
              </w:rPr>
            </w:pPr>
            <w:r>
              <w:rPr>
                <w:rFonts w:ascii="Times New Roman" w:hAnsi="Times New Roman" w:cs="Times New Roman"/>
                <w:b/>
                <w:noProof/>
                <w:spacing w:val="1"/>
                <w:w w:val="105"/>
                <w:sz w:val="16"/>
              </w:rPr>
              <w:t>1 RE</w:t>
            </w:r>
          </w:p>
        </w:tc>
      </w:tr>
      <w:tr>
        <w:trPr>
          <w:trHeight w:hRule="exact" w:val="554"/>
        </w:trPr>
        <w:tc>
          <w:tcPr>
            <w:tcW w:w="780" w:type="dxa"/>
            <w:vMerge/>
            <w:tcBorders>
              <w:left w:val="single" w:sz="5"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1"/>
                <w:szCs w:val="11"/>
              </w:rPr>
            </w:pPr>
          </w:p>
          <w:p>
            <w:pPr>
              <w:widowControl w:val="0"/>
              <w:spacing w:after="0" w:line="271" w:lineRule="auto"/>
              <w:ind w:right="116"/>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46/2015 relative à la procédure de détection, de gestion et de résolution des cas d’insuffisance professionnelle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i/>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29.7.2015</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vMerge/>
            <w:tcBorders>
              <w:left w:val="single" w:sz="3" w:space="0" w:color="000000"/>
              <w:bottom w:val="single" w:sz="3" w:space="0" w:color="000000"/>
              <w:right w:val="single" w:sz="5" w:space="0" w:color="000000"/>
            </w:tcBorders>
            <w:shd w:val="clear" w:color="auto" w:fill="DA9694"/>
          </w:tcPr>
          <w:p>
            <w:pPr>
              <w:jc w:val="center"/>
              <w:rPr>
                <w:rFonts w:ascii="Times New Roman" w:hAnsi="Times New Roman" w:cs="Times New Roman"/>
                <w:noProof/>
              </w:rPr>
            </w:pP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394"/>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tcPr>
          <w:p>
            <w:pPr>
              <w:widowControl w:val="0"/>
              <w:spacing w:before="46"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IV - Des conditions de travail du fonctionnaire</w:t>
            </w:r>
          </w:p>
        </w:tc>
      </w:tr>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ind w:right="864"/>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Durée du travail</w:t>
            </w:r>
          </w:p>
        </w:tc>
      </w:tr>
      <w:tr>
        <w:trPr>
          <w:trHeight w:hRule="exact" w:val="389"/>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55</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1"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Temps de travail</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3" w:after="0" w:line="271" w:lineRule="auto"/>
              <w:ind w:right="224"/>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2/2014 portant dispositions applicables à l’horaire flexible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89"/>
        </w:trPr>
        <w:tc>
          <w:tcPr>
            <w:tcW w:w="780" w:type="dxa"/>
            <w:vMerge w:val="restart"/>
            <w:tcBorders>
              <w:top w:val="single" w:sz="3" w:space="0" w:color="000000"/>
              <w:left w:val="single" w:sz="5"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101" w:after="0" w:line="271" w:lineRule="auto"/>
              <w:ind w:right="46"/>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55 </w:t>
            </w:r>
            <w:r>
              <w:rPr>
                <w:rFonts w:ascii="Times New Roman" w:hAnsi="Times New Roman" w:cs="Times New Roman"/>
                <w:b/>
                <w:i/>
                <w:noProof/>
                <w:w w:val="105"/>
                <w:sz w:val="12"/>
              </w:rPr>
              <w:t>bis</w:t>
            </w:r>
            <w:r>
              <w:rPr>
                <w:rFonts w:ascii="Times New Roman" w:hAnsi="Times New Roman" w:cs="Times New Roman"/>
                <w:b/>
                <w:noProof/>
                <w:w w:val="105"/>
                <w:sz w:val="12"/>
              </w:rPr>
              <w:t xml:space="preserve"> + annexe IV </w:t>
            </w:r>
            <w:r>
              <w:rPr>
                <w:rFonts w:ascii="Times New Roman" w:hAnsi="Times New Roman" w:cs="Times New Roman"/>
                <w:b/>
                <w:i/>
                <w:noProof/>
                <w:w w:val="105"/>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4"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Travail à temps partiel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14/2014 relative au travail à temps partiel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89"/>
        </w:trPr>
        <w:tc>
          <w:tcPr>
            <w:tcW w:w="780" w:type="dxa"/>
            <w:vMerge/>
            <w:tcBorders>
              <w:left w:val="single" w:sz="5"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4"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Télétravail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Décisions 44/2012, 145/2012, 146/2012, 147/2012,</w:t>
            </w:r>
          </w:p>
          <w:p>
            <w:pPr>
              <w:widowControl w:val="0"/>
              <w:spacing w:before="1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146/2012, 12/2013, 1/2016 sur le télétravail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2012-2016</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10"/>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i/>
                <w:noProof/>
                <w:sz w:val="13"/>
                <w:szCs w:val="13"/>
              </w:rPr>
            </w:pPr>
          </w:p>
          <w:p>
            <w:pPr>
              <w:widowControl w:val="0"/>
              <w:spacing w:after="0" w:line="271" w:lineRule="auto"/>
              <w:ind w:right="79"/>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56 + annexe VI</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i/>
                <w:noProof/>
                <w:sz w:val="17"/>
                <w:szCs w:val="17"/>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Heures supplémentaires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6" w:after="0" w:line="271" w:lineRule="auto"/>
              <w:ind w:right="27"/>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Décisions 3/2014, 4/2014 et 5/2014 portant dispositions applicables en matière d'heures supplémentaires et de repos de santé au personnel auquel ne s'applique pas la décision 2/2014</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9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ind w:right="864"/>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2 - Congés</w:t>
            </w:r>
          </w:p>
        </w:tc>
      </w:tr>
      <w:tr>
        <w:trPr>
          <w:trHeight w:hRule="exact" w:val="506"/>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i/>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57 + annexe V</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Congés annuels et congés spéciaux</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23" w:after="0" w:line="271" w:lineRule="auto"/>
              <w:ind w:right="62"/>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1/2014 portant modalités d'application des dispositions statutaires en matière de congés relatifs aux fonctionnaires en activité</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i/>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806"/>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11" w:after="0" w:line="240" w:lineRule="auto"/>
              <w:jc w:val="center"/>
              <w:rPr>
                <w:rFonts w:ascii="Times New Roman" w:eastAsia="Times New Roman" w:hAnsi="Times New Roman" w:cs="Times New Roman"/>
                <w:i/>
                <w:noProof/>
                <w:sz w:val="16"/>
                <w:szCs w:val="16"/>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58</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6"/>
                <w:szCs w:val="16"/>
              </w:rPr>
            </w:pPr>
          </w:p>
          <w:p>
            <w:pPr>
              <w:widowControl w:val="0"/>
              <w:spacing w:before="11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Congé de maternité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i/>
                <w:noProof/>
                <w:sz w:val="15"/>
                <w:szCs w:val="15"/>
              </w:rPr>
            </w:pPr>
          </w:p>
          <w:p>
            <w:pPr>
              <w:widowControl w:val="0"/>
              <w:spacing w:after="0" w:line="271" w:lineRule="auto"/>
              <w:ind w:right="62"/>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1/2014 portant modalités d'application des dispositions statutaires en matière de congés relatifs aux fonctionnaires en activité</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9" w:after="0" w:line="240" w:lineRule="auto"/>
              <w:jc w:val="center"/>
              <w:rPr>
                <w:rFonts w:ascii="Times New Roman" w:eastAsia="Times New Roman" w:hAnsi="Times New Roman" w:cs="Times New Roman"/>
                <w:i/>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2"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806"/>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11" w:after="0" w:line="240" w:lineRule="auto"/>
              <w:jc w:val="center"/>
              <w:rPr>
                <w:rFonts w:ascii="Times New Roman" w:eastAsia="Times New Roman" w:hAnsi="Times New Roman" w:cs="Times New Roman"/>
                <w:i/>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59 (6)</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6"/>
                <w:szCs w:val="16"/>
              </w:rPr>
            </w:pPr>
          </w:p>
          <w:p>
            <w:pPr>
              <w:widowControl w:val="0"/>
              <w:spacing w:before="12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Visite médicale annuelle</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i/>
                <w:noProof/>
                <w:sz w:val="15"/>
                <w:szCs w:val="15"/>
              </w:rPr>
            </w:pPr>
          </w:p>
          <w:p>
            <w:pPr>
              <w:widowControl w:val="0"/>
              <w:spacing w:after="0" w:line="271" w:lineRule="auto"/>
              <w:ind w:right="157"/>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43/2015 portant sur la fixation du montant maximal de remboursement des honoraires du médecin afférents à la visite médicale annuelle pour l’année 2015</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9" w:after="0" w:line="240" w:lineRule="auto"/>
              <w:jc w:val="center"/>
              <w:rPr>
                <w:rFonts w:ascii="Times New Roman" w:eastAsia="Times New Roman" w:hAnsi="Times New Roman" w:cs="Times New Roman"/>
                <w:i/>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2015</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2"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jc w:val="center"/>
        <w:rPr>
          <w:rFonts w:ascii="Times New Roman" w:eastAsia="Calibri" w:hAnsi="Times New Roman" w:cs="Times New Roman"/>
          <w:noProof/>
          <w:sz w:val="14"/>
          <w:szCs w:val="14"/>
        </w:rPr>
        <w:sectPr>
          <w:headerReference w:type="even" r:id="rId39"/>
          <w:headerReference w:type="default" r:id="rId40"/>
          <w:footerReference w:type="even" r:id="rId41"/>
          <w:footerReference w:type="default" r:id="rId42"/>
          <w:headerReference w:type="first" r:id="rId43"/>
          <w:footerReference w:type="first" r:id="rId44"/>
          <w:pgSz w:w="11900" w:h="16840" w:code="9"/>
          <w:pgMar w:top="540" w:right="240" w:bottom="280" w:left="220" w:header="347" w:footer="0" w:gutter="0"/>
          <w:cols w:space="720"/>
          <w:docGrid w:linePitch="299"/>
        </w:sect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708"/>
        <w:gridCol w:w="958"/>
      </w:tblGrid>
      <w:tr>
        <w:trPr>
          <w:trHeight w:hRule="exact" w:val="456"/>
        </w:trPr>
        <w:tc>
          <w:tcPr>
            <w:tcW w:w="78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noProof/>
              </w:rPr>
              <w:t xml:space="preserve">   </w:t>
            </w: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708"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58"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19"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bl>
    <w:p>
      <w:pPr>
        <w:widowControl w:val="0"/>
        <w:spacing w:after="0" w:line="240" w:lineRule="auto"/>
        <w:jc w:val="center"/>
        <w:rPr>
          <w:rFonts w:ascii="Times New Roman" w:eastAsia="Times New Roman" w:hAnsi="Times New Roman" w:cs="Times New Roman"/>
          <w:i/>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305"/>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C5D9F1"/>
          </w:tcPr>
          <w:p>
            <w:pPr>
              <w:widowControl w:val="0"/>
              <w:spacing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V + annexe VII - Du régime pécuniaire et des avantages sociaux du fonctionnaire</w:t>
            </w:r>
          </w:p>
        </w:tc>
      </w:tr>
      <w:tr>
        <w:trPr>
          <w:trHeight w:hRule="exact" w:val="300"/>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35"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Rémunération et remboursement de frais</w:t>
            </w:r>
          </w:p>
        </w:tc>
      </w:tr>
      <w:tr>
        <w:trPr>
          <w:trHeight w:hRule="exact" w:val="264"/>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27"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Annexe VII - Règles relatives à la rémunération et aux remboursements de frais</w:t>
            </w:r>
          </w:p>
        </w:tc>
      </w:tr>
      <w:tr>
        <w:trPr>
          <w:trHeight w:hRule="exact" w:val="264"/>
        </w:trPr>
        <w:tc>
          <w:tcPr>
            <w:tcW w:w="10807" w:type="dxa"/>
            <w:gridSpan w:val="6"/>
            <w:tcBorders>
              <w:top w:val="single" w:sz="5" w:space="0" w:color="000000"/>
              <w:left w:val="single" w:sz="5" w:space="0" w:color="000000"/>
              <w:bottom w:val="single" w:sz="3" w:space="0" w:color="000000"/>
              <w:right w:val="single" w:sz="5" w:space="0" w:color="000000"/>
            </w:tcBorders>
            <w:shd w:val="clear" w:color="auto" w:fill="DAEEF3"/>
          </w:tcPr>
          <w:p>
            <w:pPr>
              <w:widowControl w:val="0"/>
              <w:spacing w:before="27" w:after="0" w:line="240" w:lineRule="auto"/>
              <w:ind w:right="863"/>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1 - Allocations familiales</w:t>
            </w:r>
          </w:p>
        </w:tc>
      </w:tr>
      <w:tr>
        <w:trPr>
          <w:trHeight w:hRule="exact" w:val="900"/>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87"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 1</w:t>
            </w:r>
            <w:r>
              <w:rPr>
                <w:rFonts w:ascii="Times New Roman" w:hAnsi="Times New Roman" w:cs="Times New Roman"/>
                <w:b/>
                <w:noProof/>
                <w:spacing w:val="-2"/>
                <w:w w:val="105"/>
                <w:sz w:val="12"/>
                <w:vertAlign w:val="superscript"/>
              </w:rPr>
              <w:t>er</w:t>
            </w:r>
            <w:r>
              <w:rPr>
                <w:rFonts w:ascii="Times New Roman" w:hAnsi="Times New Roman" w:cs="Times New Roman"/>
                <w:b/>
                <w:noProof/>
                <w:spacing w:val="-2"/>
                <w:w w:val="105"/>
                <w:sz w:val="12"/>
              </w:rPr>
              <w:t xml:space="preserve"> - 3)</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6"/>
                <w:szCs w:val="16"/>
              </w:rPr>
            </w:pPr>
          </w:p>
          <w:p>
            <w:pPr>
              <w:widowControl w:val="0"/>
              <w:spacing w:before="2" w:after="0" w:line="240" w:lineRule="auto"/>
              <w:jc w:val="center"/>
              <w:rPr>
                <w:rFonts w:ascii="Times New Roman" w:eastAsia="Times New Roman" w:hAnsi="Times New Roman" w:cs="Times New Roman"/>
                <w:i/>
                <w:noProof/>
                <w:sz w:val="15"/>
                <w:szCs w:val="15"/>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Allocations familiales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i/>
                <w:noProof/>
                <w:sz w:val="12"/>
                <w:szCs w:val="12"/>
              </w:rPr>
            </w:pPr>
          </w:p>
          <w:p>
            <w:pPr>
              <w:widowControl w:val="0"/>
              <w:spacing w:after="0" w:line="271" w:lineRule="auto"/>
              <w:ind w:right="58"/>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Conseil portant adoption des dispositions générales d’exécution des articles 67 et 68 du statut des fonctionnaires des Communautés européennes et des articles 1</w:t>
            </w:r>
            <w:r>
              <w:rPr>
                <w:rFonts w:ascii="Times New Roman" w:hAnsi="Times New Roman" w:cs="Times New Roman"/>
                <w:noProof/>
                <w:w w:val="105"/>
                <w:sz w:val="12"/>
                <w:vertAlign w:val="superscript"/>
              </w:rPr>
              <w:t>er</w:t>
            </w:r>
            <w:r>
              <w:rPr>
                <w:rFonts w:ascii="Times New Roman" w:hAnsi="Times New Roman" w:cs="Times New Roman"/>
                <w:noProof/>
                <w:w w:val="105"/>
                <w:sz w:val="12"/>
              </w:rPr>
              <w:t>, 2 et 3 de son annexe VII</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after="0" w:line="240" w:lineRule="auto"/>
              <w:jc w:val="center"/>
              <w:rPr>
                <w:rFonts w:ascii="Times New Roman" w:eastAsia="Times New Roman" w:hAnsi="Times New Roman" w:cs="Times New Roman"/>
                <w:i/>
                <w:noProof/>
                <w:sz w:val="12"/>
                <w:szCs w:val="12"/>
              </w:rPr>
            </w:pPr>
          </w:p>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713"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799"/>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before="88" w:after="0" w:line="240" w:lineRule="auto"/>
              <w:jc w:val="center"/>
              <w:rPr>
                <w:rFonts w:ascii="Times New Roman" w:eastAsia="Times New Roman" w:hAnsi="Times New Roman" w:cs="Times New Roman"/>
                <w:noProof/>
                <w:sz w:val="12"/>
                <w:szCs w:val="12"/>
                <w:lang w:val="da-DK"/>
              </w:rPr>
            </w:pPr>
            <w:r>
              <w:rPr>
                <w:rFonts w:ascii="Times New Roman" w:hAnsi="Times New Roman" w:cs="Times New Roman"/>
                <w:b/>
                <w:noProof/>
                <w:w w:val="105"/>
                <w:sz w:val="12"/>
                <w:lang w:val="da-DK"/>
              </w:rPr>
              <w:t>67 - 68 +</w:t>
            </w:r>
          </w:p>
          <w:p>
            <w:pPr>
              <w:widowControl w:val="0"/>
              <w:spacing w:before="18" w:after="0" w:line="271" w:lineRule="auto"/>
              <w:ind w:right="45"/>
              <w:jc w:val="center"/>
              <w:rPr>
                <w:rFonts w:ascii="Times New Roman" w:eastAsia="Times New Roman" w:hAnsi="Times New Roman" w:cs="Times New Roman"/>
                <w:noProof/>
                <w:sz w:val="12"/>
                <w:szCs w:val="12"/>
                <w:lang w:val="da-DK"/>
              </w:rPr>
            </w:pPr>
            <w:r>
              <w:rPr>
                <w:rFonts w:ascii="Times New Roman" w:hAnsi="Times New Roman" w:cs="Times New Roman"/>
                <w:b/>
                <w:noProof/>
                <w:spacing w:val="-2"/>
                <w:w w:val="105"/>
                <w:sz w:val="12"/>
                <w:lang w:val="da-DK"/>
              </w:rPr>
              <w:t>annexe VII [art. 1</w:t>
            </w:r>
            <w:r>
              <w:rPr>
                <w:rFonts w:ascii="Times New Roman" w:hAnsi="Times New Roman" w:cs="Times New Roman"/>
                <w:b/>
                <w:noProof/>
                <w:spacing w:val="-2"/>
                <w:w w:val="105"/>
                <w:sz w:val="12"/>
                <w:vertAlign w:val="superscript"/>
                <w:lang w:val="da-DK"/>
              </w:rPr>
              <w:t>er</w:t>
            </w:r>
            <w:r>
              <w:rPr>
                <w:rFonts w:ascii="Times New Roman" w:hAnsi="Times New Roman" w:cs="Times New Roman"/>
                <w:b/>
                <w:noProof/>
                <w:spacing w:val="-2"/>
                <w:w w:val="105"/>
                <w:sz w:val="12"/>
                <w:lang w:val="da-DK"/>
              </w:rPr>
              <w:t xml:space="preserve"> (2) point d)]</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23" w:after="0" w:line="250" w:lineRule="auto"/>
              <w:ind w:right="221"/>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6"/>
              </w:rPr>
              <w:t>Allocation de foyer par décision spéciale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6" w:after="0" w:line="271" w:lineRule="auto"/>
              <w:ind w:right="270"/>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Conseil portant adoption des dispositions générales d'exécution concernant l'allocation de foyer par décision spéciale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713"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679"/>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i/>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 2 (4)]</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i/>
                <w:noProof/>
                <w:sz w:val="21"/>
                <w:szCs w:val="21"/>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Personnes assimilées à un enfant à charge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i/>
                <w:noProof/>
                <w:sz w:val="16"/>
                <w:szCs w:val="16"/>
              </w:rPr>
            </w:pPr>
          </w:p>
          <w:p>
            <w:pPr>
              <w:widowControl w:val="0"/>
              <w:spacing w:after="0" w:line="271" w:lineRule="auto"/>
              <w:ind w:right="27"/>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en matière de personne assimilée à l'enfant à charge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4" w:after="0" w:line="240" w:lineRule="auto"/>
              <w:jc w:val="center"/>
              <w:rPr>
                <w:rFonts w:ascii="Times New Roman" w:eastAsia="Times New Roman" w:hAnsi="Times New Roman" w:cs="Times New Roman"/>
                <w:i/>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713"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8"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629"/>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before="88"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 3)</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i/>
                <w:noProof/>
                <w:sz w:val="19"/>
                <w:szCs w:val="19"/>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Allocation scolaire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 w:after="0" w:line="240" w:lineRule="auto"/>
              <w:jc w:val="center"/>
              <w:rPr>
                <w:rFonts w:ascii="Times New Roman" w:eastAsia="Times New Roman" w:hAnsi="Times New Roman" w:cs="Times New Roman"/>
                <w:i/>
                <w:noProof/>
                <w:sz w:val="14"/>
                <w:szCs w:val="14"/>
              </w:rPr>
            </w:pPr>
          </w:p>
          <w:p>
            <w:pPr>
              <w:widowControl w:val="0"/>
              <w:spacing w:after="0" w:line="271" w:lineRule="auto"/>
              <w:ind w:right="269"/>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à l’octroi de l’allocation scolaire (13/2014)</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9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3 - Remboursement de frais</w:t>
            </w:r>
          </w:p>
        </w:tc>
      </w:tr>
      <w:tr>
        <w:trPr>
          <w:trHeight w:hRule="exact" w:val="564"/>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before="55" w:after="0" w:line="271" w:lineRule="auto"/>
              <w:ind w:right="72"/>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71 + annexe VII (art. 7 - 8)</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i/>
                <w:noProof/>
                <w:sz w:val="15"/>
                <w:szCs w:val="15"/>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Frais de voyage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 w:after="0" w:line="240" w:lineRule="auto"/>
              <w:jc w:val="center"/>
              <w:rPr>
                <w:rFonts w:ascii="Times New Roman" w:eastAsia="Times New Roman" w:hAnsi="Times New Roman" w:cs="Times New Roman"/>
                <w:i/>
                <w:noProof/>
                <w:sz w:val="11"/>
                <w:szCs w:val="11"/>
              </w:rPr>
            </w:pPr>
          </w:p>
          <w:p>
            <w:pPr>
              <w:widowControl w:val="0"/>
              <w:spacing w:after="0" w:line="271" w:lineRule="auto"/>
              <w:ind w:right="27"/>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aux frais de voyage du lieu d’affectation au lieu d’origine (12/2014)</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7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16"/>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i/>
                <w:noProof/>
                <w:sz w:val="9"/>
                <w:szCs w:val="9"/>
              </w:rPr>
            </w:pPr>
          </w:p>
          <w:p>
            <w:pPr>
              <w:widowControl w:val="0"/>
              <w:spacing w:after="0" w:line="271" w:lineRule="auto"/>
              <w:ind w:right="85"/>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71 + annexe VII (art. 8)</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i/>
                <w:noProof/>
                <w:sz w:val="13"/>
                <w:szCs w:val="13"/>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Lieu d’origine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7" w:after="0" w:line="271" w:lineRule="auto"/>
              <w:ind w:right="29"/>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concernant la fixation du lieu d'origine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3" w:after="0" w:line="240" w:lineRule="auto"/>
              <w:jc w:val="center"/>
              <w:rPr>
                <w:rFonts w:ascii="Times New Roman" w:eastAsia="Times New Roman" w:hAnsi="Times New Roman" w:cs="Times New Roman"/>
                <w:i/>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389"/>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before="47" w:after="0" w:line="271" w:lineRule="auto"/>
              <w:ind w:right="85"/>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71 + annexe VII (art. 9)</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4"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Frais de déménagement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5" w:after="0" w:line="271" w:lineRule="auto"/>
              <w:ind w:right="202"/>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 remboursement des frais de déménagement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47"/>
        </w:trPr>
        <w:tc>
          <w:tcPr>
            <w:tcW w:w="780" w:type="dxa"/>
            <w:vMerge w:val="restart"/>
            <w:tcBorders>
              <w:top w:val="single" w:sz="3" w:space="0" w:color="000000"/>
              <w:left w:val="single" w:sz="5"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i/>
                <w:noProof/>
                <w:sz w:val="17"/>
                <w:szCs w:val="17"/>
              </w:rPr>
            </w:pPr>
          </w:p>
          <w:p>
            <w:pPr>
              <w:widowControl w:val="0"/>
              <w:spacing w:after="0" w:line="271" w:lineRule="auto"/>
              <w:ind w:right="38"/>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 xml:space="preserve">71 + annexe VII (art. 11 - 13 </w:t>
            </w:r>
            <w:r>
              <w:rPr>
                <w:rFonts w:ascii="Times New Roman" w:hAnsi="Times New Roman" w:cs="Times New Roman"/>
                <w:b/>
                <w:i/>
                <w:noProof/>
                <w:spacing w:val="-1"/>
                <w:w w:val="105"/>
                <w:sz w:val="12"/>
              </w:rPr>
              <w:t>bis</w:t>
            </w:r>
            <w:r>
              <w:rPr>
                <w:rFonts w:ascii="Times New Roman" w:hAnsi="Times New Roman" w:cs="Times New Roman"/>
                <w:b/>
                <w:noProof/>
                <w:spacing w:val="-1"/>
                <w:w w:val="105"/>
                <w:sz w:val="12"/>
              </w:rPr>
              <w:t>)</w:t>
            </w:r>
          </w:p>
        </w:tc>
        <w:tc>
          <w:tcPr>
            <w:tcW w:w="2722"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6"/>
                <w:szCs w:val="16"/>
              </w:rPr>
            </w:pPr>
          </w:p>
          <w:p>
            <w:pPr>
              <w:widowControl w:val="0"/>
              <w:spacing w:before="143"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Frais de mission et de déplacement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6" w:after="0" w:line="271" w:lineRule="auto"/>
              <w:ind w:right="17"/>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portant adoption du guide des missions pour les fonctionnaires et autres agents, communication au personnel 128/08</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i/>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24.7.2008</w:t>
            </w:r>
          </w:p>
        </w:tc>
        <w:tc>
          <w:tcPr>
            <w:tcW w:w="1713"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i/>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1.1.2016</w:t>
            </w:r>
          </w:p>
        </w:tc>
        <w:tc>
          <w:tcPr>
            <w:tcW w:w="953" w:type="dxa"/>
            <w:vMerge w:val="restart"/>
            <w:tcBorders>
              <w:top w:val="single" w:sz="3"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3"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87"/>
        </w:trPr>
        <w:tc>
          <w:tcPr>
            <w:tcW w:w="780" w:type="dxa"/>
            <w:vMerge/>
            <w:tcBorders>
              <w:left w:val="single" w:sz="5"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5" w:after="0" w:line="271" w:lineRule="auto"/>
              <w:ind w:right="17"/>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portant adoption du guide des missions pour les fonctionnaires et autres agents, 57/15</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1.1.2016</w:t>
            </w:r>
          </w:p>
        </w:tc>
        <w:tc>
          <w:tcPr>
            <w:tcW w:w="1713"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vMerge/>
            <w:tcBorders>
              <w:left w:val="single" w:sz="3" w:space="0" w:color="000000"/>
              <w:bottom w:val="single" w:sz="3" w:space="0" w:color="000000"/>
              <w:right w:val="single" w:sz="5" w:space="0" w:color="000000"/>
            </w:tcBorders>
            <w:shd w:val="clear" w:color="auto" w:fill="FFFF65"/>
          </w:tcPr>
          <w:p>
            <w:pPr>
              <w:jc w:val="center"/>
              <w:rPr>
                <w:rFonts w:ascii="Times New Roman" w:hAnsi="Times New Roman" w:cs="Times New Roman"/>
                <w:noProof/>
              </w:rPr>
            </w:pP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annexe VIII - Pensions et allocation d’invalidité</w:t>
            </w:r>
          </w:p>
        </w:tc>
      </w:tr>
      <w:tr>
        <w:trPr>
          <w:trHeight w:hRule="exact" w:val="554"/>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before="50" w:after="0" w:line="271" w:lineRule="auto"/>
              <w:ind w:right="-5"/>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77 + annexe VIII (art. 11 - 12)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i/>
                <w:noProof/>
                <w:sz w:val="15"/>
                <w:szCs w:val="15"/>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Transfert des droits à pension</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 w:after="0" w:line="240" w:lineRule="auto"/>
              <w:jc w:val="center"/>
              <w:rPr>
                <w:rFonts w:ascii="Times New Roman" w:eastAsia="Times New Roman" w:hAnsi="Times New Roman" w:cs="Times New Roman"/>
                <w:i/>
                <w:noProof/>
                <w:sz w:val="10"/>
                <w:szCs w:val="10"/>
              </w:rPr>
            </w:pPr>
          </w:p>
          <w:p>
            <w:pPr>
              <w:widowControl w:val="0"/>
              <w:spacing w:after="0" w:line="271" w:lineRule="auto"/>
              <w:ind w:right="121"/>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des articles 11 et 12 de l'annexe VIII relatifs au transfert de droits à pension</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i/>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11.10.2011</w:t>
            </w:r>
          </w:p>
        </w:tc>
        <w:tc>
          <w:tcPr>
            <w:tcW w:w="1713"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before="1" w:after="0" w:line="240" w:lineRule="auto"/>
              <w:jc w:val="center"/>
              <w:rPr>
                <w:rFonts w:ascii="Times New Roman" w:eastAsia="Times New Roman" w:hAnsi="Times New Roman" w:cs="Times New Roman"/>
                <w:i/>
                <w:noProof/>
                <w:sz w:val="16"/>
                <w:szCs w:val="16"/>
              </w:rPr>
            </w:pPr>
          </w:p>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DGE</w:t>
            </w:r>
          </w:p>
        </w:tc>
      </w:tr>
    </w:tbl>
    <w:p>
      <w:pPr>
        <w:jc w:val="center"/>
        <w:rPr>
          <w:rFonts w:ascii="Times New Roman" w:eastAsia="Calibri" w:hAnsi="Times New Roman" w:cs="Times New Roman"/>
          <w:noProof/>
          <w:sz w:val="14"/>
          <w:szCs w:val="14"/>
        </w:rPr>
        <w:sectPr>
          <w:headerReference w:type="even" r:id="rId45"/>
          <w:headerReference w:type="default" r:id="rId46"/>
          <w:footerReference w:type="even" r:id="rId47"/>
          <w:footerReference w:type="default" r:id="rId48"/>
          <w:headerReference w:type="first" r:id="rId49"/>
          <w:footerReference w:type="first" r:id="rId50"/>
          <w:pgSz w:w="11900" w:h="16840" w:code="9"/>
          <w:pgMar w:top="540" w:right="240" w:bottom="280" w:left="220" w:header="347" w:footer="0" w:gutter="0"/>
          <w:cols w:space="720"/>
        </w:sect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778"/>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B8CCE4"/>
          </w:tcPr>
          <w:p>
            <w:pPr>
              <w:widowControl w:val="0"/>
              <w:spacing w:before="139" w:after="0" w:line="240" w:lineRule="auto"/>
              <w:jc w:val="center"/>
              <w:rPr>
                <w:rFonts w:ascii="Times New Roman" w:eastAsia="Times New Roman" w:hAnsi="Times New Roman" w:cs="Times New Roman"/>
                <w:noProof/>
                <w:sz w:val="42"/>
                <w:szCs w:val="42"/>
              </w:rPr>
            </w:pPr>
            <w:r>
              <w:rPr>
                <w:rFonts w:ascii="Times New Roman" w:hAnsi="Times New Roman" w:cs="Times New Roman"/>
                <w:noProof/>
              </w:rPr>
              <w:t xml:space="preserve">   </w:t>
            </w:r>
            <w:r>
              <w:rPr>
                <w:rFonts w:ascii="Times New Roman" w:hAnsi="Times New Roman" w:cs="Times New Roman"/>
                <w:b/>
                <w:noProof/>
                <w:sz w:val="42"/>
              </w:rPr>
              <w:t>Régime applicable aux autres agents</w:t>
            </w:r>
          </w:p>
        </w:tc>
      </w:tr>
      <w:tr>
        <w:trPr>
          <w:trHeight w:hRule="exact" w:val="389"/>
        </w:trPr>
        <w:tc>
          <w:tcPr>
            <w:tcW w:w="780" w:type="dxa"/>
            <w:tcBorders>
              <w:top w:val="single" w:sz="5" w:space="0" w:color="000000"/>
              <w:left w:val="single" w:sz="5"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pacing w:val="-3"/>
                <w:w w:val="105"/>
                <w:sz w:val="12"/>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Entrée en vigueur</w:t>
            </w:r>
          </w:p>
        </w:tc>
        <w:tc>
          <w:tcPr>
            <w:tcW w:w="1713"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i/>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Date d’expiration</w:t>
            </w:r>
          </w:p>
        </w:tc>
        <w:tc>
          <w:tcPr>
            <w:tcW w:w="953"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II - Agents temporaires</w:t>
            </w:r>
          </w:p>
        </w:tc>
      </w:tr>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Conditions d'engagement</w:t>
            </w:r>
          </w:p>
        </w:tc>
      </w:tr>
      <w:tr>
        <w:trPr>
          <w:trHeight w:hRule="exact" w:val="684"/>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6" w:after="0" w:line="240" w:lineRule="auto"/>
              <w:jc w:val="center"/>
              <w:rPr>
                <w:rFonts w:ascii="Times New Roman" w:eastAsia="Times New Roman" w:hAnsi="Times New Roman" w:cs="Times New Roman"/>
                <w:i/>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17 + 91</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i/>
                <w:noProof/>
                <w:sz w:val="20"/>
                <w:szCs w:val="20"/>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Congé de maternité et son paiement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i/>
                <w:noProof/>
                <w:sz w:val="16"/>
                <w:szCs w:val="16"/>
              </w:rPr>
            </w:pPr>
          </w:p>
          <w:p>
            <w:pPr>
              <w:widowControl w:val="0"/>
              <w:spacing w:after="0" w:line="271" w:lineRule="auto"/>
              <w:ind w:right="41"/>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15/2014 relative au congé de maternité et à son paiement pour les femmes dont le congé de maternité débute avant la fin de leur contrat</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4" w:after="0" w:line="240" w:lineRule="auto"/>
              <w:jc w:val="center"/>
              <w:rPr>
                <w:rFonts w:ascii="Times New Roman" w:eastAsia="Times New Roman" w:hAnsi="Times New Roman" w:cs="Times New Roman"/>
                <w:i/>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4"/>
                <w:szCs w:val="14"/>
              </w:rPr>
            </w:pPr>
          </w:p>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422"/>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tcPr>
          <w:p>
            <w:pPr>
              <w:widowControl w:val="0"/>
              <w:spacing w:before="60" w:after="0" w:line="240" w:lineRule="auto"/>
              <w:ind w:right="869"/>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IV - Agents contractuels</w:t>
            </w:r>
          </w:p>
        </w:tc>
      </w:tr>
      <w:tr>
        <w:trPr>
          <w:trHeight w:hRule="exact" w:val="389"/>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ind w:right="866"/>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Dispositions générales</w:t>
            </w:r>
          </w:p>
        </w:tc>
      </w:tr>
      <w:tr>
        <w:trPr>
          <w:trHeight w:hRule="exact" w:val="684"/>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6" w:after="0" w:line="240" w:lineRule="auto"/>
              <w:jc w:val="center"/>
              <w:rPr>
                <w:rFonts w:ascii="Times New Roman" w:eastAsia="Times New Roman" w:hAnsi="Times New Roman" w:cs="Times New Roman"/>
                <w:i/>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79 (2)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i/>
                <w:noProof/>
                <w:sz w:val="21"/>
                <w:szCs w:val="21"/>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Recours aux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i/>
                <w:noProof/>
                <w:sz w:val="9"/>
                <w:szCs w:val="9"/>
              </w:rPr>
            </w:pPr>
          </w:p>
          <w:p>
            <w:pPr>
              <w:widowControl w:val="0"/>
              <w:spacing w:after="0" w:line="271" w:lineRule="auto"/>
              <w:ind w:right="41"/>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7/14 portant adoption des dispositions générales d'exécution relatives aux procédures régissant l'engagement et l'emploi des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4" w:after="0" w:line="240" w:lineRule="auto"/>
              <w:jc w:val="center"/>
              <w:rPr>
                <w:rFonts w:ascii="Times New Roman" w:eastAsia="Times New Roman" w:hAnsi="Times New Roman" w:cs="Times New Roman"/>
                <w:i/>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4"/>
                <w:szCs w:val="14"/>
              </w:rPr>
            </w:pPr>
          </w:p>
          <w:p>
            <w:pPr>
              <w:widowControl w:val="0"/>
              <w:spacing w:after="0" w:line="240" w:lineRule="auto"/>
              <w:jc w:val="center"/>
              <w:rPr>
                <w:rFonts w:ascii="Times New Roman" w:eastAsia="Calibri" w:hAnsi="Times New Roman" w:cs="Times New Roman"/>
                <w:noProof/>
                <w:sz w:val="14"/>
                <w:szCs w:val="14"/>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497"/>
        </w:trPr>
        <w:tc>
          <w:tcPr>
            <w:tcW w:w="10807" w:type="dxa"/>
            <w:gridSpan w:val="6"/>
            <w:tcBorders>
              <w:top w:val="single" w:sz="5" w:space="0" w:color="000000"/>
              <w:left w:val="single" w:sz="5" w:space="0" w:color="000000"/>
              <w:bottom w:val="single" w:sz="5" w:space="0" w:color="000000"/>
              <w:right w:val="single" w:sz="5" w:space="0" w:color="000000"/>
            </w:tcBorders>
            <w:shd w:val="clear" w:color="auto" w:fill="DCE6F1"/>
          </w:tcPr>
          <w:p>
            <w:pPr>
              <w:widowControl w:val="0"/>
              <w:spacing w:before="133"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Conditions d'engagement</w:t>
            </w:r>
          </w:p>
        </w:tc>
      </w:tr>
      <w:tr>
        <w:trPr>
          <w:trHeight w:hRule="exact" w:val="684"/>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6" w:after="0" w:line="240" w:lineRule="auto"/>
              <w:jc w:val="center"/>
              <w:rPr>
                <w:rFonts w:ascii="Times New Roman" w:eastAsia="Times New Roman" w:hAnsi="Times New Roman" w:cs="Times New Roman"/>
                <w:i/>
                <w:noProof/>
                <w:sz w:val="11"/>
                <w:szCs w:val="11"/>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i/>
                <w:noProof/>
                <w:sz w:val="12"/>
                <w:szCs w:val="12"/>
              </w:rPr>
            </w:pPr>
          </w:p>
          <w:p>
            <w:pPr>
              <w:widowControl w:val="0"/>
              <w:spacing w:after="0" w:line="250" w:lineRule="auto"/>
              <w:ind w:right="354"/>
              <w:jc w:val="center"/>
              <w:rPr>
                <w:rFonts w:ascii="Times New Roman" w:eastAsia="Times New Roman" w:hAnsi="Times New Roman" w:cs="Times New Roman"/>
                <w:noProof/>
                <w:sz w:val="17"/>
                <w:szCs w:val="17"/>
              </w:rPr>
            </w:pPr>
            <w:r>
              <w:rPr>
                <w:rFonts w:ascii="Times New Roman" w:hAnsi="Times New Roman" w:cs="Times New Roman"/>
                <w:b/>
                <w:noProof/>
                <w:spacing w:val="-2"/>
                <w:w w:val="105"/>
                <w:sz w:val="16"/>
              </w:rPr>
              <w:t>Procédures de recrutement des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i/>
                <w:noProof/>
                <w:sz w:val="9"/>
                <w:szCs w:val="9"/>
              </w:rPr>
            </w:pPr>
          </w:p>
          <w:p>
            <w:pPr>
              <w:widowControl w:val="0"/>
              <w:spacing w:after="0" w:line="271" w:lineRule="auto"/>
              <w:ind w:right="41"/>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7/14 portant adoption des dispositions générales d'exécution relatives aux procédures régissant l'engagement et l'emploi des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4" w:after="0" w:line="240" w:lineRule="auto"/>
              <w:jc w:val="center"/>
              <w:rPr>
                <w:rFonts w:ascii="Times New Roman" w:eastAsia="Times New Roman" w:hAnsi="Times New Roman" w:cs="Times New Roman"/>
                <w:i/>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8"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684"/>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9" w:after="0" w:line="240" w:lineRule="auto"/>
              <w:jc w:val="center"/>
              <w:rPr>
                <w:rFonts w:ascii="Times New Roman" w:eastAsia="Times New Roman" w:hAnsi="Times New Roman" w:cs="Times New Roman"/>
                <w:i/>
                <w:noProof/>
                <w:sz w:val="11"/>
                <w:szCs w:val="11"/>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86</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i/>
                <w:noProof/>
                <w:sz w:val="21"/>
                <w:szCs w:val="21"/>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Grades au 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i/>
                <w:noProof/>
                <w:sz w:val="9"/>
                <w:szCs w:val="9"/>
              </w:rPr>
            </w:pPr>
          </w:p>
          <w:p>
            <w:pPr>
              <w:widowControl w:val="0"/>
              <w:spacing w:after="0" w:line="271" w:lineRule="auto"/>
              <w:ind w:right="41"/>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7/14 portant adoption des dispositions générales d'exécution relatives aux procédures régissant l'engagement et l'emploi des agents contractuels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6" w:after="0" w:line="240" w:lineRule="auto"/>
              <w:jc w:val="center"/>
              <w:rPr>
                <w:rFonts w:ascii="Times New Roman" w:eastAsia="Times New Roman" w:hAnsi="Times New Roman" w:cs="Times New Roman"/>
                <w:i/>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713"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5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1"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713"/>
        <w:gridCol w:w="953"/>
      </w:tblGrid>
      <w:tr>
        <w:trPr>
          <w:trHeight w:hRule="exact" w:val="614"/>
        </w:trPr>
        <w:tc>
          <w:tcPr>
            <w:tcW w:w="10807" w:type="dxa"/>
            <w:gridSpan w:val="6"/>
            <w:tcBorders>
              <w:top w:val="single" w:sz="5" w:space="0" w:color="000000"/>
              <w:left w:val="single" w:sz="5" w:space="0" w:color="000000"/>
              <w:bottom w:val="single" w:sz="3" w:space="0" w:color="000000"/>
              <w:right w:val="single" w:sz="5" w:space="0" w:color="000000"/>
            </w:tcBorders>
            <w:shd w:val="clear" w:color="auto" w:fill="DCE6F1"/>
          </w:tcPr>
          <w:p>
            <w:pPr>
              <w:widowControl w:val="0"/>
              <w:spacing w:before="156"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 xml:space="preserve">Chapitre 4 - Dispositions particulières applicables aux agents contractuels visés à l'article 3 </w:t>
            </w:r>
            <w:r>
              <w:rPr>
                <w:rFonts w:ascii="Times New Roman" w:hAnsi="Times New Roman" w:cs="Times New Roman"/>
                <w:b/>
                <w:i/>
                <w:noProof/>
                <w:spacing w:val="-1"/>
                <w:sz w:val="25"/>
              </w:rPr>
              <w:t>bis</w:t>
            </w:r>
          </w:p>
        </w:tc>
      </w:tr>
      <w:tr>
        <w:trPr>
          <w:trHeight w:hRule="exact" w:val="358"/>
        </w:trPr>
        <w:tc>
          <w:tcPr>
            <w:tcW w:w="780" w:type="dxa"/>
            <w:vMerge w:val="restart"/>
            <w:tcBorders>
              <w:top w:val="single" w:sz="3" w:space="0" w:color="000000"/>
              <w:left w:val="single" w:sz="5"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after="0" w:line="240" w:lineRule="auto"/>
              <w:jc w:val="center"/>
              <w:rPr>
                <w:rFonts w:ascii="Times New Roman" w:eastAsia="Times New Roman" w:hAnsi="Times New Roman" w:cs="Times New Roman"/>
                <w:i/>
                <w:noProof/>
                <w:sz w:val="12"/>
                <w:szCs w:val="12"/>
              </w:rPr>
            </w:pPr>
          </w:p>
          <w:p>
            <w:pPr>
              <w:widowControl w:val="0"/>
              <w:spacing w:before="9" w:after="0" w:line="240" w:lineRule="auto"/>
              <w:jc w:val="center"/>
              <w:rPr>
                <w:rFonts w:ascii="Times New Roman" w:eastAsia="Times New Roman" w:hAnsi="Times New Roman" w:cs="Times New Roman"/>
                <w:i/>
                <w:noProof/>
                <w:sz w:val="14"/>
                <w:szCs w:val="14"/>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87</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6"/>
                <w:szCs w:val="16"/>
              </w:rPr>
            </w:pPr>
          </w:p>
          <w:p>
            <w:pPr>
              <w:widowControl w:val="0"/>
              <w:spacing w:before="2" w:after="0" w:line="240" w:lineRule="auto"/>
              <w:jc w:val="center"/>
              <w:rPr>
                <w:rFonts w:ascii="Times New Roman" w:eastAsia="Times New Roman" w:hAnsi="Times New Roman" w:cs="Times New Roman"/>
                <w:i/>
                <w:noProof/>
                <w:sz w:val="20"/>
                <w:szCs w:val="20"/>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Évaluation des agents contractuels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208/2008/CE relative au classement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2008</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24.10.2014</w:t>
            </w:r>
          </w:p>
        </w:tc>
        <w:tc>
          <w:tcPr>
            <w:tcW w:w="953"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10"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79"/>
        </w:trPr>
        <w:tc>
          <w:tcPr>
            <w:tcW w:w="780" w:type="dxa"/>
            <w:vMerge/>
            <w:tcBorders>
              <w:left w:val="single" w:sz="5"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i/>
                <w:noProof/>
                <w:sz w:val="16"/>
                <w:szCs w:val="16"/>
              </w:rPr>
            </w:pPr>
          </w:p>
          <w:p>
            <w:pPr>
              <w:widowControl w:val="0"/>
              <w:spacing w:after="0" w:line="271" w:lineRule="auto"/>
              <w:ind w:right="106"/>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55/2014 concernant le classement au grade immédiatement supérieur dans le même groupe de fonctions des agents contractuels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i/>
                <w:noProof/>
                <w:sz w:val="12"/>
                <w:szCs w:val="12"/>
              </w:rPr>
            </w:pPr>
          </w:p>
          <w:p>
            <w:pPr>
              <w:widowControl w:val="0"/>
              <w:spacing w:before="4" w:after="0" w:line="240" w:lineRule="auto"/>
              <w:jc w:val="center"/>
              <w:rPr>
                <w:rFonts w:ascii="Times New Roman" w:eastAsia="Times New Roman" w:hAnsi="Times New Roman" w:cs="Times New Roman"/>
                <w:i/>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24.10.2014</w:t>
            </w:r>
          </w:p>
        </w:tc>
        <w:tc>
          <w:tcPr>
            <w:tcW w:w="1713"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53" w:type="dxa"/>
            <w:vMerge/>
            <w:tcBorders>
              <w:left w:val="single" w:sz="3" w:space="0" w:color="000000"/>
              <w:bottom w:val="single" w:sz="3" w:space="0" w:color="000000"/>
              <w:right w:val="single" w:sz="5" w:space="0" w:color="000000"/>
            </w:tcBorders>
            <w:shd w:val="clear" w:color="auto" w:fill="DA9694"/>
          </w:tcPr>
          <w:p>
            <w:pPr>
              <w:jc w:val="center"/>
              <w:rPr>
                <w:rFonts w:ascii="Times New Roman" w:hAnsi="Times New Roman" w:cs="Times New Roman"/>
                <w:noProof/>
              </w:rPr>
            </w:pPr>
          </w:p>
        </w:tc>
      </w:tr>
    </w:tbl>
    <w:p>
      <w:pPr>
        <w:jc w:val="center"/>
        <w:rPr>
          <w:rFonts w:ascii="Times New Roman" w:eastAsia="Times New Roman" w:hAnsi="Times New Roman" w:cs="Times New Roman"/>
          <w:i/>
          <w:noProof/>
          <w:sz w:val="20"/>
          <w:szCs w:val="20"/>
        </w:rPr>
      </w:pPr>
    </w:p>
    <w:p>
      <w:pPr>
        <w:jc w:val="center"/>
        <w:rPr>
          <w:rFonts w:ascii="Times New Roman" w:eastAsia="Times New Roman" w:hAnsi="Times New Roman" w:cs="Times New Roman"/>
          <w:i/>
          <w:noProof/>
          <w:sz w:val="20"/>
          <w:szCs w:val="20"/>
        </w:rPr>
      </w:pPr>
    </w:p>
    <w:p>
      <w:pPr>
        <w:jc w:val="center"/>
        <w:rPr>
          <w:rFonts w:ascii="Times New Roman" w:eastAsia="Times New Roman" w:hAnsi="Times New Roman" w:cs="Times New Roman"/>
          <w:i/>
          <w:noProof/>
          <w:sz w:val="20"/>
          <w:szCs w:val="20"/>
        </w:rPr>
      </w:pPr>
    </w:p>
    <w:p>
      <w:pPr>
        <w:jc w:val="center"/>
        <w:rPr>
          <w:rFonts w:ascii="Times New Roman" w:eastAsia="Times New Roman" w:hAnsi="Times New Roman" w:cs="Times New Roman"/>
          <w:i/>
          <w:noProof/>
          <w:sz w:val="20"/>
          <w:szCs w:val="20"/>
        </w:rPr>
      </w:pPr>
    </w:p>
    <w:p>
      <w:pPr>
        <w:spacing w:before="9"/>
        <w:jc w:val="center"/>
        <w:rPr>
          <w:rFonts w:ascii="Times New Roman" w:eastAsia="Times New Roman" w:hAnsi="Times New Roman" w:cs="Times New Roman"/>
          <w:i/>
          <w:noProof/>
          <w:sz w:val="23"/>
          <w:szCs w:val="23"/>
        </w:rPr>
      </w:pPr>
    </w:p>
    <w:p>
      <w:pPr>
        <w:jc w:val="center"/>
        <w:rPr>
          <w:rFonts w:ascii="Times New Roman" w:hAnsi="Times New Roman" w:cs="Times New Roman"/>
          <w:noProof/>
        </w:rPr>
      </w:pPr>
      <w:r>
        <w:rPr>
          <w:rFonts w:ascii="Times New Roman" w:hAnsi="Times New Roman" w:cs="Times New Roman"/>
          <w:noProof/>
        </w:rPr>
        <w:br w:type="page"/>
      </w: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912"/>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C5D9F1"/>
          </w:tcPr>
          <w:p>
            <w:pPr>
              <w:widowControl w:val="0"/>
              <w:spacing w:before="163" w:after="0" w:line="240" w:lineRule="auto"/>
              <w:jc w:val="center"/>
              <w:rPr>
                <w:rFonts w:ascii="Times New Roman" w:eastAsia="Times New Roman" w:hAnsi="Times New Roman" w:cs="Times New Roman"/>
                <w:noProof/>
                <w:sz w:val="50"/>
                <w:szCs w:val="50"/>
              </w:rPr>
            </w:pPr>
            <w:r>
              <w:rPr>
                <w:rFonts w:ascii="Times New Roman" w:hAnsi="Times New Roman" w:cs="Times New Roman"/>
                <w:b/>
                <w:noProof/>
                <w:sz w:val="50"/>
              </w:rPr>
              <w:t>COMMISSION EUROPÉENNE</w:t>
            </w:r>
          </w:p>
        </w:tc>
      </w:tr>
      <w:tr>
        <w:trPr>
          <w:trHeight w:hRule="exact" w:val="850"/>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B8CCE4"/>
          </w:tcPr>
          <w:p>
            <w:pPr>
              <w:widowControl w:val="0"/>
              <w:spacing w:before="58" w:after="0" w:line="240" w:lineRule="auto"/>
              <w:ind w:right="982"/>
              <w:jc w:val="center"/>
              <w:rPr>
                <w:rFonts w:ascii="Times New Roman" w:eastAsia="Times New Roman" w:hAnsi="Times New Roman" w:cs="Times New Roman"/>
                <w:noProof/>
                <w:sz w:val="42"/>
                <w:szCs w:val="42"/>
              </w:rPr>
            </w:pPr>
            <w:r>
              <w:rPr>
                <w:rFonts w:ascii="Times New Roman" w:hAnsi="Times New Roman" w:cs="Times New Roman"/>
                <w:b/>
                <w:noProof/>
                <w:sz w:val="42"/>
              </w:rPr>
              <w:t>Statut</w:t>
            </w:r>
          </w:p>
          <w:p>
            <w:pPr>
              <w:widowControl w:val="0"/>
              <w:spacing w:before="19" w:after="0" w:line="240" w:lineRule="auto"/>
              <w:ind w:right="981"/>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(applicable par analogie aux autres agents lorsque le RAA le prévoit expressément)</w:t>
            </w:r>
          </w:p>
        </w:tc>
      </w:tr>
      <w:tr>
        <w:trPr>
          <w:trHeight w:hRule="exact" w:val="456"/>
        </w:trPr>
        <w:tc>
          <w:tcPr>
            <w:tcW w:w="780" w:type="dxa"/>
            <w:tcBorders>
              <w:top w:val="single" w:sz="5" w:space="0" w:color="000000"/>
              <w:left w:val="single" w:sz="5"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82"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19"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bl>
    <w:p>
      <w:pPr>
        <w:widowControl w:val="0"/>
        <w:spacing w:after="0" w:line="240" w:lineRule="auto"/>
        <w:jc w:val="center"/>
        <w:rPr>
          <w:rFonts w:ascii="Times New Roman" w:eastAsia="Times New Roman" w:hAnsi="Times New Roman" w:cs="Times New Roman"/>
          <w:noProof/>
          <w:sz w:val="23"/>
          <w:szCs w:val="23"/>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4"/>
      </w:tblGrid>
      <w:tr>
        <w:trPr>
          <w:trHeight w:hRule="exact" w:val="389"/>
        </w:trPr>
        <w:tc>
          <w:tcPr>
            <w:tcW w:w="10925" w:type="dxa"/>
            <w:gridSpan w:val="6"/>
            <w:tcBorders>
              <w:top w:val="single" w:sz="5" w:space="0" w:color="000000"/>
              <w:left w:val="single" w:sz="5" w:space="0" w:color="000000"/>
              <w:bottom w:val="single" w:sz="5" w:space="0" w:color="000000"/>
              <w:right w:val="single" w:sz="5"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 - Dispositions générales</w:t>
            </w:r>
          </w:p>
        </w:tc>
      </w:tr>
      <w:tr>
        <w:trPr>
          <w:trHeight w:hRule="exact" w:val="456"/>
        </w:trPr>
        <w:tc>
          <w:tcPr>
            <w:tcW w:w="780" w:type="dxa"/>
            <w:vMerge w:val="restart"/>
            <w:tcBorders>
              <w:top w:val="single" w:sz="5" w:space="0" w:color="000000"/>
              <w:left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1</w:t>
            </w:r>
            <w:r>
              <w:rPr>
                <w:rFonts w:ascii="Times New Roman" w:hAnsi="Times New Roman" w:cs="Times New Roman"/>
                <w:b/>
                <w:noProof/>
                <w:w w:val="105"/>
                <w:sz w:val="12"/>
                <w:vertAlign w:val="superscript"/>
              </w:rPr>
              <w:t>er</w:t>
            </w:r>
            <w:r>
              <w:rPr>
                <w:rFonts w:ascii="Times New Roman" w:hAnsi="Times New Roman" w:cs="Times New Roman"/>
                <w:b/>
                <w:noProof/>
                <w:w w:val="105"/>
                <w:sz w:val="12"/>
              </w:rPr>
              <w:t xml:space="preserve"> </w:t>
            </w:r>
            <w:r>
              <w:rPr>
                <w:rFonts w:ascii="Times New Roman" w:hAnsi="Times New Roman" w:cs="Times New Roman"/>
                <w:b/>
                <w:i/>
                <w:noProof/>
                <w:w w:val="105"/>
                <w:sz w:val="12"/>
              </w:rPr>
              <w:t>quinquies</w:t>
            </w:r>
            <w:r>
              <w:rPr>
                <w:rFonts w:ascii="Times New Roman" w:hAnsi="Times New Roman" w:cs="Times New Roman"/>
                <w:b/>
                <w:noProof/>
                <w:w w:val="105"/>
                <w:sz w:val="12"/>
              </w:rPr>
              <w:t xml:space="preserve"> (4)</w:t>
            </w:r>
          </w:p>
        </w:tc>
        <w:tc>
          <w:tcPr>
            <w:tcW w:w="2722" w:type="dxa"/>
            <w:vMerge w:val="restart"/>
            <w:tcBorders>
              <w:top w:val="single" w:sz="5"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4" w:after="0" w:line="240" w:lineRule="auto"/>
              <w:jc w:val="center"/>
              <w:rPr>
                <w:rFonts w:ascii="Times New Roman" w:eastAsia="Times New Roman" w:hAnsi="Times New Roman" w:cs="Times New Roman"/>
                <w:noProof/>
                <w:sz w:val="15"/>
                <w:szCs w:val="15"/>
              </w:rPr>
            </w:pPr>
          </w:p>
          <w:p>
            <w:pPr>
              <w:widowControl w:val="0"/>
              <w:spacing w:after="0" w:line="240" w:lineRule="auto"/>
              <w:ind w:right="3"/>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Handicap</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271" w:lineRule="auto"/>
              <w:ind w:right="51"/>
              <w:jc w:val="center"/>
              <w:rPr>
                <w:rFonts w:ascii="Times New Roman" w:eastAsia="Times New Roman" w:hAnsi="Times New Roman" w:cs="Times New Roman"/>
                <w:noProof/>
                <w:sz w:val="12"/>
                <w:szCs w:val="12"/>
              </w:rPr>
            </w:pPr>
            <w:r>
              <w:rPr>
                <w:rFonts w:ascii="Times New Roman" w:hAnsi="Times New Roman" w:cs="Times New Roman"/>
                <w:noProof/>
                <w:w w:val="105"/>
                <w:sz w:val="12"/>
              </w:rPr>
              <w:t>C(1998) 2765/1 - Code de bonne conduite pour l’emploi des personnes handicapées [modifié en dernier lieu par la décision C(2003) 4362 de la Commission]</w:t>
            </w:r>
          </w:p>
        </w:tc>
        <w:tc>
          <w:tcPr>
            <w:tcW w:w="1409"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before="4"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15.9.1998</w:t>
            </w:r>
          </w:p>
        </w:tc>
        <w:tc>
          <w:tcPr>
            <w:tcW w:w="1800" w:type="dxa"/>
            <w:tcBorders>
              <w:top w:val="single" w:sz="5"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75"/>
        </w:trPr>
        <w:tc>
          <w:tcPr>
            <w:tcW w:w="780" w:type="dxa"/>
            <w:vMerge/>
            <w:tcBorders>
              <w:left w:val="single" w:sz="5"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79"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C(2004) 1318 - Décision de la Commission relative à l’application de l’article 1</w:t>
            </w:r>
            <w:r>
              <w:rPr>
                <w:rFonts w:ascii="Times New Roman" w:hAnsi="Times New Roman" w:cs="Times New Roman"/>
                <w:noProof/>
                <w:w w:val="105"/>
                <w:sz w:val="12"/>
                <w:vertAlign w:val="superscript"/>
              </w:rPr>
              <w:t>er</w:t>
            </w:r>
            <w:r>
              <w:rPr>
                <w:rFonts w:ascii="Times New Roman" w:hAnsi="Times New Roman" w:cs="Times New Roman"/>
                <w:noProof/>
                <w:w w:val="105"/>
                <w:sz w:val="12"/>
              </w:rPr>
              <w:t> </w:t>
            </w:r>
            <w:r>
              <w:rPr>
                <w:rFonts w:ascii="Times New Roman" w:hAnsi="Times New Roman" w:cs="Times New Roman"/>
                <w:i/>
                <w:noProof/>
                <w:w w:val="105"/>
                <w:sz w:val="12"/>
              </w:rPr>
              <w:t>quater</w:t>
            </w:r>
            <w:r>
              <w:rPr>
                <w:rFonts w:ascii="Times New Roman" w:hAnsi="Times New Roman" w:cs="Times New Roman"/>
                <w:noProof/>
                <w:w w:val="105"/>
                <w:sz w:val="12"/>
              </w:rPr>
              <w:t>,</w:t>
            </w:r>
          </w:p>
          <w:p>
            <w:pPr>
              <w:widowControl w:val="0"/>
              <w:spacing w:before="1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paragraphe 4,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7.4.2004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56"/>
        </w:trPr>
        <w:tc>
          <w:tcPr>
            <w:tcW w:w="780" w:type="dxa"/>
            <w:tcBorders>
              <w:top w:val="single" w:sz="3" w:space="0" w:color="000000"/>
              <w:left w:val="single" w:sz="5" w:space="0" w:color="000000"/>
              <w:bottom w:val="single" w:sz="3" w:space="0" w:color="000000"/>
              <w:right w:val="single" w:sz="3" w:space="0" w:color="000000"/>
            </w:tcBorders>
            <w:shd w:val="clear" w:color="auto" w:fill="DA9694"/>
            <w:vAlign w:val="center"/>
          </w:tcPr>
          <w:p>
            <w:pPr>
              <w:widowControl w:val="0"/>
              <w:spacing w:before="9"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w:t>
            </w:r>
            <w:r>
              <w:rPr>
                <w:rFonts w:ascii="Times New Roman" w:hAnsi="Times New Roman" w:cs="Times New Roman"/>
                <w:b/>
                <w:noProof/>
                <w:spacing w:val="1"/>
                <w:w w:val="105"/>
                <w:sz w:val="12"/>
                <w:vertAlign w:val="superscript"/>
              </w:rPr>
              <w:t>er</w:t>
            </w:r>
            <w:r>
              <w:rPr>
                <w:rFonts w:ascii="Times New Roman" w:hAnsi="Times New Roman" w:cs="Times New Roman"/>
                <w:b/>
                <w:noProof/>
                <w:spacing w:val="1"/>
                <w:w w:val="105"/>
                <w:sz w:val="12"/>
              </w:rPr>
              <w:t xml:space="preserve"> </w:t>
            </w:r>
            <w:r>
              <w:rPr>
                <w:rFonts w:ascii="Times New Roman" w:hAnsi="Times New Roman" w:cs="Times New Roman"/>
                <w:b/>
                <w:i/>
                <w:noProof/>
                <w:spacing w:val="1"/>
                <w:w w:val="105"/>
                <w:sz w:val="12"/>
              </w:rPr>
              <w:t>sexies</w:t>
            </w:r>
            <w:r>
              <w:rPr>
                <w:rFonts w:ascii="Times New Roman" w:hAnsi="Times New Roman" w:cs="Times New Roman"/>
                <w:b/>
                <w:noProof/>
                <w:spacing w:val="1"/>
                <w:w w:val="105"/>
                <w:sz w:val="12"/>
              </w:rPr>
              <w:t xml:space="preserve"> (1)</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3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Mesures à caractère social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2" w:after="0" w:line="271" w:lineRule="auto"/>
              <w:ind w:right="121"/>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Décision C(2013) 4876 de la Commission du 7.8.2013 relative aux orientations concernant «l'aide à la dépendance et la surveillance d'enfant malade» </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6"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7.8.2013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98"/>
        </w:trPr>
        <w:tc>
          <w:tcPr>
            <w:tcW w:w="780" w:type="dxa"/>
            <w:vMerge w:val="restart"/>
            <w:tcBorders>
              <w:top w:val="single" w:sz="3" w:space="0" w:color="000000"/>
              <w:left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0"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w:t>
            </w:r>
            <w:r>
              <w:rPr>
                <w:rFonts w:ascii="Times New Roman" w:hAnsi="Times New Roman" w:cs="Times New Roman"/>
                <w:b/>
                <w:noProof/>
                <w:spacing w:val="1"/>
                <w:w w:val="105"/>
                <w:sz w:val="12"/>
                <w:vertAlign w:val="superscript"/>
              </w:rPr>
              <w:t>er</w:t>
            </w:r>
            <w:r>
              <w:rPr>
                <w:rFonts w:ascii="Times New Roman" w:hAnsi="Times New Roman" w:cs="Times New Roman"/>
                <w:b/>
                <w:noProof/>
                <w:spacing w:val="1"/>
                <w:w w:val="105"/>
                <w:sz w:val="12"/>
              </w:rPr>
              <w:t xml:space="preserve"> </w:t>
            </w:r>
            <w:r>
              <w:rPr>
                <w:rFonts w:ascii="Times New Roman" w:hAnsi="Times New Roman" w:cs="Times New Roman"/>
                <w:b/>
                <w:i/>
                <w:noProof/>
                <w:spacing w:val="1"/>
                <w:w w:val="105"/>
                <w:sz w:val="12"/>
              </w:rPr>
              <w:t>sexies</w:t>
            </w:r>
            <w:r>
              <w:rPr>
                <w:rFonts w:ascii="Times New Roman" w:hAnsi="Times New Roman" w:cs="Times New Roman"/>
                <w:b/>
                <w:noProof/>
                <w:spacing w:val="1"/>
                <w:w w:val="105"/>
                <w:sz w:val="12"/>
              </w:rPr>
              <w:t xml:space="preserve"> (2)</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20"/>
                <w:szCs w:val="20"/>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Santé et sécurité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71" w:lineRule="auto"/>
              <w:ind w:right="109"/>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C(2003) 1670/3 - Décision de la Commission sur la protection du personnel contre les effets du tabac dans les bâtiments de la Commission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15.7.2003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8"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84"/>
        </w:trPr>
        <w:tc>
          <w:tcPr>
            <w:tcW w:w="780" w:type="dxa"/>
            <w:vMerge/>
            <w:tcBorders>
              <w:left w:val="single" w:sz="5"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71" w:lineRule="auto"/>
              <w:ind w:right="218"/>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C(2006) 1623 - Décision de la Commission instituant une politique harmonisée en matière de santé et de sécurité au travail pour l'ensemble du personnel de la Commission.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26.4.2006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1"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1102"/>
        </w:trPr>
        <w:tc>
          <w:tcPr>
            <w:tcW w:w="780" w:type="dxa"/>
            <w:tcBorders>
              <w:top w:val="single" w:sz="3" w:space="0" w:color="000000"/>
              <w:left w:val="single" w:sz="5"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1" w:after="0" w:line="240" w:lineRule="auto"/>
              <w:jc w:val="center"/>
              <w:rPr>
                <w:rFonts w:ascii="Times New Roman" w:eastAsia="Times New Roman" w:hAnsi="Times New Roman" w:cs="Times New Roman"/>
                <w:noProof/>
                <w:sz w:val="17"/>
                <w:szCs w:val="17"/>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2</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 w:after="0" w:line="240" w:lineRule="auto"/>
              <w:jc w:val="center"/>
              <w:rPr>
                <w:rFonts w:ascii="Times New Roman" w:eastAsia="Times New Roman" w:hAnsi="Times New Roman" w:cs="Times New Roman"/>
                <w:noProof/>
                <w:sz w:val="23"/>
                <w:szCs w:val="23"/>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Pouvoirs de l'AIPN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88" w:after="0" w:line="271" w:lineRule="auto"/>
              <w:ind w:right="58"/>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C(2013) 3288 de la Commission relative à l’exercice des pouvoirs dévolus par le statut des fonctionnaires à l’autorité investie du pouvoir de nomination (AIPN) et par le régime applicable aux autres agents (RAA) à l’autorité habilitée à conclure les contrats d’engagement (AHCC) [modifiée en dernier lieu par la décision C(2016) 1881 final]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4.6.2013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722"/>
        </w:trPr>
        <w:tc>
          <w:tcPr>
            <w:tcW w:w="780" w:type="dxa"/>
            <w:vMerge w:val="restart"/>
            <w:tcBorders>
              <w:top w:val="single" w:sz="3" w:space="0" w:color="000000"/>
              <w:left w:val="single" w:sz="5"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5 + annexe I</w:t>
            </w:r>
          </w:p>
        </w:tc>
        <w:tc>
          <w:tcPr>
            <w:tcW w:w="2722" w:type="dxa"/>
            <w:vMerge w:val="restart"/>
            <w:tcBorders>
              <w:top w:val="single" w:sz="3" w:space="0" w:color="000000"/>
              <w:left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3" w:after="0" w:line="240" w:lineRule="auto"/>
              <w:jc w:val="center"/>
              <w:rPr>
                <w:rFonts w:ascii="Times New Roman" w:eastAsia="Times New Roman" w:hAnsi="Times New Roman" w:cs="Times New Roman"/>
                <w:noProof/>
                <w:sz w:val="19"/>
                <w:szCs w:val="19"/>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Emplois types et intitulés d'emploi</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3" w:after="0" w:line="271" w:lineRule="auto"/>
              <w:ind w:right="116"/>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8979 - Décision de la Commission relative aux emplois types et aux intitulés d’emploi</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3"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10"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24"/>
        </w:trPr>
        <w:tc>
          <w:tcPr>
            <w:tcW w:w="780" w:type="dxa"/>
            <w:vMerge/>
            <w:tcBorders>
              <w:left w:val="single" w:sz="5"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2722" w:type="dxa"/>
            <w:vMerge/>
            <w:tcBorders>
              <w:left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C(2004) 3623 final relative à une fonction de conseiller</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29.9.2004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7.6.2016</w:t>
            </w:r>
          </w:p>
        </w:tc>
        <w:tc>
          <w:tcPr>
            <w:tcW w:w="984" w:type="dxa"/>
            <w:vMerge w:val="restart"/>
            <w:tcBorders>
              <w:top w:val="single" w:sz="3" w:space="0" w:color="000000"/>
              <w:left w:val="single" w:sz="3" w:space="0" w:color="000000"/>
              <w:right w:val="nil"/>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0"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08"/>
        </w:trPr>
        <w:tc>
          <w:tcPr>
            <w:tcW w:w="780" w:type="dxa"/>
            <w:vMerge/>
            <w:tcBorders>
              <w:left w:val="single" w:sz="5"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C(2016) 3214 final relative à une fonction de conseiller</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5"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7.6.2016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vMerge/>
            <w:tcBorders>
              <w:left w:val="single" w:sz="3" w:space="0" w:color="000000"/>
              <w:bottom w:val="single" w:sz="3" w:space="0" w:color="000000"/>
              <w:right w:val="nil"/>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1183"/>
        </w:trPr>
        <w:tc>
          <w:tcPr>
            <w:tcW w:w="780" w:type="dxa"/>
            <w:tcBorders>
              <w:top w:val="single" w:sz="3" w:space="0" w:color="000000"/>
              <w:left w:val="single" w:sz="5"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0" w:after="0" w:line="271" w:lineRule="auto"/>
              <w:ind w:right="43"/>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5 + annexe I et annexe XIII (articles 30 - 31)</w:t>
            </w:r>
          </w:p>
        </w:tc>
        <w:tc>
          <w:tcPr>
            <w:tcW w:w="2722"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before="27" w:after="0" w:line="255" w:lineRule="auto"/>
              <w:ind w:right="118"/>
              <w:jc w:val="center"/>
              <w:rPr>
                <w:rFonts w:ascii="Times New Roman" w:eastAsia="Times New Roman" w:hAnsi="Times New Roman" w:cs="Times New Roman"/>
                <w:noProof/>
                <w:sz w:val="17"/>
                <w:szCs w:val="17"/>
              </w:rPr>
            </w:pPr>
            <w:r>
              <w:rPr>
                <w:rFonts w:ascii="Times New Roman" w:hAnsi="Times New Roman" w:cs="Times New Roman"/>
                <w:b/>
                <w:noProof/>
                <w:spacing w:val="-2"/>
                <w:w w:val="105"/>
                <w:sz w:val="16"/>
              </w:rPr>
              <w:t>Classement des fonctionnaires investis de responsabilités particulières en tant que «chef d'unité ou équivalent» ou «conseiller ou équivalent» avant le 31 décembre 2015</w:t>
            </w:r>
          </w:p>
        </w:tc>
        <w:tc>
          <w:tcPr>
            <w:tcW w:w="3230"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95" w:after="0" w:line="271" w:lineRule="auto"/>
              <w:ind w:right="116"/>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8979 - Décision de la Commission relative aux emplois types et aux intitulés d’emploi</w:t>
            </w:r>
          </w:p>
        </w:tc>
        <w:tc>
          <w:tcPr>
            <w:tcW w:w="1409" w:type="dxa"/>
            <w:tcBorders>
              <w:top w:val="single" w:sz="3" w:space="0" w:color="000000"/>
              <w:left w:val="single" w:sz="3" w:space="0" w:color="000000"/>
              <w:bottom w:val="single" w:sz="3"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vAlign w:val="center"/>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7"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408"/>
        </w:trPr>
        <w:tc>
          <w:tcPr>
            <w:tcW w:w="780" w:type="dxa"/>
            <w:vMerge w:val="restart"/>
            <w:tcBorders>
              <w:top w:val="single" w:sz="3" w:space="0" w:color="000000"/>
              <w:left w:val="single" w:sz="5"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1" w:after="0" w:line="240" w:lineRule="auto"/>
              <w:jc w:val="center"/>
              <w:rPr>
                <w:rFonts w:ascii="Times New Roman" w:eastAsia="Times New Roman" w:hAnsi="Times New Roman" w:cs="Times New Roman"/>
                <w:noProof/>
                <w:sz w:val="12"/>
                <w:szCs w:val="12"/>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7</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4"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Transfert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5" w:after="0" w:line="271" w:lineRule="auto"/>
              <w:ind w:right="16"/>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C(2008) 3983 - Décision de la Commission établissant les règles de rotation des fonctionnaires dans les représentations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31.7.2008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86"/>
        </w:trPr>
        <w:tc>
          <w:tcPr>
            <w:tcW w:w="780" w:type="dxa"/>
            <w:vMerge/>
            <w:tcBorders>
              <w:left w:val="single" w:sz="5"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2"/>
                <w:szCs w:val="12"/>
              </w:rPr>
            </w:pPr>
          </w:p>
          <w:p>
            <w:pPr>
              <w:widowControl w:val="0"/>
              <w:spacing w:after="0" w:line="271" w:lineRule="auto"/>
              <w:ind w:right="19"/>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C(2009) 7839 final relative aux modalités de mise en œuvre de l’occupation par intérim de postes d’encadrement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19.10.2009</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86"/>
        </w:trPr>
        <w:tc>
          <w:tcPr>
            <w:tcW w:w="780" w:type="dxa"/>
            <w:vMerge w:val="restart"/>
            <w:tcBorders>
              <w:top w:val="single" w:sz="3" w:space="0" w:color="000000"/>
              <w:left w:val="single" w:sz="5"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 w:after="0" w:line="240" w:lineRule="auto"/>
              <w:jc w:val="center"/>
              <w:rPr>
                <w:rFonts w:ascii="Times New Roman" w:eastAsia="Times New Roman" w:hAnsi="Times New Roman" w:cs="Times New Roman"/>
                <w:noProof/>
                <w:sz w:val="10"/>
                <w:szCs w:val="10"/>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9</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4" w:after="0" w:line="240" w:lineRule="auto"/>
              <w:jc w:val="center"/>
              <w:rPr>
                <w:rFonts w:ascii="Times New Roman" w:eastAsia="Times New Roman" w:hAnsi="Times New Roman" w:cs="Times New Roman"/>
                <w:noProof/>
                <w:sz w:val="20"/>
                <w:szCs w:val="20"/>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Comités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2"/>
                <w:szCs w:val="12"/>
              </w:rPr>
            </w:pPr>
          </w:p>
          <w:p>
            <w:pPr>
              <w:widowControl w:val="0"/>
              <w:spacing w:after="0" w:line="271" w:lineRule="auto"/>
              <w:ind w:right="32"/>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Règles portant composition et fonctionnement du comité du personnel du 22.10.1997</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22.10.1997</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707"/>
        </w:trPr>
        <w:tc>
          <w:tcPr>
            <w:tcW w:w="780" w:type="dxa"/>
            <w:vMerge/>
            <w:tcBorders>
              <w:left w:val="single" w:sz="5"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2"/>
                <w:szCs w:val="12"/>
              </w:rPr>
            </w:pPr>
          </w:p>
          <w:p>
            <w:pPr>
              <w:widowControl w:val="0"/>
              <w:spacing w:after="0" w:line="271" w:lineRule="auto"/>
              <w:ind w:right="92"/>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C(2011) 3588 final relative aux ressources humaines et financières allouées au Comité du personnel de la Commission européenne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27.5.2011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719"/>
        </w:trPr>
        <w:tc>
          <w:tcPr>
            <w:tcW w:w="780" w:type="dxa"/>
            <w:vMerge/>
            <w:tcBorders>
              <w:left w:val="single" w:sz="5" w:space="0" w:color="000000"/>
              <w:bottom w:val="single" w:sz="6"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6"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6"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2"/>
                <w:szCs w:val="12"/>
              </w:rPr>
            </w:pPr>
          </w:p>
          <w:p>
            <w:pPr>
              <w:widowControl w:val="0"/>
              <w:spacing w:after="0" w:line="271" w:lineRule="auto"/>
              <w:ind w:right="342"/>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C(2005) 2665 relative à l'amélioration du dialogue social à la Commission à travers les commissions et comités paritaires</w:t>
            </w:r>
          </w:p>
        </w:tc>
        <w:tc>
          <w:tcPr>
            <w:tcW w:w="1409" w:type="dxa"/>
            <w:tcBorders>
              <w:top w:val="single" w:sz="3" w:space="0" w:color="000000"/>
              <w:left w:val="single" w:sz="3" w:space="0" w:color="000000"/>
              <w:bottom w:val="single" w:sz="6"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14.3.2005</w:t>
            </w:r>
          </w:p>
        </w:tc>
        <w:tc>
          <w:tcPr>
            <w:tcW w:w="1800" w:type="dxa"/>
            <w:tcBorders>
              <w:top w:val="single" w:sz="3" w:space="0" w:color="000000"/>
              <w:left w:val="single" w:sz="3" w:space="0" w:color="000000"/>
              <w:bottom w:val="single" w:sz="6"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6"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27"/>
        </w:trPr>
        <w:tc>
          <w:tcPr>
            <w:tcW w:w="10925" w:type="dxa"/>
            <w:gridSpan w:val="6"/>
            <w:tcBorders>
              <w:top w:val="single" w:sz="6" w:space="0" w:color="000000"/>
            </w:tcBorders>
            <w:shd w:val="clear" w:color="auto" w:fill="auto"/>
          </w:tcPr>
          <w:p>
            <w:pPr>
              <w:widowControl w:val="0"/>
              <w:spacing w:before="63" w:after="0" w:line="240" w:lineRule="auto"/>
              <w:jc w:val="center"/>
              <w:rPr>
                <w:rFonts w:ascii="Times New Roman" w:hAnsi="Times New Roman" w:cs="Times New Roman"/>
                <w:b/>
                <w:noProof/>
                <w:spacing w:val="-1"/>
                <w:sz w:val="25"/>
              </w:rPr>
            </w:pPr>
          </w:p>
          <w:p>
            <w:pPr>
              <w:widowControl w:val="0"/>
              <w:spacing w:before="63" w:after="0" w:line="240" w:lineRule="auto"/>
              <w:jc w:val="center"/>
              <w:rPr>
                <w:rFonts w:ascii="Times New Roman" w:hAnsi="Times New Roman" w:cs="Times New Roman"/>
                <w:b/>
                <w:noProof/>
                <w:spacing w:val="-1"/>
                <w:sz w:val="25"/>
              </w:rPr>
            </w:pPr>
          </w:p>
          <w:p>
            <w:pPr>
              <w:widowControl w:val="0"/>
              <w:spacing w:before="63" w:after="0" w:line="240" w:lineRule="auto"/>
              <w:jc w:val="center"/>
              <w:rPr>
                <w:rFonts w:ascii="Times New Roman" w:hAnsi="Times New Roman" w:cs="Times New Roman"/>
                <w:b/>
                <w:noProof/>
                <w:spacing w:val="-1"/>
                <w:sz w:val="25"/>
              </w:rPr>
            </w:pPr>
          </w:p>
          <w:p>
            <w:pPr>
              <w:widowControl w:val="0"/>
              <w:spacing w:before="63" w:after="0" w:line="240" w:lineRule="auto"/>
              <w:jc w:val="center"/>
              <w:rPr>
                <w:rFonts w:ascii="Times New Roman" w:hAnsi="Times New Roman" w:cs="Times New Roman"/>
                <w:b/>
                <w:noProof/>
                <w:spacing w:val="-1"/>
                <w:sz w:val="25"/>
              </w:rPr>
            </w:pPr>
          </w:p>
          <w:p>
            <w:pPr>
              <w:widowControl w:val="0"/>
              <w:spacing w:before="63" w:after="0" w:line="240" w:lineRule="auto"/>
              <w:jc w:val="center"/>
              <w:rPr>
                <w:rFonts w:ascii="Times New Roman" w:hAnsi="Times New Roman" w:cs="Times New Roman"/>
                <w:b/>
                <w:noProof/>
                <w:spacing w:val="-1"/>
                <w:sz w:val="25"/>
              </w:rPr>
            </w:pPr>
          </w:p>
          <w:p>
            <w:pPr>
              <w:widowControl w:val="0"/>
              <w:spacing w:before="63" w:after="0" w:line="240" w:lineRule="auto"/>
              <w:jc w:val="center"/>
              <w:rPr>
                <w:rFonts w:ascii="Times New Roman" w:hAnsi="Times New Roman" w:cs="Times New Roman"/>
                <w:b/>
                <w:noProof/>
                <w:spacing w:val="-1"/>
                <w:sz w:val="25"/>
              </w:rPr>
            </w:pPr>
          </w:p>
          <w:p>
            <w:pPr>
              <w:widowControl w:val="0"/>
              <w:spacing w:before="63" w:after="0" w:line="240" w:lineRule="auto"/>
              <w:jc w:val="center"/>
              <w:rPr>
                <w:rFonts w:ascii="Times New Roman" w:hAnsi="Times New Roman" w:cs="Times New Roman"/>
                <w:b/>
                <w:noProof/>
                <w:spacing w:val="-1"/>
                <w:sz w:val="25"/>
              </w:rPr>
            </w:pPr>
          </w:p>
          <w:p>
            <w:pPr>
              <w:widowControl w:val="0"/>
              <w:spacing w:before="63" w:after="0" w:line="240" w:lineRule="auto"/>
              <w:jc w:val="center"/>
              <w:rPr>
                <w:rFonts w:ascii="Times New Roman" w:hAnsi="Times New Roman" w:cs="Times New Roman"/>
                <w:b/>
                <w:noProof/>
                <w:spacing w:val="-1"/>
                <w:sz w:val="25"/>
              </w:rPr>
            </w:pPr>
          </w:p>
          <w:p>
            <w:pPr>
              <w:widowControl w:val="0"/>
              <w:spacing w:before="63" w:after="0" w:line="240" w:lineRule="auto"/>
              <w:jc w:val="center"/>
              <w:rPr>
                <w:rFonts w:ascii="Times New Roman" w:hAnsi="Times New Roman" w:cs="Times New Roman"/>
                <w:b/>
                <w:noProof/>
                <w:spacing w:val="-1"/>
                <w:sz w:val="25"/>
              </w:rPr>
            </w:pPr>
            <w:r>
              <w:rPr>
                <w:rFonts w:ascii="Times New Roman" w:hAnsi="Times New Roman" w:cs="Times New Roman"/>
                <w:b/>
                <w:noProof/>
                <w:spacing w:val="-1"/>
                <w:sz w:val="25"/>
              </w:rPr>
              <w:br/>
            </w:r>
          </w:p>
        </w:tc>
      </w:tr>
    </w:tbl>
    <w:p>
      <w:pPr>
        <w:jc w:val="center"/>
        <w:rPr>
          <w:rFonts w:ascii="Times New Roman" w:hAnsi="Times New Roman" w:cs="Times New Roman"/>
          <w:noProof/>
        </w:rPr>
      </w:pPr>
      <w:r>
        <w:rPr>
          <w:rFonts w:ascii="Times New Roman" w:hAnsi="Times New Roman" w:cs="Times New Roman"/>
          <w:noProof/>
        </w:rPr>
        <w:br w:type="page"/>
      </w: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456"/>
        </w:trPr>
        <w:tc>
          <w:tcPr>
            <w:tcW w:w="78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82"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19"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4"/>
      </w:tblGrid>
      <w:tr>
        <w:trPr>
          <w:trHeight w:hRule="exact" w:val="427"/>
        </w:trPr>
        <w:tc>
          <w:tcPr>
            <w:tcW w:w="10925" w:type="dxa"/>
            <w:gridSpan w:val="6"/>
            <w:tcBorders>
              <w:top w:val="single" w:sz="6" w:space="0" w:color="000000"/>
              <w:left w:val="single" w:sz="5" w:space="0" w:color="000000"/>
              <w:bottom w:val="single" w:sz="5" w:space="0" w:color="000000"/>
              <w:right w:val="single" w:sz="7" w:space="0" w:color="000000"/>
            </w:tcBorders>
            <w:shd w:val="clear" w:color="auto" w:fill="DCE6F1"/>
          </w:tcPr>
          <w:p>
            <w:pPr>
              <w:widowControl w:val="0"/>
              <w:spacing w:before="63"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II - Droits et obligations du fonctionnaire</w:t>
            </w:r>
          </w:p>
        </w:tc>
      </w:tr>
      <w:tr>
        <w:trPr>
          <w:cantSplit/>
          <w:trHeight w:hRule="exact" w:val="655"/>
        </w:trPr>
        <w:tc>
          <w:tcPr>
            <w:tcW w:w="780" w:type="dxa"/>
            <w:vMerge w:val="restart"/>
            <w:tcBorders>
              <w:top w:val="single" w:sz="5" w:space="0" w:color="000000"/>
              <w:left w:val="single" w:sz="5"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11 - 21</w:t>
            </w:r>
          </w:p>
        </w:tc>
        <w:tc>
          <w:tcPr>
            <w:tcW w:w="2722" w:type="dxa"/>
            <w:vMerge w:val="restart"/>
            <w:tcBorders>
              <w:top w:val="single" w:sz="6" w:space="0" w:color="000000"/>
              <w:left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5"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Éthique et intégrité</w:t>
            </w:r>
          </w:p>
        </w:tc>
        <w:tc>
          <w:tcPr>
            <w:tcW w:w="3230" w:type="dxa"/>
            <w:tcBorders>
              <w:top w:val="single" w:sz="6" w:space="0" w:color="000000"/>
              <w:left w:val="single" w:sz="4" w:space="0" w:color="000000"/>
              <w:bottom w:val="single" w:sz="3" w:space="0" w:color="000000"/>
              <w:right w:val="single" w:sz="4" w:space="0" w:color="000000"/>
            </w:tcBorders>
            <w:shd w:val="clear" w:color="auto" w:fill="DA9694"/>
          </w:tcPr>
          <w:p>
            <w:pPr>
              <w:widowControl w:val="0"/>
              <w:spacing w:before="3" w:after="0" w:line="240" w:lineRule="auto"/>
              <w:jc w:val="center"/>
              <w:rPr>
                <w:rFonts w:ascii="Times New Roman" w:eastAsia="Times New Roman" w:hAnsi="Times New Roman" w:cs="Times New Roman"/>
                <w:noProof/>
                <w:sz w:val="12"/>
                <w:szCs w:val="12"/>
              </w:rPr>
            </w:pPr>
          </w:p>
          <w:p>
            <w:pPr>
              <w:widowControl w:val="0"/>
              <w:spacing w:after="0" w:line="271" w:lineRule="auto"/>
              <w:ind w:right="112"/>
              <w:jc w:val="center"/>
              <w:rPr>
                <w:rFonts w:ascii="Times New Roman" w:eastAsia="Times New Roman" w:hAnsi="Times New Roman" w:cs="Times New Roman"/>
                <w:noProof/>
                <w:sz w:val="12"/>
                <w:szCs w:val="12"/>
              </w:rPr>
            </w:pPr>
            <w:r>
              <w:rPr>
                <w:rFonts w:ascii="Times New Roman" w:hAnsi="Times New Roman" w:cs="Times New Roman"/>
                <w:noProof/>
                <w:w w:val="105"/>
                <w:sz w:val="12"/>
              </w:rPr>
              <w:t>Information administrative n° 45-2006 - Lignes directrices relatives à une utilisation acceptable des services TIC de la Commission</w:t>
            </w:r>
          </w:p>
        </w:tc>
        <w:tc>
          <w:tcPr>
            <w:tcW w:w="1409" w:type="dxa"/>
            <w:tcBorders>
              <w:top w:val="single" w:sz="6" w:space="0" w:color="000000"/>
              <w:left w:val="single" w:sz="4" w:space="0" w:color="000000"/>
              <w:bottom w:val="single" w:sz="3"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15.9.2006</w:t>
            </w:r>
          </w:p>
        </w:tc>
        <w:tc>
          <w:tcPr>
            <w:tcW w:w="1800" w:type="dxa"/>
            <w:tcBorders>
              <w:top w:val="single" w:sz="6" w:space="0" w:color="000000"/>
              <w:left w:val="single" w:sz="4" w:space="0" w:color="000000"/>
              <w:bottom w:val="single" w:sz="3"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18.5.2016</w:t>
            </w:r>
          </w:p>
        </w:tc>
        <w:tc>
          <w:tcPr>
            <w:tcW w:w="984" w:type="dxa"/>
            <w:vMerge w:val="restart"/>
            <w:tcBorders>
              <w:top w:val="single" w:sz="6" w:space="0" w:color="000000"/>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7"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98"/>
        </w:trPr>
        <w:tc>
          <w:tcPr>
            <w:tcW w:w="780" w:type="dxa"/>
            <w:vMerge/>
            <w:tcBorders>
              <w:left w:val="single" w:sz="5" w:space="0" w:color="000000"/>
              <w:right w:val="single" w:sz="4" w:space="0" w:color="000000"/>
            </w:tcBorders>
            <w:shd w:val="clear" w:color="auto" w:fill="DA9694"/>
          </w:tcPr>
          <w:p>
            <w:pPr>
              <w:jc w:val="center"/>
              <w:rPr>
                <w:rFonts w:ascii="Times New Roman" w:hAnsi="Times New Roman" w:cs="Times New Roman"/>
                <w:noProof/>
              </w:rPr>
            </w:pPr>
          </w:p>
        </w:tc>
        <w:tc>
          <w:tcPr>
            <w:tcW w:w="2722" w:type="dxa"/>
            <w:vMerge/>
            <w:tcBorders>
              <w:left w:val="single" w:sz="4" w:space="0" w:color="000000"/>
              <w:right w:val="single" w:sz="4"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4" w:space="0" w:color="000000"/>
              <w:bottom w:val="single" w:sz="3" w:space="0" w:color="000000"/>
              <w:right w:val="single" w:sz="4" w:space="0" w:color="000000"/>
            </w:tcBorders>
            <w:shd w:val="clear" w:color="auto" w:fill="DA9694"/>
          </w:tcPr>
          <w:p>
            <w:pPr>
              <w:widowControl w:val="0"/>
              <w:spacing w:before="64" w:after="0" w:line="271" w:lineRule="auto"/>
              <w:ind w:right="70"/>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Information administrative n° 24-2016 - Lignes directrices pour le personnel concernant l’utilisation des services de la Commission dans le domaine des technologies de l’information et de la télécommunication </w:t>
            </w:r>
          </w:p>
        </w:tc>
        <w:tc>
          <w:tcPr>
            <w:tcW w:w="1409" w:type="dxa"/>
            <w:tcBorders>
              <w:top w:val="single" w:sz="3" w:space="0" w:color="000000"/>
              <w:left w:val="single" w:sz="4" w:space="0" w:color="000000"/>
              <w:bottom w:val="single" w:sz="3"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18.5.2016</w:t>
            </w:r>
          </w:p>
        </w:tc>
        <w:tc>
          <w:tcPr>
            <w:tcW w:w="1800" w:type="dxa"/>
            <w:tcBorders>
              <w:top w:val="single" w:sz="3" w:space="0" w:color="000000"/>
              <w:left w:val="single" w:sz="4" w:space="0" w:color="000000"/>
              <w:bottom w:val="single" w:sz="3" w:space="0" w:color="000000"/>
              <w:right w:val="single" w:sz="4" w:space="0" w:color="000000"/>
            </w:tcBorders>
            <w:shd w:val="clear" w:color="auto" w:fill="DA9694"/>
          </w:tcPr>
          <w:p>
            <w:pPr>
              <w:jc w:val="center"/>
              <w:rPr>
                <w:rFonts w:ascii="Times New Roman" w:hAnsi="Times New Roman" w:cs="Times New Roman"/>
                <w:noProof/>
              </w:rPr>
            </w:pPr>
          </w:p>
        </w:tc>
        <w:tc>
          <w:tcPr>
            <w:tcW w:w="984" w:type="dxa"/>
            <w:vMerge/>
            <w:tcBorders>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526"/>
        </w:trPr>
        <w:tc>
          <w:tcPr>
            <w:tcW w:w="780" w:type="dxa"/>
            <w:vMerge/>
            <w:tcBorders>
              <w:left w:val="single" w:sz="5" w:space="0" w:color="000000"/>
              <w:bottom w:val="single" w:sz="3" w:space="0" w:color="000000"/>
              <w:right w:val="single" w:sz="4" w:space="0" w:color="000000"/>
            </w:tcBorders>
            <w:shd w:val="clear" w:color="auto" w:fill="DA9694"/>
          </w:tcPr>
          <w:p>
            <w:pPr>
              <w:jc w:val="center"/>
              <w:rPr>
                <w:rFonts w:ascii="Times New Roman" w:hAnsi="Times New Roman" w:cs="Times New Roman"/>
                <w:noProof/>
              </w:rPr>
            </w:pPr>
          </w:p>
        </w:tc>
        <w:tc>
          <w:tcPr>
            <w:tcW w:w="2722" w:type="dxa"/>
            <w:vMerge/>
            <w:tcBorders>
              <w:left w:val="single" w:sz="4" w:space="0" w:color="000000"/>
              <w:bottom w:val="single" w:sz="4" w:space="0" w:color="auto"/>
              <w:right w:val="single" w:sz="4"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4" w:space="0" w:color="000000"/>
              <w:bottom w:val="single" w:sz="4" w:space="0" w:color="auto"/>
              <w:right w:val="single" w:sz="4"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71" w:lineRule="auto"/>
              <w:ind w:right="29"/>
              <w:jc w:val="center"/>
              <w:rPr>
                <w:rFonts w:ascii="Times New Roman" w:eastAsia="Times New Roman" w:hAnsi="Times New Roman" w:cs="Times New Roman"/>
                <w:noProof/>
                <w:sz w:val="12"/>
                <w:szCs w:val="12"/>
              </w:rPr>
            </w:pPr>
            <w:r>
              <w:rPr>
                <w:rFonts w:ascii="Times New Roman" w:hAnsi="Times New Roman" w:cs="Times New Roman"/>
                <w:noProof/>
                <w:w w:val="105"/>
                <w:sz w:val="12"/>
              </w:rPr>
              <w:t>Information administrative n° 34-2011 - Lignes directrices pour tout le personnel sur l'utilisation des médias sociaux</w:t>
            </w:r>
          </w:p>
        </w:tc>
        <w:tc>
          <w:tcPr>
            <w:tcW w:w="1409" w:type="dxa"/>
            <w:tcBorders>
              <w:top w:val="single" w:sz="3" w:space="0" w:color="000000"/>
              <w:left w:val="single" w:sz="4" w:space="0" w:color="000000"/>
              <w:bottom w:val="single" w:sz="4" w:space="0" w:color="auto"/>
              <w:right w:val="single" w:sz="4" w:space="0" w:color="000000"/>
            </w:tcBorders>
            <w:shd w:val="clear" w:color="auto" w:fill="DA9694"/>
          </w:tcPr>
          <w:p>
            <w:pPr>
              <w:widowControl w:val="0"/>
              <w:spacing w:before="8"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19.8.2011</w:t>
            </w:r>
          </w:p>
        </w:tc>
        <w:tc>
          <w:tcPr>
            <w:tcW w:w="1800" w:type="dxa"/>
            <w:tcBorders>
              <w:top w:val="single" w:sz="3" w:space="0" w:color="000000"/>
              <w:left w:val="single" w:sz="4" w:space="0" w:color="000000"/>
              <w:bottom w:val="single" w:sz="4" w:space="0" w:color="auto"/>
              <w:right w:val="single" w:sz="4" w:space="0" w:color="000000"/>
            </w:tcBorders>
            <w:shd w:val="clear" w:color="auto" w:fill="DA9694"/>
          </w:tcPr>
          <w:p>
            <w:pPr>
              <w:jc w:val="center"/>
              <w:rPr>
                <w:rFonts w:ascii="Times New Roman" w:hAnsi="Times New Roman" w:cs="Times New Roman"/>
                <w:noProof/>
              </w:rPr>
            </w:pPr>
          </w:p>
        </w:tc>
        <w:tc>
          <w:tcPr>
            <w:tcW w:w="984" w:type="dxa"/>
            <w:tcBorders>
              <w:top w:val="single" w:sz="4"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782"/>
        </w:trPr>
        <w:tc>
          <w:tcPr>
            <w:tcW w:w="78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1"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12 </w:t>
            </w:r>
            <w:r>
              <w:rPr>
                <w:rFonts w:ascii="Times New Roman" w:hAnsi="Times New Roman" w:cs="Times New Roman"/>
                <w:b/>
                <w:i/>
                <w:noProof/>
                <w:spacing w:val="1"/>
                <w:w w:val="105"/>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07"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Harcèlement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6" w:after="0" w:line="271" w:lineRule="auto"/>
              <w:ind w:right="113"/>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de la Commission C(2006) 1624/3 relative à la politique en matière de protection de la dignité de la personne et de lutte contre le harcèlement moral et le harcèlement sexuel à la Commission européenne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26.4.2006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84"/>
        </w:trPr>
        <w:tc>
          <w:tcPr>
            <w:tcW w:w="78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12 </w:t>
            </w:r>
            <w:r>
              <w:rPr>
                <w:rFonts w:ascii="Times New Roman" w:hAnsi="Times New Roman" w:cs="Times New Roman"/>
                <w:b/>
                <w:i/>
                <w:noProof/>
                <w:w w:val="105"/>
                <w:sz w:val="12"/>
              </w:rPr>
              <w:t>ter</w:t>
            </w:r>
            <w:r>
              <w:rPr>
                <w:rFonts w:ascii="Times New Roman" w:hAnsi="Times New Roman" w:cs="Times New Roman"/>
                <w:b/>
                <w:noProof/>
                <w:w w:val="105"/>
                <w:sz w:val="12"/>
              </w:rPr>
              <w:t xml:space="preserve"> - 16 - 17</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21"/>
                <w:szCs w:val="21"/>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Activités extérieures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noProof/>
                <w:sz w:val="16"/>
                <w:szCs w:val="16"/>
              </w:rPr>
            </w:pPr>
          </w:p>
          <w:p>
            <w:pPr>
              <w:widowControl w:val="0"/>
              <w:spacing w:after="0" w:line="271" w:lineRule="auto"/>
              <w:ind w:right="27"/>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9037 - Décision de la Commission relative aux activités extérieures et aux mandats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1"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84"/>
        </w:trPr>
        <w:tc>
          <w:tcPr>
            <w:tcW w:w="78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22</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20"/>
                <w:szCs w:val="20"/>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95"/>
                <w:sz w:val="17"/>
              </w:rPr>
              <w:t>Responsabilité financière</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noProof/>
                <w:sz w:val="16"/>
                <w:szCs w:val="16"/>
              </w:rPr>
            </w:pPr>
          </w:p>
          <w:p>
            <w:pPr>
              <w:widowControl w:val="0"/>
              <w:spacing w:after="0" w:line="271" w:lineRule="auto"/>
              <w:ind w:right="116"/>
              <w:jc w:val="center"/>
              <w:rPr>
                <w:rFonts w:ascii="Times New Roman" w:eastAsia="Times New Roman" w:hAnsi="Times New Roman" w:cs="Times New Roman"/>
                <w:noProof/>
                <w:sz w:val="12"/>
                <w:szCs w:val="12"/>
              </w:rPr>
            </w:pPr>
            <w:r>
              <w:rPr>
                <w:rFonts w:ascii="Times New Roman" w:hAnsi="Times New Roman" w:cs="Times New Roman"/>
                <w:noProof/>
                <w:w w:val="105"/>
                <w:sz w:val="12"/>
              </w:rPr>
              <w:t>SEC(2004) 730/5 - Lignes directrices pour l'application de l'article 22 du statut (responsabilité financière des fonctionnaires)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1"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83"/>
        </w:trPr>
        <w:tc>
          <w:tcPr>
            <w:tcW w:w="78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22 </w:t>
            </w:r>
            <w:r>
              <w:rPr>
                <w:rFonts w:ascii="Times New Roman" w:hAnsi="Times New Roman" w:cs="Times New Roman"/>
                <w:b/>
                <w:i/>
                <w:noProof/>
                <w:w w:val="105"/>
                <w:sz w:val="12"/>
              </w:rPr>
              <w:t>bis</w:t>
            </w:r>
            <w:r>
              <w:rPr>
                <w:rFonts w:ascii="Times New Roman" w:hAnsi="Times New Roman" w:cs="Times New Roman"/>
                <w:b/>
                <w:noProof/>
                <w:w w:val="105"/>
                <w:sz w:val="12"/>
              </w:rPr>
              <w:t xml:space="preserve"> - </w:t>
            </w:r>
            <w:r>
              <w:rPr>
                <w:rFonts w:ascii="Times New Roman" w:hAnsi="Times New Roman" w:cs="Times New Roman"/>
                <w:b/>
                <w:i/>
                <w:noProof/>
                <w:w w:val="105"/>
                <w:sz w:val="12"/>
              </w:rPr>
              <w:t>quater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Dénonciation des dysfonctionnements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3" w:after="0" w:line="271" w:lineRule="auto"/>
              <w:ind w:right="34"/>
              <w:jc w:val="center"/>
              <w:rPr>
                <w:rFonts w:ascii="Times New Roman" w:eastAsia="Times New Roman" w:hAnsi="Times New Roman" w:cs="Times New Roman"/>
                <w:noProof/>
                <w:sz w:val="12"/>
                <w:szCs w:val="12"/>
              </w:rPr>
            </w:pPr>
            <w:r>
              <w:rPr>
                <w:rFonts w:ascii="Times New Roman" w:hAnsi="Times New Roman" w:cs="Times New Roman"/>
                <w:noProof/>
                <w:w w:val="105"/>
                <w:sz w:val="12"/>
              </w:rPr>
              <w:t>Information administrative n° 16-2013 - Communication du vice-président Šefčovič à la Commission sur les lignes directrices relatives à la transmission d'informations en cas de dysfonctionnements graves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6.12.2012</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1322"/>
        </w:trPr>
        <w:tc>
          <w:tcPr>
            <w:tcW w:w="780"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24 </w:t>
            </w:r>
            <w:r>
              <w:rPr>
                <w:rFonts w:ascii="Times New Roman" w:hAnsi="Times New Roman" w:cs="Times New Roman"/>
                <w:b/>
                <w:i/>
                <w:noProof/>
                <w:w w:val="105"/>
                <w:sz w:val="12"/>
              </w:rPr>
              <w:t>bis</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2" w:after="0" w:line="240" w:lineRule="auto"/>
              <w:jc w:val="center"/>
              <w:rPr>
                <w:rFonts w:ascii="Times New Roman" w:eastAsia="Times New Roman" w:hAnsi="Times New Roman" w:cs="Times New Roman"/>
                <w:noProof/>
                <w:sz w:val="23"/>
                <w:szCs w:val="23"/>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Formation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12"/>
                <w:szCs w:val="12"/>
              </w:rPr>
            </w:pPr>
          </w:p>
          <w:p>
            <w:pPr>
              <w:widowControl w:val="0"/>
              <w:spacing w:after="0" w:line="271" w:lineRule="auto"/>
              <w:ind w:right="17"/>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de l’article 24 du statut relatives à la formation du personnel, du 11 avril 1978, et modalités d’application des dispositions générales d’exécution de l’article 24, troisième alinéa, du statut relatif au perfectionnement professionnel du personnel de la Commission, du 30 septembre 1993, et décision de la Commission du 7 mai 2002</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1978 - 2002</w:t>
            </w:r>
          </w:p>
        </w:tc>
        <w:tc>
          <w:tcPr>
            <w:tcW w:w="1800" w:type="dxa"/>
            <w:tcBorders>
              <w:top w:val="single" w:sz="3" w:space="0" w:color="000000"/>
              <w:left w:val="single" w:sz="3" w:space="0" w:color="000000"/>
              <w:bottom w:val="single" w:sz="3"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24.6.2016</w:t>
            </w:r>
          </w:p>
        </w:tc>
        <w:tc>
          <w:tcPr>
            <w:tcW w:w="984" w:type="dxa"/>
            <w:vMerge w:val="restart"/>
            <w:tcBorders>
              <w:top w:val="single" w:sz="4" w:space="0" w:color="000000"/>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6"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64"/>
        </w:trPr>
        <w:tc>
          <w:tcPr>
            <w:tcW w:w="780" w:type="dxa"/>
            <w:vMerge/>
            <w:tcBorders>
              <w:left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1"/>
                <w:szCs w:val="11"/>
              </w:rPr>
            </w:pPr>
          </w:p>
          <w:p>
            <w:pPr>
              <w:widowControl w:val="0"/>
              <w:spacing w:after="0" w:line="271" w:lineRule="auto"/>
              <w:ind w:right="19"/>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C(2016) 3827 - Décision de la Commission abrogeant les règles existantes en matière de formation et de développement </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24.6.2016</w:t>
            </w:r>
          </w:p>
        </w:tc>
        <w:tc>
          <w:tcPr>
            <w:tcW w:w="1800" w:type="dxa"/>
            <w:tcBorders>
              <w:top w:val="single" w:sz="3" w:space="0" w:color="000000"/>
              <w:left w:val="single" w:sz="3" w:space="0" w:color="000000"/>
              <w:bottom w:val="single" w:sz="3" w:space="0" w:color="000000"/>
              <w:right w:val="single" w:sz="4" w:space="0" w:color="000000"/>
            </w:tcBorders>
            <w:shd w:val="clear" w:color="auto" w:fill="DA9694"/>
          </w:tcPr>
          <w:p>
            <w:pPr>
              <w:jc w:val="center"/>
              <w:rPr>
                <w:rFonts w:ascii="Times New Roman" w:hAnsi="Times New Roman" w:cs="Times New Roman"/>
                <w:noProof/>
              </w:rPr>
            </w:pPr>
          </w:p>
        </w:tc>
        <w:tc>
          <w:tcPr>
            <w:tcW w:w="984" w:type="dxa"/>
            <w:vMerge/>
            <w:tcBorders>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1346"/>
        </w:trPr>
        <w:tc>
          <w:tcPr>
            <w:tcW w:w="780" w:type="dxa"/>
            <w:vMerge/>
            <w:tcBorders>
              <w:left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noProof/>
                <w:sz w:val="15"/>
                <w:szCs w:val="15"/>
              </w:rPr>
            </w:pPr>
          </w:p>
          <w:p>
            <w:pPr>
              <w:widowControl w:val="0"/>
              <w:spacing w:after="0" w:line="271" w:lineRule="auto"/>
              <w:ind w:right="68"/>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C(2016) 3829 final - Communication à la Commission relative à la stratégie de formation et de développement de la Commission européenne et décision d’exécution C(2016) 3828 final, et décision du 24.6.2016 relative aux règles d’accès à la formation, dans le cadre de la mise en œuvre de la stratégie de formation et de développement de la Commission européenne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3"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24.6.2016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4"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7"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24"/>
        </w:trPr>
        <w:tc>
          <w:tcPr>
            <w:tcW w:w="780"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noProof/>
                <w:sz w:val="14"/>
                <w:szCs w:val="14"/>
              </w:rPr>
            </w:pPr>
          </w:p>
          <w:p>
            <w:pPr>
              <w:widowControl w:val="0"/>
              <w:spacing w:after="0" w:line="271" w:lineRule="auto"/>
              <w:ind w:right="27"/>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C(2016) 3855 final - Décision de la Commission relative aux formations sur la propre initiative du membre du personnel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24.6.2016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1"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z w:val="25"/>
              </w:rPr>
              <w:t>Titre III - De la carrière du fonctionnaire</w:t>
            </w:r>
          </w:p>
        </w:tc>
      </w:tr>
      <w:tr>
        <w:trPr>
          <w:trHeight w:hRule="exact" w:val="389"/>
        </w:trPr>
        <w:tc>
          <w:tcPr>
            <w:tcW w:w="10923" w:type="dxa"/>
            <w:gridSpan w:val="6"/>
            <w:tcBorders>
              <w:top w:val="single" w:sz="5" w:space="0" w:color="000000"/>
              <w:left w:val="single" w:sz="5" w:space="0" w:color="000000"/>
              <w:bottom w:val="single" w:sz="3" w:space="0" w:color="000000"/>
              <w:right w:val="single" w:sz="7"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Chapitre 1 - Recrutement</w:t>
            </w:r>
          </w:p>
        </w:tc>
      </w:tr>
      <w:tr>
        <w:trPr>
          <w:trHeight w:hRule="exact" w:val="887"/>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4"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27 - 34</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07" w:after="0" w:line="240" w:lineRule="auto"/>
              <w:ind w:right="1"/>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noProof/>
                <w:sz w:val="13"/>
                <w:szCs w:val="13"/>
              </w:rPr>
            </w:pPr>
          </w:p>
          <w:p>
            <w:pPr>
              <w:widowControl w:val="0"/>
              <w:spacing w:after="0" w:line="271" w:lineRule="auto"/>
              <w:ind w:right="29"/>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8970 - Décision de la Commission portant dispositions générales d'exécution relatives aux critères applicables au classement en échelon lors de la nomination ou de l'engagement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5"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653"/>
        </w:trPr>
        <w:tc>
          <w:tcPr>
            <w:tcW w:w="780" w:type="dxa"/>
            <w:vMerge w:val="restart"/>
            <w:tcBorders>
              <w:top w:val="single" w:sz="3" w:space="0" w:color="000000"/>
              <w:left w:val="single" w:sz="5"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1" w:after="0" w:line="240" w:lineRule="auto"/>
              <w:jc w:val="center"/>
              <w:rPr>
                <w:rFonts w:ascii="Times New Roman" w:eastAsia="Times New Roman" w:hAnsi="Times New Roman" w:cs="Times New Roman"/>
                <w:noProof/>
                <w:sz w:val="12"/>
                <w:szCs w:val="12"/>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29</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8"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Nomination du personnel d'encadrement supérieur</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5"/>
                <w:szCs w:val="15"/>
              </w:rPr>
            </w:pPr>
          </w:p>
          <w:p>
            <w:pPr>
              <w:widowControl w:val="0"/>
              <w:spacing w:after="0" w:line="271" w:lineRule="auto"/>
              <w:ind w:right="263"/>
              <w:jc w:val="center"/>
              <w:rPr>
                <w:rFonts w:ascii="Times New Roman" w:eastAsia="Times New Roman" w:hAnsi="Times New Roman" w:cs="Times New Roman"/>
                <w:noProof/>
                <w:sz w:val="12"/>
                <w:szCs w:val="12"/>
              </w:rPr>
            </w:pPr>
            <w:r>
              <w:rPr>
                <w:rFonts w:ascii="Times New Roman" w:hAnsi="Times New Roman" w:cs="Times New Roman"/>
                <w:noProof/>
                <w:w w:val="105"/>
                <w:sz w:val="12"/>
              </w:rPr>
              <w:t>Lignes directrices pour les services de la Commission sur les procédures de nomination du personnel d'encadrement supérieur</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11.10.2008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53"/>
        </w:trPr>
        <w:tc>
          <w:tcPr>
            <w:tcW w:w="780" w:type="dxa"/>
            <w:vMerge/>
            <w:tcBorders>
              <w:left w:val="single" w:sz="5"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8" w:after="0" w:line="271" w:lineRule="auto"/>
              <w:ind w:right="62"/>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C(2007) 380 - Décision de la Commission relative au règlement intérieur du comité consultatif des nominations (CCN)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1.1.2007</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4"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94"/>
        </w:trPr>
        <w:tc>
          <w:tcPr>
            <w:tcW w:w="780" w:type="dxa"/>
            <w:vMerge/>
            <w:tcBorders>
              <w:left w:val="single" w:sz="5"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4"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Encadrement intermédiaire</w:t>
            </w:r>
          </w:p>
        </w:tc>
        <w:tc>
          <w:tcPr>
            <w:tcW w:w="323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before="2" w:after="0" w:line="271" w:lineRule="auto"/>
              <w:ind w:right="123"/>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Décision C(2004)1597/14 de la Commission relative au personnel d’encadrement intermédiaire [modifiée en dernier lieu par la décision C(2008) 5028 de la Commission]</w:t>
            </w:r>
          </w:p>
        </w:tc>
        <w:tc>
          <w:tcPr>
            <w:tcW w:w="1409"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before="6"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28.4.2004</w:t>
            </w:r>
          </w:p>
        </w:tc>
        <w:tc>
          <w:tcPr>
            <w:tcW w:w="1800" w:type="dxa"/>
            <w:tcBorders>
              <w:top w:val="single" w:sz="3" w:space="0" w:color="000000"/>
              <w:left w:val="single" w:sz="3" w:space="0" w:color="000000"/>
              <w:bottom w:val="single" w:sz="3" w:space="0" w:color="000000"/>
              <w:right w:val="single" w:sz="4" w:space="0" w:color="000000"/>
            </w:tcBorders>
            <w:shd w:val="clear" w:color="auto" w:fill="D99594" w:themeFill="accent2" w:themeFillTint="99"/>
          </w:tcPr>
          <w:p>
            <w:pPr>
              <w:widowControl w:val="0"/>
              <w:spacing w:before="6"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15.6.2016</w:t>
            </w:r>
          </w:p>
        </w:tc>
        <w:tc>
          <w:tcPr>
            <w:tcW w:w="982" w:type="dxa"/>
            <w:vMerge w:val="restart"/>
            <w:tcBorders>
              <w:top w:val="single" w:sz="4" w:space="0" w:color="000000"/>
              <w:left w:val="single" w:sz="4" w:space="0" w:color="000000"/>
              <w:bottom w:val="single" w:sz="6"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5"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66"/>
        </w:trPr>
        <w:tc>
          <w:tcPr>
            <w:tcW w:w="780" w:type="dxa"/>
            <w:vMerge/>
            <w:tcBorders>
              <w:left w:val="single" w:sz="5"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before="83" w:after="0" w:line="271" w:lineRule="auto"/>
              <w:ind w:right="143"/>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Décision C(2009) 6879 de la Commission relative à la procédure de pourvoi des postes de chef de représentation</w:t>
            </w:r>
          </w:p>
        </w:tc>
        <w:tc>
          <w:tcPr>
            <w:tcW w:w="1409"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before="11"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10.9.2009</w:t>
            </w:r>
          </w:p>
        </w:tc>
        <w:tc>
          <w:tcPr>
            <w:tcW w:w="1800" w:type="dxa"/>
            <w:tcBorders>
              <w:top w:val="single" w:sz="3" w:space="0" w:color="000000"/>
              <w:left w:val="single" w:sz="3" w:space="0" w:color="000000"/>
              <w:bottom w:val="single" w:sz="4" w:space="0" w:color="000000"/>
              <w:right w:val="single" w:sz="4" w:space="0" w:color="000000"/>
            </w:tcBorders>
            <w:shd w:val="clear" w:color="auto" w:fill="D99594" w:themeFill="accent2" w:themeFillTint="99"/>
          </w:tcPr>
          <w:p>
            <w:pPr>
              <w:widowControl w:val="0"/>
              <w:spacing w:before="11"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15.6.2016</w:t>
            </w:r>
          </w:p>
        </w:tc>
        <w:tc>
          <w:tcPr>
            <w:tcW w:w="982" w:type="dxa"/>
            <w:vMerge/>
            <w:tcBorders>
              <w:left w:val="single" w:sz="4" w:space="0" w:color="000000"/>
              <w:bottom w:val="single" w:sz="6" w:space="0" w:color="000000"/>
              <w:right w:val="single" w:sz="4" w:space="0" w:color="auto"/>
            </w:tcBorders>
            <w:shd w:val="clear" w:color="auto" w:fill="DA9694"/>
          </w:tcPr>
          <w:p>
            <w:pPr>
              <w:jc w:val="center"/>
              <w:rPr>
                <w:rFonts w:ascii="Times New Roman" w:hAnsi="Times New Roman" w:cs="Times New Roman"/>
                <w:noProof/>
              </w:rPr>
            </w:pPr>
          </w:p>
        </w:tc>
      </w:tr>
      <w:tr>
        <w:trPr>
          <w:trHeight w:hRule="exact" w:val="422"/>
        </w:trPr>
        <w:tc>
          <w:tcPr>
            <w:tcW w:w="780" w:type="dxa"/>
            <w:vMerge/>
            <w:tcBorders>
              <w:left w:val="single" w:sz="5"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before="62" w:after="0" w:line="271" w:lineRule="auto"/>
              <w:ind w:right="280"/>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C(2016) 3288 final - Décision de la Commission concernant le personnel d’encadrement intermédiaire</w:t>
            </w:r>
          </w:p>
        </w:tc>
        <w:tc>
          <w:tcPr>
            <w:tcW w:w="1409" w:type="dxa"/>
            <w:tcBorders>
              <w:top w:val="single" w:sz="3" w:space="0" w:color="000000"/>
              <w:left w:val="single" w:sz="3" w:space="0" w:color="000000"/>
              <w:bottom w:val="single" w:sz="3" w:space="0" w:color="000000"/>
              <w:right w:val="single" w:sz="4" w:space="0" w:color="000000"/>
            </w:tcBorders>
            <w:shd w:val="clear" w:color="auto" w:fill="D99594" w:themeFill="accent2" w:themeFillTint="99"/>
          </w:tcPr>
          <w:p>
            <w:pPr>
              <w:widowControl w:val="0"/>
              <w:spacing w:before="1"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15.6.2016</w:t>
            </w:r>
          </w:p>
        </w:tc>
        <w:tc>
          <w:tcPr>
            <w:tcW w:w="1800" w:type="dxa"/>
            <w:tcBorders>
              <w:top w:val="single" w:sz="4" w:space="0" w:color="000000"/>
              <w:left w:val="single" w:sz="4" w:space="0" w:color="000000"/>
              <w:bottom w:val="single" w:sz="4" w:space="0" w:color="auto"/>
              <w:right w:val="single" w:sz="4" w:space="0" w:color="000000"/>
            </w:tcBorders>
            <w:shd w:val="clear" w:color="auto" w:fill="D99594" w:themeFill="accent2" w:themeFillTint="99"/>
          </w:tcPr>
          <w:p>
            <w:pPr>
              <w:jc w:val="center"/>
              <w:rPr>
                <w:rFonts w:ascii="Times New Roman" w:hAnsi="Times New Roman" w:cs="Times New Roman"/>
                <w:noProof/>
              </w:rPr>
            </w:pPr>
          </w:p>
        </w:tc>
        <w:tc>
          <w:tcPr>
            <w:tcW w:w="982" w:type="dxa"/>
            <w:vMerge/>
            <w:tcBorders>
              <w:left w:val="single" w:sz="4" w:space="0" w:color="000000"/>
              <w:bottom w:val="single" w:sz="6" w:space="0" w:color="000000"/>
              <w:right w:val="single" w:sz="4" w:space="0" w:color="auto"/>
            </w:tcBorders>
            <w:shd w:val="clear" w:color="auto" w:fill="DA9694"/>
          </w:tcPr>
          <w:p>
            <w:pPr>
              <w:jc w:val="center"/>
              <w:rPr>
                <w:rFonts w:ascii="Times New Roman" w:hAnsi="Times New Roman" w:cs="Times New Roman"/>
                <w:noProof/>
              </w:rPr>
            </w:pPr>
          </w:p>
        </w:tc>
      </w:tr>
    </w:tbl>
    <w:p>
      <w:pPr>
        <w:rPr>
          <w:rFonts w:ascii="Times New Roman" w:hAnsi="Times New Roman" w:cs="Times New Roman"/>
          <w:noProof/>
        </w:rPr>
      </w:pPr>
      <w:r>
        <w:rPr>
          <w:rFonts w:ascii="Times New Roman" w:hAnsi="Times New Roman" w:cs="Times New Roman"/>
          <w:noProof/>
        </w:rPr>
        <w:br w:type="page"/>
      </w:r>
    </w:p>
    <w:tbl>
      <w:tblPr>
        <w:tblW w:w="0" w:type="auto"/>
        <w:tblInd w:w="110"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456"/>
        </w:trPr>
        <w:tc>
          <w:tcPr>
            <w:tcW w:w="780" w:type="dxa"/>
            <w:tcBorders>
              <w:top w:val="single" w:sz="6" w:space="0" w:color="000000"/>
              <w:left w:val="single" w:sz="4" w:space="0" w:color="000000"/>
              <w:bottom w:val="single" w:sz="4" w:space="0" w:color="auto"/>
              <w:right w:val="single" w:sz="4"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noProof/>
              </w:rPr>
              <w:br w:type="page"/>
            </w:r>
            <w:r>
              <w:rPr>
                <w:rFonts w:ascii="Times New Roman" w:hAnsi="Times New Roman" w:cs="Times New Roman"/>
                <w:b/>
                <w:noProof/>
                <w:spacing w:val="-1"/>
                <w:sz w:val="18"/>
              </w:rPr>
              <w:t>Article</w:t>
            </w:r>
          </w:p>
        </w:tc>
        <w:tc>
          <w:tcPr>
            <w:tcW w:w="2722" w:type="dxa"/>
            <w:tcBorders>
              <w:top w:val="single" w:sz="6" w:space="0" w:color="000000"/>
              <w:left w:val="single" w:sz="4" w:space="0" w:color="000000"/>
              <w:bottom w:val="single" w:sz="4" w:space="0" w:color="auto"/>
              <w:right w:val="single" w:sz="4"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6" w:space="0" w:color="000000"/>
              <w:left w:val="single" w:sz="4" w:space="0" w:color="000000"/>
              <w:bottom w:val="single" w:sz="4" w:space="0" w:color="auto"/>
              <w:right w:val="single" w:sz="4"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6" w:space="0" w:color="000000"/>
              <w:left w:val="single" w:sz="4" w:space="0" w:color="000000"/>
              <w:bottom w:val="single" w:sz="4" w:space="0" w:color="auto"/>
              <w:right w:val="single" w:sz="4"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4" w:space="0" w:color="auto"/>
              <w:left w:val="single" w:sz="4" w:space="0" w:color="000000"/>
              <w:bottom w:val="single" w:sz="4" w:space="0" w:color="auto"/>
              <w:right w:val="single" w:sz="4"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82" w:type="dxa"/>
            <w:tcBorders>
              <w:top w:val="single" w:sz="6" w:space="0" w:color="000000"/>
              <w:left w:val="single" w:sz="4" w:space="0" w:color="000000"/>
              <w:bottom w:val="single" w:sz="4" w:space="0" w:color="auto"/>
              <w:right w:val="single" w:sz="6" w:space="0" w:color="000000"/>
            </w:tcBorders>
            <w:shd w:val="clear" w:color="auto" w:fill="DAEEF3"/>
          </w:tcPr>
          <w:p>
            <w:pPr>
              <w:widowControl w:val="0"/>
              <w:spacing w:before="119"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r>
        <w:trPr>
          <w:trHeight w:hRule="exact" w:val="456"/>
        </w:trPr>
        <w:tc>
          <w:tcPr>
            <w:tcW w:w="780" w:type="dxa"/>
            <w:tcBorders>
              <w:top w:val="single" w:sz="4" w:space="0" w:color="auto"/>
              <w:bottom w:val="single" w:sz="4" w:space="0" w:color="auto"/>
            </w:tcBorders>
            <w:shd w:val="clear" w:color="auto" w:fill="auto"/>
          </w:tcPr>
          <w:p>
            <w:pPr>
              <w:widowControl w:val="0"/>
              <w:spacing w:after="0" w:line="240" w:lineRule="auto"/>
              <w:jc w:val="center"/>
              <w:rPr>
                <w:rFonts w:ascii="Times New Roman" w:hAnsi="Times New Roman" w:cs="Times New Roman"/>
                <w:b/>
                <w:noProof/>
                <w:spacing w:val="-1"/>
                <w:sz w:val="20"/>
                <w:szCs w:val="20"/>
              </w:rPr>
            </w:pPr>
          </w:p>
        </w:tc>
        <w:tc>
          <w:tcPr>
            <w:tcW w:w="2722" w:type="dxa"/>
            <w:tcBorders>
              <w:top w:val="single" w:sz="4" w:space="0" w:color="auto"/>
              <w:bottom w:val="single" w:sz="4" w:space="0" w:color="auto"/>
            </w:tcBorders>
            <w:shd w:val="clear" w:color="auto" w:fill="auto"/>
          </w:tcPr>
          <w:p>
            <w:pPr>
              <w:widowControl w:val="0"/>
              <w:spacing w:after="0" w:line="240" w:lineRule="auto"/>
              <w:jc w:val="center"/>
              <w:rPr>
                <w:rFonts w:ascii="Times New Roman" w:hAnsi="Times New Roman" w:cs="Times New Roman"/>
                <w:b/>
                <w:noProof/>
                <w:spacing w:val="-1"/>
                <w:sz w:val="20"/>
                <w:szCs w:val="20"/>
              </w:rPr>
            </w:pPr>
          </w:p>
        </w:tc>
        <w:tc>
          <w:tcPr>
            <w:tcW w:w="3230" w:type="dxa"/>
            <w:tcBorders>
              <w:top w:val="single" w:sz="4" w:space="0" w:color="auto"/>
              <w:bottom w:val="single" w:sz="4" w:space="0" w:color="auto"/>
            </w:tcBorders>
            <w:shd w:val="clear" w:color="auto" w:fill="auto"/>
          </w:tcPr>
          <w:p>
            <w:pPr>
              <w:widowControl w:val="0"/>
              <w:spacing w:after="0" w:line="240" w:lineRule="auto"/>
              <w:jc w:val="center"/>
              <w:rPr>
                <w:rFonts w:ascii="Times New Roman" w:hAnsi="Times New Roman" w:cs="Times New Roman"/>
                <w:b/>
                <w:noProof/>
                <w:spacing w:val="-1"/>
                <w:sz w:val="20"/>
                <w:szCs w:val="20"/>
              </w:rPr>
            </w:pPr>
          </w:p>
        </w:tc>
        <w:tc>
          <w:tcPr>
            <w:tcW w:w="1409" w:type="dxa"/>
            <w:tcBorders>
              <w:top w:val="single" w:sz="4" w:space="0" w:color="auto"/>
              <w:bottom w:val="single" w:sz="4" w:space="0" w:color="auto"/>
            </w:tcBorders>
            <w:shd w:val="clear" w:color="auto" w:fill="auto"/>
          </w:tcPr>
          <w:p>
            <w:pPr>
              <w:widowControl w:val="0"/>
              <w:spacing w:after="0" w:line="240" w:lineRule="auto"/>
              <w:rPr>
                <w:rFonts w:ascii="Times New Roman" w:hAnsi="Times New Roman" w:cs="Times New Roman"/>
                <w:b/>
                <w:noProof/>
                <w:spacing w:val="-1"/>
                <w:sz w:val="20"/>
                <w:szCs w:val="20"/>
              </w:rPr>
            </w:pPr>
          </w:p>
        </w:tc>
        <w:tc>
          <w:tcPr>
            <w:tcW w:w="1800" w:type="dxa"/>
            <w:tcBorders>
              <w:top w:val="single" w:sz="4" w:space="0" w:color="auto"/>
              <w:bottom w:val="single" w:sz="4" w:space="0" w:color="auto"/>
            </w:tcBorders>
            <w:shd w:val="clear" w:color="auto" w:fill="auto"/>
          </w:tcPr>
          <w:p>
            <w:pPr>
              <w:widowControl w:val="0"/>
              <w:spacing w:after="0" w:line="240" w:lineRule="auto"/>
              <w:jc w:val="center"/>
              <w:rPr>
                <w:rFonts w:ascii="Times New Roman" w:hAnsi="Times New Roman" w:cs="Times New Roman"/>
                <w:b/>
                <w:noProof/>
                <w:spacing w:val="-1"/>
                <w:sz w:val="20"/>
                <w:szCs w:val="20"/>
              </w:rPr>
            </w:pPr>
          </w:p>
        </w:tc>
        <w:tc>
          <w:tcPr>
            <w:tcW w:w="982" w:type="dxa"/>
            <w:tcBorders>
              <w:top w:val="single" w:sz="4" w:space="0" w:color="auto"/>
              <w:bottom w:val="single" w:sz="4" w:space="0" w:color="auto"/>
            </w:tcBorders>
            <w:shd w:val="clear" w:color="auto" w:fill="auto"/>
          </w:tcPr>
          <w:p>
            <w:pPr>
              <w:widowControl w:val="0"/>
              <w:spacing w:after="0" w:line="240" w:lineRule="auto"/>
              <w:jc w:val="center"/>
              <w:rPr>
                <w:rFonts w:ascii="Times New Roman" w:hAnsi="Times New Roman" w:cs="Times New Roman"/>
                <w:b/>
                <w:noProof/>
                <w:spacing w:val="-1"/>
                <w:sz w:val="20"/>
                <w:szCs w:val="20"/>
              </w:rPr>
            </w:pPr>
          </w:p>
        </w:tc>
      </w:tr>
      <w:tr>
        <w:trPr>
          <w:trHeight w:hRule="exact" w:val="602"/>
        </w:trPr>
        <w:tc>
          <w:tcPr>
            <w:tcW w:w="780" w:type="dxa"/>
            <w:vMerge w:val="restart"/>
            <w:tcBorders>
              <w:top w:val="single" w:sz="4" w:space="0" w:color="auto"/>
              <w:left w:val="single" w:sz="6"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9" w:after="0" w:line="240" w:lineRule="auto"/>
              <w:jc w:val="center"/>
              <w:rPr>
                <w:rFonts w:ascii="Times New Roman" w:eastAsia="Times New Roman" w:hAnsi="Times New Roman" w:cs="Times New Roman"/>
                <w:noProof/>
                <w:sz w:val="14"/>
                <w:szCs w:val="14"/>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38</w:t>
            </w:r>
          </w:p>
        </w:tc>
        <w:tc>
          <w:tcPr>
            <w:tcW w:w="2722" w:type="dxa"/>
            <w:vMerge w:val="restart"/>
            <w:tcBorders>
              <w:top w:val="single" w:sz="4" w:space="0" w:color="auto"/>
              <w:left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14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Détachement</w:t>
            </w:r>
          </w:p>
        </w:tc>
        <w:tc>
          <w:tcPr>
            <w:tcW w:w="3230" w:type="dxa"/>
            <w:tcBorders>
              <w:top w:val="single" w:sz="4" w:space="0" w:color="auto"/>
              <w:left w:val="single" w:sz="4" w:space="0" w:color="000000"/>
              <w:bottom w:val="single" w:sz="3" w:space="0" w:color="000000"/>
              <w:right w:val="single" w:sz="4" w:space="0" w:color="000000"/>
            </w:tcBorders>
            <w:shd w:val="clear" w:color="auto" w:fill="DA9694"/>
          </w:tcPr>
          <w:p>
            <w:pPr>
              <w:widowControl w:val="0"/>
              <w:spacing w:before="98" w:after="0" w:line="271" w:lineRule="auto"/>
              <w:ind w:right="87"/>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SEC(2002) 146 - Lignes directrices sur la mobilité [telle que modifiées par la décision C(2003) 3985 - Modification des lignes directrices sur la mobilité]</w:t>
            </w:r>
          </w:p>
        </w:tc>
        <w:tc>
          <w:tcPr>
            <w:tcW w:w="1409" w:type="dxa"/>
            <w:tcBorders>
              <w:top w:val="single" w:sz="4" w:space="0" w:color="auto"/>
              <w:left w:val="single" w:sz="4" w:space="0" w:color="000000"/>
              <w:bottom w:val="single" w:sz="3" w:space="0" w:color="000000"/>
              <w:right w:val="single" w:sz="4"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12.2.2002</w:t>
            </w:r>
          </w:p>
        </w:tc>
        <w:tc>
          <w:tcPr>
            <w:tcW w:w="1800" w:type="dxa"/>
            <w:tcBorders>
              <w:top w:val="single" w:sz="4" w:space="0" w:color="auto"/>
              <w:left w:val="single" w:sz="4" w:space="0" w:color="000000"/>
              <w:bottom w:val="single" w:sz="3" w:space="0" w:color="000000"/>
              <w:right w:val="single" w:sz="4" w:space="0" w:color="000000"/>
            </w:tcBorders>
            <w:shd w:val="clear" w:color="auto" w:fill="DA9694"/>
          </w:tcPr>
          <w:p>
            <w:pPr>
              <w:jc w:val="center"/>
              <w:rPr>
                <w:rFonts w:ascii="Times New Roman" w:hAnsi="Times New Roman" w:cs="Times New Roman"/>
                <w:noProof/>
              </w:rPr>
            </w:pPr>
          </w:p>
        </w:tc>
        <w:tc>
          <w:tcPr>
            <w:tcW w:w="982" w:type="dxa"/>
            <w:tcBorders>
              <w:top w:val="single" w:sz="4" w:space="0" w:color="auto"/>
              <w:left w:val="single" w:sz="4" w:space="0" w:color="000000"/>
              <w:bottom w:val="single" w:sz="3" w:space="0" w:color="000000"/>
              <w:right w:val="single" w:sz="4"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97"/>
        </w:trPr>
        <w:tc>
          <w:tcPr>
            <w:tcW w:w="780" w:type="dxa"/>
            <w:vMerge/>
            <w:tcBorders>
              <w:left w:val="single" w:sz="5"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5554 final concernant les lignes directrices sur la mobilité externe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3.9.2013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95"/>
        </w:trPr>
        <w:tc>
          <w:tcPr>
            <w:tcW w:w="780" w:type="dxa"/>
            <w:vMerge/>
            <w:tcBorders>
              <w:left w:val="single" w:sz="5"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12"/>
                <w:szCs w:val="12"/>
              </w:rPr>
            </w:pPr>
          </w:p>
          <w:p>
            <w:pPr>
              <w:widowControl w:val="0"/>
              <w:spacing w:after="0" w:line="271" w:lineRule="auto"/>
              <w:ind w:right="116"/>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C(2013) 5555 final concernant  les aspects administratifs de la mobilité externe </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3.9.2013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2 - Positions</w:t>
            </w:r>
          </w:p>
        </w:tc>
      </w:tr>
      <w:tr>
        <w:trPr>
          <w:trHeight w:hRule="exact" w:val="389"/>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9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3 - Le congé de convenance personnelle</w:t>
            </w:r>
          </w:p>
        </w:tc>
      </w:tr>
      <w:tr>
        <w:trPr>
          <w:trHeight w:hRule="exact" w:val="880"/>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 w:after="0" w:line="240" w:lineRule="auto"/>
              <w:jc w:val="center"/>
              <w:rPr>
                <w:rFonts w:ascii="Times New Roman" w:eastAsia="Times New Roman" w:hAnsi="Times New Roman" w:cs="Times New Roman"/>
                <w:noProof/>
                <w:sz w:val="12"/>
                <w:szCs w:val="12"/>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40</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Congés de convenance personnelle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1"/>
                <w:szCs w:val="11"/>
              </w:rPr>
            </w:pPr>
          </w:p>
          <w:p>
            <w:pPr>
              <w:widowControl w:val="0"/>
              <w:spacing w:after="0" w:line="271" w:lineRule="auto"/>
              <w:ind w:right="29"/>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9054 - Décision de la Commission relative aux mesures concernant le congé de convenance personnelle des fonctionnaires et le congé sans rémunération des agents temporaires et agents contractuels de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3"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90" w:after="0" w:line="240" w:lineRule="auto"/>
              <w:ind w:right="981"/>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6 - Congé parental ou familial</w:t>
            </w:r>
          </w:p>
        </w:tc>
      </w:tr>
      <w:tr>
        <w:trPr>
          <w:trHeight w:hRule="exact" w:val="586"/>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42 </w:t>
            </w:r>
            <w:r>
              <w:rPr>
                <w:rFonts w:ascii="Times New Roman" w:hAnsi="Times New Roman" w:cs="Times New Roman"/>
                <w:b/>
                <w:i/>
                <w:noProof/>
                <w:spacing w:val="1"/>
                <w:w w:val="105"/>
                <w:sz w:val="12"/>
              </w:rPr>
              <w:t>bis</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Congé parental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62" w:after="0" w:line="271" w:lineRule="auto"/>
              <w:ind w:right="269"/>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C(2010)7572 - Décision de la Commission relative aux dispositions générales d'exécution de l'article 42 </w:t>
            </w:r>
            <w:r>
              <w:rPr>
                <w:rFonts w:ascii="Times New Roman" w:hAnsi="Times New Roman" w:cs="Times New Roman"/>
                <w:i/>
                <w:noProof/>
                <w:w w:val="105"/>
                <w:sz w:val="12"/>
              </w:rPr>
              <w:t>bis</w:t>
            </w:r>
            <w:r>
              <w:rPr>
                <w:rFonts w:ascii="Times New Roman" w:hAnsi="Times New Roman" w:cs="Times New Roman"/>
                <w:noProof/>
                <w:w w:val="105"/>
                <w:sz w:val="12"/>
              </w:rPr>
              <w:t xml:space="preserve"> du statut relatif au congé parental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5.11.2010</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26"/>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 xml:space="preserve">42 </w:t>
            </w:r>
            <w:r>
              <w:rPr>
                <w:rFonts w:ascii="Times New Roman" w:hAnsi="Times New Roman" w:cs="Times New Roman"/>
                <w:b/>
                <w:i/>
                <w:noProof/>
                <w:spacing w:val="1"/>
                <w:w w:val="105"/>
                <w:sz w:val="12"/>
              </w:rPr>
              <w:t>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Congé familial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71" w:lineRule="auto"/>
              <w:ind w:right="135"/>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C(2010) 7494 - Décision de la Commission relative à l'article 42 </w:t>
            </w:r>
            <w:r>
              <w:rPr>
                <w:rFonts w:ascii="Times New Roman" w:hAnsi="Times New Roman" w:cs="Times New Roman"/>
                <w:i/>
                <w:noProof/>
                <w:w w:val="105"/>
                <w:sz w:val="12"/>
              </w:rPr>
              <w:t>ter</w:t>
            </w:r>
            <w:r>
              <w:rPr>
                <w:rFonts w:ascii="Times New Roman" w:hAnsi="Times New Roman" w:cs="Times New Roman"/>
                <w:noProof/>
                <w:w w:val="105"/>
                <w:sz w:val="12"/>
              </w:rPr>
              <w:t xml:space="preserve"> du statut relatif au congé familial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5.11.2010</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Notation, avancement d'échelon et promotion</w:t>
            </w:r>
          </w:p>
        </w:tc>
      </w:tr>
      <w:tr>
        <w:trPr>
          <w:trHeight w:hRule="exact" w:val="802"/>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43 - 44 (1)</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14"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Rapport annuel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4" w:after="0" w:line="271" w:lineRule="auto"/>
              <w:ind w:right="79"/>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8985 - Décision de la Commission relative aux dispositions générales d'exécution de l'article 43 du statut et aux modalités d'application de l'article 44, premier alinéa, du statut [modifiée en dernier lieu par la décision C(2016) 7270]</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4"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802"/>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44 (2) - 46</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17"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Confirmation dans un poste d’encadrement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5"/>
                <w:szCs w:val="15"/>
              </w:rPr>
            </w:pPr>
          </w:p>
          <w:p>
            <w:pPr>
              <w:widowControl w:val="0"/>
              <w:spacing w:after="0" w:line="271" w:lineRule="auto"/>
              <w:ind w:right="74"/>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C(2004) 1891 - Décision de la Commission sur l'application des articles 44(2) et 46 du statut et l'article 7(4) de l'annexe XIII au statut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1"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34"/>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9"/>
                <w:szCs w:val="9"/>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45</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noProof/>
                <w:sz w:val="19"/>
                <w:szCs w:val="19"/>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Promotions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8" w:after="0" w:line="271" w:lineRule="auto"/>
              <w:ind w:right="144"/>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8968 - Décision de la Commission  portant dispositions générales d'exécution de l'article 45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6"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54"/>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0"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 xml:space="preserve">45 </w:t>
            </w:r>
            <w:r>
              <w:rPr>
                <w:rFonts w:ascii="Times New Roman" w:hAnsi="Times New Roman" w:cs="Times New Roman"/>
                <w:b/>
                <w:i/>
                <w:noProof/>
                <w:spacing w:val="1"/>
                <w:w w:val="105"/>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Certification</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50" w:after="0" w:line="271" w:lineRule="auto"/>
              <w:ind w:right="22"/>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C(2013) 6859 - Décision de la Commission du 22.10.2013 relative aux dispositions générales d'exécution de l'article 45 </w:t>
            </w:r>
            <w:r>
              <w:rPr>
                <w:rFonts w:ascii="Times New Roman" w:hAnsi="Times New Roman" w:cs="Times New Roman"/>
                <w:i/>
                <w:noProof/>
                <w:w w:val="105"/>
                <w:sz w:val="12"/>
              </w:rPr>
              <w:t>bis</w:t>
            </w:r>
            <w:r>
              <w:rPr>
                <w:rFonts w:ascii="Times New Roman" w:hAnsi="Times New Roman" w:cs="Times New Roman"/>
                <w:noProof/>
                <w:w w:val="105"/>
                <w:sz w:val="12"/>
              </w:rPr>
              <w:t xml:space="preserve">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23.10.2013</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4 - Cessation définitive des fonctions</w:t>
            </w:r>
          </w:p>
        </w:tc>
      </w:tr>
      <w:tr>
        <w:trPr>
          <w:trHeight w:hRule="exact" w:val="389"/>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Section 4 - Procédures de traitement de l’insuffisance professionnelle</w:t>
            </w:r>
          </w:p>
        </w:tc>
      </w:tr>
      <w:tr>
        <w:trPr>
          <w:trHeight w:hRule="exact" w:val="502"/>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5"/>
                <w:szCs w:val="15"/>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51</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Insuffisance professionnelle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8" w:after="0" w:line="271" w:lineRule="auto"/>
              <w:ind w:right="229"/>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C(2004) 1597/7 - Décision de la Commission relative au maintien du niveau des prestations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4 - Cessation définitive des fonctions</w:t>
            </w:r>
          </w:p>
        </w:tc>
      </w:tr>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ind w:right="977"/>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Section 6 - Honorariat</w:t>
            </w:r>
          </w:p>
        </w:tc>
      </w:tr>
      <w:tr>
        <w:trPr>
          <w:trHeight w:hRule="exact" w:val="487"/>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5"/>
                <w:szCs w:val="15"/>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54</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Honorariat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1" w:after="0" w:line="271" w:lineRule="auto"/>
              <w:ind w:right="207"/>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C(2012) 3192 - Décision de la Commission relative à l’octroi des rangs honoraires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21.5.2012</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408"/>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tcPr>
          <w:p>
            <w:pPr>
              <w:widowControl w:val="0"/>
              <w:spacing w:after="0" w:line="262" w:lineRule="exact"/>
              <w:jc w:val="center"/>
              <w:rPr>
                <w:rFonts w:ascii="Times New Roman" w:eastAsia="Times New Roman" w:hAnsi="Times New Roman" w:cs="Times New Roman"/>
                <w:noProof/>
                <w:sz w:val="25"/>
                <w:szCs w:val="25"/>
              </w:rPr>
            </w:pPr>
            <w:r>
              <w:rPr>
                <w:rFonts w:ascii="Times New Roman" w:hAnsi="Times New Roman" w:cs="Times New Roman"/>
                <w:b/>
                <w:noProof/>
                <w:sz w:val="25"/>
              </w:rPr>
              <w:t>Titre IV - Des conditions de travail du fonctionnaire</w:t>
            </w:r>
          </w:p>
        </w:tc>
      </w:tr>
      <w:tr>
        <w:trPr>
          <w:trHeight w:hRule="exact" w:val="389"/>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AEEF3"/>
          </w:tcPr>
          <w:p>
            <w:pPr>
              <w:widowControl w:val="0"/>
              <w:spacing w:before="81" w:after="0" w:line="240" w:lineRule="auto"/>
              <w:ind w:right="978"/>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Durée du travail</w:t>
            </w:r>
          </w:p>
        </w:tc>
      </w:tr>
      <w:tr>
        <w:trPr>
          <w:trHeight w:hRule="exact" w:val="389"/>
        </w:trPr>
        <w:tc>
          <w:tcPr>
            <w:tcW w:w="780" w:type="dxa"/>
            <w:vMerge w:val="restart"/>
            <w:tcBorders>
              <w:top w:val="single" w:sz="6" w:space="0" w:color="000000"/>
              <w:left w:val="single" w:sz="4" w:space="0" w:color="auto"/>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4"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55</w:t>
            </w:r>
          </w:p>
        </w:tc>
        <w:tc>
          <w:tcPr>
            <w:tcW w:w="2722"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0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Temps de travail</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8995 - Décision de la Commission relative au temps de travail</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4"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1.6.2014</w:t>
            </w:r>
          </w:p>
        </w:tc>
        <w:tc>
          <w:tcPr>
            <w:tcW w:w="982" w:type="dxa"/>
            <w:vMerge w:val="restart"/>
            <w:tcBorders>
              <w:top w:val="single" w:sz="6" w:space="0" w:color="000000"/>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5"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89"/>
        </w:trPr>
        <w:tc>
          <w:tcPr>
            <w:tcW w:w="780" w:type="dxa"/>
            <w:vMerge/>
            <w:tcBorders>
              <w:left w:val="single" w:sz="4" w:space="0" w:color="auto"/>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2722" w:type="dxa"/>
            <w:vMerge/>
            <w:tcBorders>
              <w:left w:val="single" w:sz="4"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C(2014) 2502 - Décision de la Commission relative au temps de 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1.6.2014</w:t>
            </w:r>
          </w:p>
        </w:tc>
        <w:tc>
          <w:tcPr>
            <w:tcW w:w="1800" w:type="dxa"/>
            <w:tcBorders>
              <w:top w:val="single" w:sz="3" w:space="0" w:color="000000"/>
              <w:left w:val="single" w:sz="3" w:space="0" w:color="000000"/>
              <w:bottom w:val="single" w:sz="3" w:space="0" w:color="000000"/>
              <w:right w:val="single" w:sz="4" w:space="0" w:color="000000"/>
            </w:tcBorders>
            <w:shd w:val="clear" w:color="auto" w:fill="DA9694"/>
          </w:tcPr>
          <w:p>
            <w:pPr>
              <w:jc w:val="center"/>
              <w:rPr>
                <w:rFonts w:ascii="Times New Roman" w:hAnsi="Times New Roman" w:cs="Times New Roman"/>
                <w:noProof/>
              </w:rPr>
            </w:pPr>
          </w:p>
        </w:tc>
        <w:tc>
          <w:tcPr>
            <w:tcW w:w="982" w:type="dxa"/>
            <w:vMerge/>
            <w:tcBorders>
              <w:left w:val="single" w:sz="4" w:space="0" w:color="000000"/>
              <w:bottom w:val="single" w:sz="4" w:space="0" w:color="000000"/>
              <w:right w:val="single" w:sz="4" w:space="0" w:color="auto"/>
            </w:tcBorders>
            <w:shd w:val="clear" w:color="auto" w:fill="DA9694"/>
          </w:tcPr>
          <w:p>
            <w:pPr>
              <w:jc w:val="center"/>
              <w:rPr>
                <w:rFonts w:ascii="Times New Roman" w:hAnsi="Times New Roman" w:cs="Times New Roman"/>
                <w:noProof/>
              </w:rPr>
            </w:pPr>
          </w:p>
        </w:tc>
      </w:tr>
    </w:tbl>
    <w:p>
      <w:pPr>
        <w:spacing w:before="10"/>
        <w:jc w:val="center"/>
        <w:rPr>
          <w:rFonts w:ascii="Times New Roman" w:eastAsia="Times New Roman" w:hAnsi="Times New Roman" w:cs="Times New Roman"/>
          <w:noProof/>
          <w:sz w:val="15"/>
          <w:szCs w:val="15"/>
        </w:rPr>
      </w:pPr>
    </w:p>
    <w:p>
      <w:pPr>
        <w:spacing w:before="10"/>
        <w:jc w:val="center"/>
        <w:rPr>
          <w:rFonts w:ascii="Times New Roman" w:eastAsia="Times New Roman" w:hAnsi="Times New Roman" w:cs="Times New Roman"/>
          <w:noProof/>
          <w:sz w:val="15"/>
          <w:szCs w:val="15"/>
        </w:r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456"/>
        </w:trPr>
        <w:tc>
          <w:tcPr>
            <w:tcW w:w="78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noProof/>
              </w:rPr>
              <w:br w:type="page"/>
            </w: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82"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19"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bl>
    <w:p>
      <w:pPr>
        <w:widowControl w:val="0"/>
        <w:spacing w:after="0" w:line="240" w:lineRule="auto"/>
        <w:jc w:val="center"/>
        <w:rPr>
          <w:rFonts w:ascii="Times New Roman" w:hAnsi="Times New Roman" w:cs="Times New Roman"/>
          <w:noProof/>
        </w:r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4"/>
      </w:tblGrid>
      <w:tr>
        <w:trPr>
          <w:trHeight w:hRule="exact" w:val="653"/>
        </w:trPr>
        <w:tc>
          <w:tcPr>
            <w:tcW w:w="780"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78" w:after="0" w:line="271" w:lineRule="auto"/>
              <w:ind w:right="46"/>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55 </w:t>
            </w:r>
            <w:r>
              <w:rPr>
                <w:rFonts w:ascii="Times New Roman" w:hAnsi="Times New Roman" w:cs="Times New Roman"/>
                <w:b/>
                <w:i/>
                <w:noProof/>
                <w:w w:val="105"/>
                <w:sz w:val="12"/>
              </w:rPr>
              <w:t>bis</w:t>
            </w:r>
            <w:r>
              <w:rPr>
                <w:rFonts w:ascii="Times New Roman" w:hAnsi="Times New Roman" w:cs="Times New Roman"/>
                <w:b/>
                <w:noProof/>
                <w:w w:val="105"/>
                <w:sz w:val="12"/>
              </w:rPr>
              <w:t xml:space="preserve"> + annexe IV </w:t>
            </w:r>
            <w:r>
              <w:rPr>
                <w:rFonts w:ascii="Times New Roman" w:hAnsi="Times New Roman" w:cs="Times New Roman"/>
                <w:b/>
                <w:i/>
                <w:noProof/>
                <w:w w:val="105"/>
                <w:sz w:val="12"/>
              </w:rPr>
              <w:t>bis</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9"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Travail à temps partiel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8" w:after="0" w:line="271" w:lineRule="auto"/>
              <w:ind w:right="14"/>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C(2013) 9046 - Décision de la Commission relative à l'article 55 </w:t>
            </w:r>
            <w:r>
              <w:rPr>
                <w:rFonts w:ascii="Times New Roman" w:hAnsi="Times New Roman" w:cs="Times New Roman"/>
                <w:i/>
                <w:noProof/>
                <w:w w:val="105"/>
                <w:sz w:val="12"/>
              </w:rPr>
              <w:t>bis</w:t>
            </w:r>
            <w:r>
              <w:rPr>
                <w:rFonts w:ascii="Times New Roman" w:hAnsi="Times New Roman" w:cs="Times New Roman"/>
                <w:noProof/>
                <w:w w:val="105"/>
                <w:sz w:val="12"/>
              </w:rPr>
              <w:t xml:space="preserve"> et à l'annexe IV </w:t>
            </w:r>
            <w:r>
              <w:rPr>
                <w:rFonts w:ascii="Times New Roman" w:hAnsi="Times New Roman" w:cs="Times New Roman"/>
                <w:i/>
                <w:noProof/>
                <w:w w:val="105"/>
                <w:sz w:val="12"/>
              </w:rPr>
              <w:t>bis</w:t>
            </w:r>
            <w:r>
              <w:rPr>
                <w:rFonts w:ascii="Times New Roman" w:hAnsi="Times New Roman" w:cs="Times New Roman"/>
                <w:noProof/>
                <w:w w:val="105"/>
                <w:sz w:val="12"/>
              </w:rPr>
              <w:t xml:space="preserve"> du statut concernant le travail à temps partiel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8.1.2016</w:t>
            </w:r>
          </w:p>
        </w:tc>
        <w:tc>
          <w:tcPr>
            <w:tcW w:w="984" w:type="dxa"/>
            <w:vMerge w:val="restart"/>
            <w:tcBorders>
              <w:top w:val="single" w:sz="4" w:space="0" w:color="000000"/>
              <w:left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10"/>
        </w:trPr>
        <w:tc>
          <w:tcPr>
            <w:tcW w:w="780" w:type="dxa"/>
            <w:vMerge/>
            <w:tcBorders>
              <w:left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6" w:after="0" w:line="271" w:lineRule="auto"/>
              <w:ind w:right="29"/>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C(2015) 9720 final - Décision de la Commission relative à l'article 55 </w:t>
            </w:r>
            <w:r>
              <w:rPr>
                <w:rFonts w:ascii="Times New Roman" w:hAnsi="Times New Roman" w:cs="Times New Roman"/>
                <w:i/>
                <w:noProof/>
                <w:w w:val="105"/>
                <w:sz w:val="12"/>
              </w:rPr>
              <w:t>bis</w:t>
            </w:r>
            <w:r>
              <w:rPr>
                <w:rFonts w:ascii="Times New Roman" w:hAnsi="Times New Roman" w:cs="Times New Roman"/>
                <w:noProof/>
                <w:w w:val="105"/>
                <w:sz w:val="12"/>
              </w:rPr>
              <w:t xml:space="preserve"> et à l'annexe IV </w:t>
            </w:r>
            <w:r>
              <w:rPr>
                <w:rFonts w:ascii="Times New Roman" w:hAnsi="Times New Roman" w:cs="Times New Roman"/>
                <w:i/>
                <w:noProof/>
                <w:w w:val="105"/>
                <w:sz w:val="12"/>
              </w:rPr>
              <w:t>bis</w:t>
            </w:r>
            <w:r>
              <w:rPr>
                <w:rFonts w:ascii="Times New Roman" w:hAnsi="Times New Roman" w:cs="Times New Roman"/>
                <w:noProof/>
                <w:w w:val="105"/>
                <w:sz w:val="12"/>
              </w:rPr>
              <w:t xml:space="preserve"> du statut concernant le travail à temps partiel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8.1.2016</w:t>
            </w:r>
          </w:p>
        </w:tc>
        <w:tc>
          <w:tcPr>
            <w:tcW w:w="1800" w:type="dxa"/>
            <w:tcBorders>
              <w:top w:val="single" w:sz="3" w:space="0" w:color="000000"/>
              <w:left w:val="single" w:sz="3" w:space="0" w:color="000000"/>
              <w:bottom w:val="single" w:sz="3" w:space="0" w:color="000000"/>
              <w:right w:val="single" w:sz="4" w:space="0" w:color="000000"/>
            </w:tcBorders>
            <w:shd w:val="clear" w:color="auto" w:fill="DA9694"/>
          </w:tcPr>
          <w:p>
            <w:pPr>
              <w:jc w:val="center"/>
              <w:rPr>
                <w:rFonts w:ascii="Times New Roman" w:hAnsi="Times New Roman" w:cs="Times New Roman"/>
                <w:noProof/>
              </w:rPr>
            </w:pPr>
          </w:p>
        </w:tc>
        <w:tc>
          <w:tcPr>
            <w:tcW w:w="984" w:type="dxa"/>
            <w:vMerge/>
            <w:tcBorders>
              <w:left w:val="single" w:sz="4" w:space="0" w:color="000000"/>
              <w:bottom w:val="single" w:sz="4" w:space="0" w:color="000000"/>
              <w:right w:val="single" w:sz="4" w:space="0" w:color="auto"/>
            </w:tcBorders>
            <w:shd w:val="clear" w:color="auto" w:fill="DA9694"/>
          </w:tcPr>
          <w:p>
            <w:pPr>
              <w:jc w:val="center"/>
              <w:rPr>
                <w:rFonts w:ascii="Times New Roman" w:hAnsi="Times New Roman" w:cs="Times New Roman"/>
                <w:noProof/>
              </w:rPr>
            </w:pPr>
          </w:p>
        </w:tc>
      </w:tr>
      <w:tr>
        <w:trPr>
          <w:trHeight w:hRule="exact" w:val="746"/>
        </w:trPr>
        <w:tc>
          <w:tcPr>
            <w:tcW w:w="780" w:type="dxa"/>
            <w:vMerge/>
            <w:tcBorders>
              <w:left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1" w:after="0" w:line="240" w:lineRule="auto"/>
              <w:jc w:val="center"/>
              <w:rPr>
                <w:rFonts w:ascii="Times New Roman" w:eastAsia="Times New Roman" w:hAnsi="Times New Roman" w:cs="Times New Roman"/>
                <w:noProof/>
                <w:sz w:val="23"/>
                <w:szCs w:val="23"/>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Télétravail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6" w:after="0" w:line="271" w:lineRule="auto"/>
              <w:ind w:right="87"/>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C(2009) 10224 - Décision de la Commission relative à la mise en œuvre du télétravail dans les services de la Commission pour la période de 2010 à 2015 [telle que modifiée par la décision C(2013) 9045]</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18.12.2009</w:t>
            </w:r>
          </w:p>
        </w:tc>
        <w:tc>
          <w:tcPr>
            <w:tcW w:w="1800" w:type="dxa"/>
            <w:tcBorders>
              <w:top w:val="single" w:sz="3" w:space="0" w:color="000000"/>
              <w:left w:val="single" w:sz="3" w:space="0" w:color="000000"/>
              <w:bottom w:val="single" w:sz="3"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1.1.2016</w:t>
            </w:r>
          </w:p>
        </w:tc>
        <w:tc>
          <w:tcPr>
            <w:tcW w:w="984" w:type="dxa"/>
            <w:vMerge w:val="restart"/>
            <w:tcBorders>
              <w:top w:val="single" w:sz="4" w:space="0" w:color="000000"/>
              <w:left w:val="single" w:sz="4" w:space="0" w:color="000000"/>
              <w:bottom w:val="single" w:sz="4" w:space="0" w:color="auto"/>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1"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90"/>
        </w:trPr>
        <w:tc>
          <w:tcPr>
            <w:tcW w:w="780"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7" w:after="0" w:line="271" w:lineRule="auto"/>
              <w:ind w:right="154"/>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C(2015) 9151 final - Décision de la Commission relative à la mise en œuvre du télétravail dans les services de la Commission </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1.1.2016</w:t>
            </w:r>
          </w:p>
        </w:tc>
        <w:tc>
          <w:tcPr>
            <w:tcW w:w="1800" w:type="dxa"/>
            <w:tcBorders>
              <w:top w:val="single" w:sz="3" w:space="0" w:color="000000"/>
              <w:left w:val="single" w:sz="3" w:space="0" w:color="000000"/>
              <w:bottom w:val="single" w:sz="3" w:space="0" w:color="000000"/>
              <w:right w:val="single" w:sz="4" w:space="0" w:color="000000"/>
            </w:tcBorders>
            <w:shd w:val="clear" w:color="auto" w:fill="DA9694"/>
          </w:tcPr>
          <w:p>
            <w:pPr>
              <w:jc w:val="center"/>
              <w:rPr>
                <w:rFonts w:ascii="Times New Roman" w:hAnsi="Times New Roman" w:cs="Times New Roman"/>
                <w:noProof/>
              </w:rPr>
            </w:pPr>
          </w:p>
        </w:tc>
        <w:tc>
          <w:tcPr>
            <w:tcW w:w="984" w:type="dxa"/>
            <w:vMerge/>
            <w:tcBorders>
              <w:left w:val="single" w:sz="4" w:space="0" w:color="000000"/>
              <w:bottom w:val="single" w:sz="4" w:space="0" w:color="auto"/>
              <w:right w:val="single" w:sz="4" w:space="0" w:color="auto"/>
            </w:tcBorders>
            <w:shd w:val="clear" w:color="auto" w:fill="DA9694"/>
          </w:tcPr>
          <w:p>
            <w:pPr>
              <w:jc w:val="center"/>
              <w:rPr>
                <w:rFonts w:ascii="Times New Roman" w:hAnsi="Times New Roman" w:cs="Times New Roman"/>
                <w:noProof/>
              </w:rPr>
            </w:pPr>
          </w:p>
        </w:tc>
      </w:tr>
      <w:tr>
        <w:trPr>
          <w:trHeight w:hRule="exact" w:val="662"/>
        </w:trPr>
        <w:tc>
          <w:tcPr>
            <w:tcW w:w="78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 xml:space="preserve">55 </w:t>
            </w:r>
            <w:r>
              <w:rPr>
                <w:rFonts w:ascii="Times New Roman" w:hAnsi="Times New Roman" w:cs="Times New Roman"/>
                <w:b/>
                <w:i/>
                <w:noProof/>
                <w:spacing w:val="1"/>
                <w:w w:val="105"/>
                <w:sz w:val="12"/>
              </w:rPr>
              <w:t>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noProof/>
                <w:sz w:val="20"/>
                <w:szCs w:val="20"/>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Emploi partagé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5"/>
                <w:szCs w:val="15"/>
              </w:rPr>
            </w:pPr>
          </w:p>
          <w:p>
            <w:pPr>
              <w:widowControl w:val="0"/>
              <w:spacing w:after="0" w:line="271" w:lineRule="auto"/>
              <w:ind w:right="118"/>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C(2004) 1314 - Décision de la Commission concernant l'article 55 </w:t>
            </w:r>
            <w:r>
              <w:rPr>
                <w:rFonts w:ascii="Times New Roman" w:hAnsi="Times New Roman" w:cs="Times New Roman"/>
                <w:i/>
                <w:noProof/>
                <w:w w:val="105"/>
                <w:sz w:val="12"/>
              </w:rPr>
              <w:t>ter</w:t>
            </w:r>
            <w:r>
              <w:rPr>
                <w:rFonts w:ascii="Times New Roman" w:hAnsi="Times New Roman" w:cs="Times New Roman"/>
                <w:noProof/>
                <w:w w:val="105"/>
                <w:sz w:val="12"/>
              </w:rPr>
              <w:t xml:space="preserve"> du statut relatif à l'emploi partagé</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4" w:space="0" w:color="auto"/>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11"/>
        </w:trPr>
        <w:tc>
          <w:tcPr>
            <w:tcW w:w="780"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56</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98"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Heures supplémentaires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5" w:after="0" w:line="271" w:lineRule="auto"/>
              <w:ind w:right="216"/>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C(2004) 1318/5 - Décision de la Commission relative aux prestations des chauffeurs de la Commission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7.4.2004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29"/>
        </w:trPr>
        <w:tc>
          <w:tcPr>
            <w:tcW w:w="780"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noProof/>
                <w:sz w:val="14"/>
                <w:szCs w:val="14"/>
              </w:rPr>
            </w:pPr>
          </w:p>
          <w:p>
            <w:pPr>
              <w:widowControl w:val="0"/>
              <w:spacing w:after="0" w:line="271" w:lineRule="auto"/>
              <w:ind w:right="190"/>
              <w:jc w:val="center"/>
              <w:rPr>
                <w:rFonts w:ascii="Times New Roman" w:eastAsia="Times New Roman" w:hAnsi="Times New Roman" w:cs="Times New Roman"/>
                <w:noProof/>
                <w:sz w:val="12"/>
                <w:szCs w:val="12"/>
              </w:rPr>
            </w:pPr>
            <w:r>
              <w:rPr>
                <w:rFonts w:ascii="Times New Roman" w:hAnsi="Times New Roman" w:cs="Times New Roman"/>
                <w:noProof/>
                <w:w w:val="105"/>
                <w:sz w:val="12"/>
              </w:rPr>
              <w:t>C(1986) 0905/6 - Décision de la Commission relative aux heures supplémentaires des fonctionnaires et agents C des cabinets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1986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ind w:right="979"/>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2 - Congés</w:t>
            </w:r>
          </w:p>
        </w:tc>
      </w:tr>
      <w:tr>
        <w:trPr>
          <w:trHeight w:hRule="exact" w:val="372"/>
        </w:trPr>
        <w:tc>
          <w:tcPr>
            <w:tcW w:w="780" w:type="dxa"/>
            <w:vMerge w:val="restart"/>
            <w:tcBorders>
              <w:top w:val="single" w:sz="5" w:space="0" w:color="000000"/>
              <w:left w:val="single" w:sz="5"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94"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57 + annexe V</w:t>
            </w:r>
          </w:p>
        </w:tc>
        <w:tc>
          <w:tcPr>
            <w:tcW w:w="2722"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108"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Congés annuels et congés spéciaux</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9051 - Décision de la Commission relative aux congés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792"/>
        </w:trPr>
        <w:tc>
          <w:tcPr>
            <w:tcW w:w="780" w:type="dxa"/>
            <w:vMerge/>
            <w:tcBorders>
              <w:left w:val="single" w:sz="5"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9"/>
                <w:szCs w:val="9"/>
              </w:rPr>
            </w:pPr>
          </w:p>
          <w:p>
            <w:pPr>
              <w:widowControl w:val="0"/>
              <w:spacing w:after="0" w:line="271" w:lineRule="auto"/>
              <w:ind w:right="133"/>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C(2013) 9035 final - Décision relative au congé dans le foyer pour les fonctionnaires, les agents temporaires et les agents contractuels affectés dans les pays tiers </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6"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89"/>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0"/>
                <w:szCs w:val="10"/>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58</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4"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Congé de maternité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9051 - Décision de la Commission relative aux congés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662"/>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59 - 60</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noProof/>
                <w:sz w:val="20"/>
                <w:szCs w:val="20"/>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Congé de maladie</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3" w:after="0" w:line="271" w:lineRule="auto"/>
              <w:ind w:right="74"/>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C(2004) 1597/11 - Décision de la Commission portant création des dispositions d’application en matière d’absence pour maladie ou accident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28.4.2004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05"/>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C5D9F1"/>
          </w:tcPr>
          <w:p>
            <w:pPr>
              <w:widowControl w:val="0"/>
              <w:spacing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V + annexe VII - Du régime pécuniaire et des avantages sociaux du fonctionnaire</w:t>
            </w:r>
          </w:p>
        </w:tc>
      </w:tr>
      <w:tr>
        <w:trPr>
          <w:trHeight w:hRule="exact" w:val="300"/>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35"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Rémunération et remboursement de frais</w:t>
            </w:r>
          </w:p>
        </w:tc>
      </w:tr>
      <w:tr>
        <w:trPr>
          <w:trHeight w:hRule="exact" w:val="264"/>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27"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Annexe VII - Règles relatives à la rémunération et aux remboursements de frais</w:t>
            </w:r>
          </w:p>
        </w:tc>
      </w:tr>
      <w:tr>
        <w:trPr>
          <w:trHeight w:hRule="exact" w:val="264"/>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27" w:after="0" w:line="240" w:lineRule="auto"/>
              <w:ind w:right="979"/>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1 - Allocations familiales</w:t>
            </w:r>
          </w:p>
        </w:tc>
      </w:tr>
      <w:tr>
        <w:trPr>
          <w:trHeight w:hRule="exact" w:val="934"/>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18" w:after="0" w:line="271" w:lineRule="auto"/>
              <w:ind w:right="63"/>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(articles 1</w:t>
            </w:r>
            <w:r>
              <w:rPr>
                <w:rFonts w:ascii="Times New Roman" w:hAnsi="Times New Roman" w:cs="Times New Roman"/>
                <w:b/>
                <w:noProof/>
                <w:spacing w:val="-2"/>
                <w:w w:val="105"/>
                <w:sz w:val="12"/>
                <w:vertAlign w:val="superscript"/>
              </w:rPr>
              <w:t>er</w:t>
            </w:r>
            <w:r>
              <w:rPr>
                <w:rFonts w:ascii="Times New Roman" w:hAnsi="Times New Roman" w:cs="Times New Roman"/>
                <w:b/>
                <w:noProof/>
                <w:spacing w:val="-2"/>
                <w:w w:val="105"/>
                <w:sz w:val="12"/>
              </w:rPr>
              <w:t xml:space="preserve"> - 3)</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7"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Allocations familiales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13"/>
                <w:szCs w:val="13"/>
              </w:rPr>
            </w:pPr>
          </w:p>
          <w:p>
            <w:pPr>
              <w:widowControl w:val="0"/>
              <w:spacing w:after="0" w:line="271" w:lineRule="auto"/>
              <w:ind w:right="80"/>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C(2004) 1364/4 - Décision de la Commission - Dispositions générales d'exécution relatives à l'application des articles 67 et 68 du statut des fonctionnaires et des articles 1</w:t>
            </w:r>
            <w:r>
              <w:rPr>
                <w:rFonts w:ascii="Times New Roman" w:hAnsi="Times New Roman" w:cs="Times New Roman"/>
                <w:noProof/>
                <w:w w:val="105"/>
                <w:sz w:val="12"/>
                <w:vertAlign w:val="superscript"/>
              </w:rPr>
              <w:t>er</w:t>
            </w:r>
            <w:r>
              <w:rPr>
                <w:rFonts w:ascii="Times New Roman" w:hAnsi="Times New Roman" w:cs="Times New Roman"/>
                <w:noProof/>
                <w:w w:val="105"/>
                <w:sz w:val="12"/>
              </w:rPr>
              <w:t>, 2 et 3 de son annexe VII</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15.4.2004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7"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924"/>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lang w:val="da-DK"/>
              </w:rPr>
            </w:pPr>
          </w:p>
          <w:p>
            <w:pPr>
              <w:widowControl w:val="0"/>
              <w:spacing w:before="99" w:after="0" w:line="240" w:lineRule="auto"/>
              <w:jc w:val="center"/>
              <w:rPr>
                <w:rFonts w:ascii="Times New Roman" w:eastAsia="Times New Roman" w:hAnsi="Times New Roman" w:cs="Times New Roman"/>
                <w:noProof/>
                <w:sz w:val="12"/>
                <w:szCs w:val="12"/>
                <w:lang w:val="da-DK"/>
              </w:rPr>
            </w:pPr>
            <w:r>
              <w:rPr>
                <w:rFonts w:ascii="Times New Roman" w:hAnsi="Times New Roman" w:cs="Times New Roman"/>
                <w:b/>
                <w:noProof/>
                <w:w w:val="105"/>
                <w:sz w:val="12"/>
                <w:lang w:val="da-DK"/>
              </w:rPr>
              <w:t>67 - 68 +</w:t>
            </w:r>
          </w:p>
          <w:p>
            <w:pPr>
              <w:widowControl w:val="0"/>
              <w:spacing w:before="18" w:after="0" w:line="271" w:lineRule="auto"/>
              <w:ind w:right="45"/>
              <w:jc w:val="center"/>
              <w:rPr>
                <w:rFonts w:ascii="Times New Roman" w:eastAsia="Times New Roman" w:hAnsi="Times New Roman" w:cs="Times New Roman"/>
                <w:noProof/>
                <w:sz w:val="12"/>
                <w:szCs w:val="12"/>
                <w:lang w:val="da-DK"/>
              </w:rPr>
            </w:pPr>
            <w:r>
              <w:rPr>
                <w:rFonts w:ascii="Times New Roman" w:hAnsi="Times New Roman" w:cs="Times New Roman"/>
                <w:b/>
                <w:noProof/>
                <w:spacing w:val="-2"/>
                <w:w w:val="105"/>
                <w:sz w:val="12"/>
                <w:lang w:val="da-DK"/>
              </w:rPr>
              <w:t>annexe VII [art. 1</w:t>
            </w:r>
            <w:r>
              <w:rPr>
                <w:rFonts w:ascii="Times New Roman" w:hAnsi="Times New Roman" w:cs="Times New Roman"/>
                <w:b/>
                <w:noProof/>
                <w:spacing w:val="-2"/>
                <w:w w:val="105"/>
                <w:sz w:val="12"/>
                <w:vertAlign w:val="superscript"/>
                <w:lang w:val="da-DK"/>
              </w:rPr>
              <w:t>er</w:t>
            </w:r>
            <w:r>
              <w:rPr>
                <w:rFonts w:ascii="Times New Roman" w:hAnsi="Times New Roman" w:cs="Times New Roman"/>
                <w:b/>
                <w:noProof/>
                <w:spacing w:val="-2"/>
                <w:w w:val="105"/>
                <w:sz w:val="12"/>
                <w:lang w:val="da-DK"/>
              </w:rPr>
              <w:t xml:space="preserve"> (2) point d)]</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lang w:val="da-DK"/>
              </w:rPr>
            </w:pPr>
          </w:p>
          <w:p>
            <w:pPr>
              <w:widowControl w:val="0"/>
              <w:spacing w:after="0" w:line="247" w:lineRule="auto"/>
              <w:ind w:right="221"/>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Allocation de foyer par décision spéciale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 w:after="0" w:line="240" w:lineRule="auto"/>
              <w:jc w:val="center"/>
              <w:rPr>
                <w:rFonts w:ascii="Times New Roman" w:eastAsia="Times New Roman" w:hAnsi="Times New Roman" w:cs="Times New Roman"/>
                <w:noProof/>
                <w:sz w:val="15"/>
                <w:szCs w:val="15"/>
              </w:rPr>
            </w:pPr>
          </w:p>
          <w:p>
            <w:pPr>
              <w:widowControl w:val="0"/>
              <w:spacing w:after="0" w:line="271" w:lineRule="auto"/>
              <w:ind w:right="227"/>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C(2004) 1364/1 - Dispositions générales d'exécution concernant l'allocation de foyer par décision spéciale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924"/>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67 - 68 +</w:t>
            </w: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annexe VII [articles 2 (4)]</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rPr>
            </w:pPr>
          </w:p>
          <w:p>
            <w:pPr>
              <w:widowControl w:val="0"/>
              <w:spacing w:after="0" w:line="247" w:lineRule="auto"/>
              <w:ind w:right="221"/>
              <w:jc w:val="center"/>
              <w:rPr>
                <w:rFonts w:ascii="Times New Roman" w:eastAsia="Times New Roman" w:hAnsi="Times New Roman" w:cs="Times New Roman"/>
                <w:noProof/>
              </w:rPr>
            </w:pPr>
            <w:r>
              <w:rPr>
                <w:rFonts w:ascii="Times New Roman" w:hAnsi="Times New Roman" w:cs="Times New Roman"/>
                <w:b/>
                <w:noProof/>
                <w:spacing w:val="-1"/>
                <w:sz w:val="17"/>
              </w:rPr>
              <w:t>Personnes assimilées à un enfant à charge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C(2004) 1364/2 - Décision de la Commission portant dispositions générales d'exécution en matière de personne assimilée à l'enfant à charge (article 2, paragraphe 4, de l'annexe VII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15.4.2004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924"/>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67 - 68 +</w:t>
            </w: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annexe VII (article 3)</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rPr>
            </w:pPr>
          </w:p>
          <w:p>
            <w:pPr>
              <w:widowControl w:val="0"/>
              <w:spacing w:after="0" w:line="247" w:lineRule="auto"/>
              <w:ind w:right="221"/>
              <w:jc w:val="center"/>
              <w:rPr>
                <w:rFonts w:ascii="Times New Roman" w:eastAsia="Times New Roman" w:hAnsi="Times New Roman" w:cs="Times New Roman"/>
                <w:noProof/>
              </w:rPr>
            </w:pPr>
            <w:r>
              <w:rPr>
                <w:rFonts w:ascii="Times New Roman" w:hAnsi="Times New Roman" w:cs="Times New Roman"/>
                <w:b/>
                <w:noProof/>
                <w:spacing w:val="-1"/>
                <w:sz w:val="17"/>
              </w:rPr>
              <w:t>Allocation scolaire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C(2013) 8971 - Décision de la Commission portant dispositions générales d’exécution relatives à l’octroi de l’allocation scolaire (article 3 de l’annexe VII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jc w:val="center"/>
        <w:rPr>
          <w:rFonts w:ascii="Times New Roman" w:hAnsi="Times New Roman" w:cs="Times New Roman"/>
          <w:noProof/>
        </w:rPr>
      </w:pPr>
      <w:r>
        <w:rPr>
          <w:rFonts w:ascii="Times New Roman" w:hAnsi="Times New Roman" w:cs="Times New Roman"/>
          <w:noProof/>
        </w:rPr>
        <w:br w:type="page"/>
      </w: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456"/>
        </w:trPr>
        <w:tc>
          <w:tcPr>
            <w:tcW w:w="78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82"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19"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szCs w:val="12"/>
              </w:rPr>
              <w:t>Comptabilisation</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Section 3 - Remboursement de frais</w:t>
            </w:r>
          </w:p>
        </w:tc>
      </w:tr>
      <w:tr>
        <w:trPr>
          <w:trHeight w:hRule="exact" w:val="706"/>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after="0" w:line="271" w:lineRule="auto"/>
              <w:ind w:right="6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71 + annexe VII (art. 7 - 8)</w:t>
            </w:r>
          </w:p>
        </w:tc>
        <w:tc>
          <w:tcPr>
            <w:tcW w:w="2722" w:type="dxa"/>
            <w:tcBorders>
              <w:top w:val="single" w:sz="5" w:space="0" w:color="000000"/>
              <w:left w:val="single" w:sz="3" w:space="0" w:color="000000"/>
              <w:bottom w:val="single" w:sz="3" w:space="0" w:color="000000"/>
              <w:right w:val="single" w:sz="4" w:space="0" w:color="000000"/>
            </w:tcBorders>
            <w:shd w:val="clear" w:color="auto" w:fill="FFFF65"/>
          </w:tcPr>
          <w:p>
            <w:pPr>
              <w:widowControl w:val="0"/>
              <w:spacing w:before="101"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6"/>
              </w:rPr>
              <w:t>Frais de voyage</w:t>
            </w:r>
          </w:p>
        </w:tc>
        <w:tc>
          <w:tcPr>
            <w:tcW w:w="3230" w:type="dxa"/>
            <w:tcBorders>
              <w:top w:val="single" w:sz="6" w:space="0" w:color="000000"/>
              <w:left w:val="single" w:sz="4" w:space="0" w:color="000000"/>
              <w:right w:val="single" w:sz="4" w:space="0" w:color="000000"/>
            </w:tcBorders>
            <w:shd w:val="clear" w:color="auto" w:fill="FFFF65"/>
          </w:tcPr>
          <w:p>
            <w:pPr>
              <w:widowControl w:val="0"/>
              <w:spacing w:before="107" w:after="0" w:line="271" w:lineRule="auto"/>
              <w:ind w:right="66"/>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C(2013) 8987 - Décision de la Commission portant dispositions générales d’exécution de l’article 8 de l’annexe VII du statut </w:t>
            </w:r>
          </w:p>
        </w:tc>
        <w:tc>
          <w:tcPr>
            <w:tcW w:w="1409" w:type="dxa"/>
            <w:tcBorders>
              <w:top w:val="single" w:sz="6" w:space="0" w:color="000000"/>
              <w:left w:val="single" w:sz="4" w:space="0" w:color="000000"/>
              <w:right w:val="single" w:sz="4" w:space="0" w:color="000000"/>
            </w:tcBorders>
            <w:shd w:val="clear" w:color="auto" w:fill="FFFF65"/>
          </w:tcPr>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4"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659"/>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after="0" w:line="240" w:lineRule="auto"/>
              <w:ind w:left="78"/>
              <w:rPr>
                <w:rFonts w:ascii="Times New Roman" w:eastAsia="Times New Roman" w:hAnsi="Times New Roman" w:cs="Times New Roman"/>
                <w:noProof/>
                <w:sz w:val="12"/>
                <w:szCs w:val="12"/>
              </w:rPr>
            </w:pPr>
            <w:r>
              <w:rPr>
                <w:rFonts w:ascii="Times New Roman" w:hAnsi="Times New Roman" w:cs="Times New Roman"/>
                <w:b/>
                <w:noProof/>
                <w:w w:val="105"/>
                <w:sz w:val="12"/>
              </w:rPr>
              <w:t>71 + annexe</w:t>
            </w:r>
          </w:p>
          <w:p>
            <w:pPr>
              <w:widowControl w:val="0"/>
              <w:spacing w:before="18" w:after="0" w:line="240" w:lineRule="auto"/>
              <w:ind w:left="85"/>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VII (art. 8)</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ind w:left="838"/>
              <w:rPr>
                <w:rFonts w:ascii="Times New Roman" w:eastAsia="Times New Roman" w:hAnsi="Times New Roman" w:cs="Times New Roman"/>
                <w:noProof/>
                <w:sz w:val="17"/>
                <w:szCs w:val="17"/>
              </w:rPr>
            </w:pPr>
            <w:r>
              <w:rPr>
                <w:rFonts w:ascii="Times New Roman" w:hAnsi="Times New Roman" w:cs="Times New Roman"/>
                <w:b/>
                <w:noProof/>
                <w:spacing w:val="-3"/>
                <w:sz w:val="17"/>
              </w:rPr>
              <w:t>Lieu d’origine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71" w:lineRule="auto"/>
              <w:ind w:left="75" w:right="75" w:firstLine="2"/>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8982 - Décision de la Commission portant dispositions générales d'exécution de l'article 7, paragraphe 4, de l'annexe VII du statut, relatif à la fixation du lieu d'origine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ind w:left="409"/>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648"/>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before="23" w:after="0" w:line="271" w:lineRule="auto"/>
              <w:ind w:left="37" w:right="38" w:firstLine="4"/>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71 + annexe VII (art. 7 - 9</w:t>
            </w:r>
          </w:p>
          <w:p>
            <w:pPr>
              <w:widowControl w:val="0"/>
              <w:spacing w:after="0" w:line="271" w:lineRule="auto"/>
              <w:ind w:left="70" w:right="68"/>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 xml:space="preserve">et art. 11 - 13 </w:t>
            </w:r>
            <w:r>
              <w:rPr>
                <w:rFonts w:ascii="Times New Roman" w:hAnsi="Times New Roman" w:cs="Times New Roman"/>
                <w:b/>
                <w:i/>
                <w:noProof/>
                <w:spacing w:val="-1"/>
                <w:w w:val="105"/>
                <w:sz w:val="12"/>
              </w:rPr>
              <w:t>bis</w:t>
            </w:r>
            <w:r>
              <w:rPr>
                <w:rFonts w:ascii="Times New Roman" w:hAnsi="Times New Roman" w:cs="Times New Roman"/>
                <w:b/>
                <w:noProof/>
                <w:spacing w:val="-1"/>
                <w:w w:val="105"/>
                <w:sz w:val="12"/>
              </w:rPr>
              <w:t>)</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rPr>
                <w:rFonts w:ascii="Times New Roman" w:eastAsia="Times New Roman" w:hAnsi="Times New Roman" w:cs="Times New Roman"/>
                <w:b/>
                <w:bCs/>
                <w:noProof/>
                <w:sz w:val="19"/>
                <w:szCs w:val="19"/>
              </w:rPr>
            </w:pPr>
          </w:p>
          <w:p>
            <w:pPr>
              <w:widowControl w:val="0"/>
              <w:spacing w:after="0" w:line="240" w:lineRule="auto"/>
              <w:ind w:left="706"/>
              <w:rPr>
                <w:rFonts w:ascii="Times New Roman" w:eastAsia="Times New Roman" w:hAnsi="Times New Roman" w:cs="Times New Roman"/>
                <w:noProof/>
                <w:sz w:val="17"/>
                <w:szCs w:val="17"/>
              </w:rPr>
            </w:pPr>
            <w:r>
              <w:rPr>
                <w:rFonts w:ascii="Times New Roman" w:hAnsi="Times New Roman" w:cs="Times New Roman"/>
                <w:b/>
                <w:noProof/>
                <w:spacing w:val="-1"/>
                <w:sz w:val="17"/>
              </w:rPr>
              <w:t>Frais de déménagement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rPr>
                <w:rFonts w:ascii="Times New Roman" w:eastAsia="Times New Roman" w:hAnsi="Times New Roman" w:cs="Times New Roman"/>
                <w:b/>
                <w:bCs/>
                <w:noProof/>
                <w:sz w:val="15"/>
                <w:szCs w:val="15"/>
              </w:rPr>
            </w:pPr>
          </w:p>
          <w:p>
            <w:pPr>
              <w:widowControl w:val="0"/>
              <w:spacing w:after="0" w:line="271" w:lineRule="auto"/>
              <w:ind w:left="1153" w:right="84" w:hanging="1071"/>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C(2013) 9040 final - Dispositions générales d'exécution relatives aux frais de déménagement </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rPr>
                <w:rFonts w:ascii="Times New Roman" w:eastAsia="Times New Roman" w:hAnsi="Times New Roman" w:cs="Times New Roman"/>
                <w:b/>
                <w:bCs/>
                <w:noProof/>
                <w:sz w:val="12"/>
                <w:szCs w:val="12"/>
              </w:rPr>
            </w:pPr>
          </w:p>
          <w:p>
            <w:pPr>
              <w:widowControl w:val="0"/>
              <w:spacing w:before="1" w:after="0" w:line="240" w:lineRule="auto"/>
              <w:rPr>
                <w:rFonts w:ascii="Times New Roman" w:eastAsia="Times New Roman" w:hAnsi="Times New Roman" w:cs="Times New Roman"/>
                <w:b/>
                <w:bCs/>
                <w:noProof/>
                <w:sz w:val="10"/>
                <w:szCs w:val="10"/>
              </w:rPr>
            </w:pPr>
          </w:p>
          <w:p>
            <w:pPr>
              <w:widowControl w:val="0"/>
              <w:spacing w:after="0" w:line="240" w:lineRule="auto"/>
              <w:ind w:left="409"/>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val="188"/>
        </w:trPr>
        <w:tc>
          <w:tcPr>
            <w:tcW w:w="780" w:type="dxa"/>
            <w:vMerge w:val="restart"/>
            <w:tcBorders>
              <w:top w:val="single" w:sz="3" w:space="0" w:color="000000"/>
              <w:left w:val="single" w:sz="5" w:space="0" w:color="000000"/>
              <w:right w:val="single" w:sz="3" w:space="0" w:color="000000"/>
            </w:tcBorders>
            <w:shd w:val="clear" w:color="auto" w:fill="FFFF65"/>
          </w:tcPr>
          <w:p>
            <w:pPr>
              <w:widowControl w:val="0"/>
              <w:spacing w:after="0" w:line="240" w:lineRule="auto"/>
              <w:rPr>
                <w:rFonts w:ascii="Times New Roman" w:eastAsia="Times New Roman" w:hAnsi="Times New Roman" w:cs="Times New Roman"/>
                <w:b/>
                <w:bCs/>
                <w:noProof/>
                <w:sz w:val="12"/>
                <w:szCs w:val="12"/>
              </w:rPr>
            </w:pPr>
          </w:p>
          <w:p>
            <w:pPr>
              <w:widowControl w:val="0"/>
              <w:spacing w:after="0" w:line="240" w:lineRule="auto"/>
              <w:rPr>
                <w:rFonts w:ascii="Times New Roman" w:eastAsia="Times New Roman" w:hAnsi="Times New Roman" w:cs="Times New Roman"/>
                <w:b/>
                <w:bCs/>
                <w:noProof/>
                <w:sz w:val="12"/>
                <w:szCs w:val="12"/>
              </w:rPr>
            </w:pPr>
          </w:p>
          <w:p>
            <w:pPr>
              <w:widowControl w:val="0"/>
              <w:spacing w:after="0" w:line="240" w:lineRule="auto"/>
              <w:rPr>
                <w:rFonts w:ascii="Times New Roman" w:eastAsia="Times New Roman" w:hAnsi="Times New Roman" w:cs="Times New Roman"/>
                <w:b/>
                <w:bCs/>
                <w:noProof/>
                <w:sz w:val="16"/>
                <w:szCs w:val="16"/>
              </w:rPr>
            </w:pPr>
          </w:p>
          <w:p>
            <w:pPr>
              <w:widowControl w:val="0"/>
              <w:spacing w:after="0" w:line="240" w:lineRule="auto"/>
              <w:ind w:firstLine="57"/>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71 + annexe VII (art. 11 -</w:t>
            </w:r>
          </w:p>
          <w:p>
            <w:pPr>
              <w:widowControl w:val="0"/>
              <w:spacing w:after="0" w:line="240" w:lineRule="auto"/>
              <w:ind w:firstLine="57"/>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 xml:space="preserve">13 </w:t>
            </w:r>
            <w:r>
              <w:rPr>
                <w:rFonts w:ascii="Times New Roman" w:hAnsi="Times New Roman" w:cs="Times New Roman"/>
                <w:b/>
                <w:i/>
                <w:noProof/>
                <w:spacing w:val="1"/>
                <w:w w:val="105"/>
                <w:sz w:val="12"/>
              </w:rPr>
              <w:t>bis</w:t>
            </w:r>
            <w:r>
              <w:rPr>
                <w:rFonts w:ascii="Times New Roman" w:hAnsi="Times New Roman" w:cs="Times New Roman"/>
                <w:b/>
                <w:noProof/>
                <w:spacing w:val="1"/>
                <w:w w:val="105"/>
                <w:sz w:val="12"/>
              </w:rPr>
              <w:t>)</w:t>
            </w:r>
          </w:p>
        </w:tc>
        <w:tc>
          <w:tcPr>
            <w:tcW w:w="2722" w:type="dxa"/>
            <w:vMerge w:val="restart"/>
            <w:tcBorders>
              <w:top w:val="single" w:sz="3" w:space="0" w:color="000000"/>
              <w:left w:val="single" w:sz="3" w:space="0" w:color="000000"/>
              <w:right w:val="single" w:sz="3" w:space="0" w:color="000000"/>
            </w:tcBorders>
            <w:shd w:val="clear" w:color="auto" w:fill="FFFF65"/>
            <w:vAlign w:val="center"/>
          </w:tcPr>
          <w:p>
            <w:pPr>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Frais de mission et de déplacement</w:t>
            </w:r>
          </w:p>
        </w:tc>
        <w:tc>
          <w:tcPr>
            <w:tcW w:w="323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before="10" w:after="0" w:line="240" w:lineRule="auto"/>
              <w:rPr>
                <w:rFonts w:ascii="Times New Roman" w:eastAsia="Times New Roman" w:hAnsi="Times New Roman" w:cs="Times New Roman"/>
                <w:b/>
                <w:bCs/>
                <w:noProof/>
                <w:sz w:val="11"/>
                <w:szCs w:val="11"/>
              </w:rPr>
            </w:pPr>
          </w:p>
          <w:p>
            <w:pPr>
              <w:widowControl w:val="0"/>
              <w:spacing w:after="0" w:line="271" w:lineRule="auto"/>
              <w:ind w:left="39" w:right="39"/>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C(2002) 98 fixant les taux des indemnités journalières et les plafonds de remboursement de frais d'hôtel pour les missions effectuées en dehors du territoire européen des États membres de l'Union européenne</w:t>
            </w:r>
          </w:p>
        </w:tc>
        <w:tc>
          <w:tcPr>
            <w:tcW w:w="1409" w:type="dxa"/>
            <w:tcBorders>
              <w:top w:val="single" w:sz="3" w:space="0" w:color="000000"/>
              <w:left w:val="single" w:sz="3" w:space="0" w:color="000000"/>
              <w:bottom w:val="single" w:sz="4" w:space="0" w:color="auto"/>
              <w:right w:val="single" w:sz="3" w:space="0" w:color="000000"/>
            </w:tcBorders>
            <w:shd w:val="clear" w:color="auto" w:fill="D99594" w:themeFill="accent2" w:themeFillTint="99"/>
          </w:tcPr>
          <w:p>
            <w:pPr>
              <w:widowControl w:val="0"/>
              <w:spacing w:after="0" w:line="240" w:lineRule="auto"/>
              <w:rPr>
                <w:rFonts w:ascii="Times New Roman" w:eastAsia="Times New Roman" w:hAnsi="Times New Roman" w:cs="Times New Roman"/>
                <w:b/>
                <w:bCs/>
                <w:noProof/>
                <w:sz w:val="12"/>
                <w:szCs w:val="12"/>
              </w:rPr>
            </w:pPr>
          </w:p>
          <w:p>
            <w:pPr>
              <w:widowControl w:val="0"/>
              <w:spacing w:before="5" w:after="0" w:line="240" w:lineRule="auto"/>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2002</w:t>
            </w:r>
          </w:p>
        </w:tc>
        <w:tc>
          <w:tcPr>
            <w:tcW w:w="1800" w:type="dxa"/>
            <w:tcBorders>
              <w:top w:val="single" w:sz="3" w:space="0" w:color="000000"/>
              <w:left w:val="single" w:sz="3" w:space="0" w:color="000000"/>
              <w:bottom w:val="single" w:sz="4" w:space="0" w:color="auto"/>
              <w:right w:val="single" w:sz="3" w:space="0" w:color="000000"/>
            </w:tcBorders>
            <w:shd w:val="clear" w:color="auto" w:fill="D99594" w:themeFill="accent2" w:themeFillTint="99"/>
          </w:tcPr>
          <w:p>
            <w:pPr>
              <w:rPr>
                <w:rFonts w:ascii="Times New Roman" w:hAnsi="Times New Roman" w:cs="Times New Roman"/>
                <w:noProof/>
              </w:rPr>
            </w:pPr>
          </w:p>
        </w:tc>
        <w:tc>
          <w:tcPr>
            <w:tcW w:w="982" w:type="dxa"/>
            <w:tcBorders>
              <w:top w:val="single" w:sz="3" w:space="0" w:color="000000"/>
              <w:left w:val="single" w:sz="3" w:space="0" w:color="000000"/>
              <w:bottom w:val="single" w:sz="4" w:space="0" w:color="auto"/>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297"/>
        </w:trPr>
        <w:tc>
          <w:tcPr>
            <w:tcW w:w="780" w:type="dxa"/>
            <w:vMerge/>
            <w:tcBorders>
              <w:left w:val="single" w:sz="5" w:space="0" w:color="000000"/>
              <w:bottom w:val="single" w:sz="3" w:space="0" w:color="000000"/>
              <w:right w:val="single" w:sz="3" w:space="0" w:color="000000"/>
            </w:tcBorders>
            <w:shd w:val="clear" w:color="auto" w:fill="FFFF65"/>
          </w:tcPr>
          <w:p>
            <w:pPr>
              <w:widowControl w:val="0"/>
              <w:spacing w:before="23" w:after="0" w:line="271" w:lineRule="auto"/>
              <w:ind w:left="37" w:right="38" w:firstLine="4"/>
              <w:jc w:val="center"/>
              <w:rPr>
                <w:rFonts w:ascii="Times New Roman" w:hAnsi="Times New Roman" w:cs="Times New Roman"/>
                <w:b/>
                <w:noProof/>
                <w:spacing w:val="-1"/>
                <w:w w:val="105"/>
                <w:sz w:val="12"/>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before="8" w:after="0" w:line="240" w:lineRule="auto"/>
              <w:rPr>
                <w:rFonts w:ascii="Times New Roman" w:eastAsia="Times New Roman" w:hAnsi="Times New Roman" w:cs="Times New Roman"/>
                <w:b/>
                <w:bCs/>
                <w:noProof/>
                <w:sz w:val="19"/>
                <w:szCs w:val="19"/>
              </w:rPr>
            </w:pPr>
          </w:p>
        </w:tc>
        <w:tc>
          <w:tcPr>
            <w:tcW w:w="3230" w:type="dxa"/>
            <w:tcBorders>
              <w:top w:val="single" w:sz="3" w:space="0" w:color="000000"/>
              <w:left w:val="single" w:sz="3" w:space="0" w:color="000000"/>
              <w:bottom w:val="single" w:sz="3" w:space="0" w:color="000000"/>
              <w:right w:val="single" w:sz="4" w:space="0" w:color="000000"/>
            </w:tcBorders>
            <w:shd w:val="clear" w:color="auto" w:fill="FFFF65"/>
          </w:tcPr>
          <w:p>
            <w:pPr>
              <w:widowControl w:val="0"/>
              <w:spacing w:after="0" w:line="271" w:lineRule="auto"/>
              <w:ind w:left="1148" w:right="24" w:hanging="1126"/>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C(2008) 6215 - Dispositions générales d'exécution portant adoption du guide des missions </w:t>
            </w:r>
          </w:p>
        </w:tc>
        <w:tc>
          <w:tcPr>
            <w:tcW w:w="1409" w:type="dxa"/>
            <w:tcBorders>
              <w:top w:val="single" w:sz="4" w:space="0" w:color="auto"/>
              <w:left w:val="single" w:sz="4" w:space="0" w:color="000000"/>
              <w:bottom w:val="single" w:sz="4" w:space="0" w:color="000000"/>
              <w:right w:val="single" w:sz="4" w:space="0" w:color="000000"/>
            </w:tcBorders>
            <w:shd w:val="clear" w:color="auto" w:fill="FFFF65"/>
          </w:tcPr>
          <w:p>
            <w:pPr>
              <w:widowControl w:val="0"/>
              <w:spacing w:after="0" w:line="240" w:lineRule="auto"/>
              <w:ind w:left="409"/>
              <w:rPr>
                <w:rFonts w:ascii="Times New Roman" w:eastAsia="Times New Roman" w:hAnsi="Times New Roman" w:cs="Times New Roman"/>
                <w:noProof/>
                <w:sz w:val="12"/>
                <w:szCs w:val="12"/>
              </w:rPr>
            </w:pPr>
            <w:r>
              <w:rPr>
                <w:rFonts w:ascii="Times New Roman" w:hAnsi="Times New Roman" w:cs="Times New Roman"/>
                <w:noProof/>
                <w:w w:val="105"/>
                <w:sz w:val="12"/>
              </w:rPr>
              <w:t>1.1.2009</w:t>
            </w:r>
          </w:p>
        </w:tc>
        <w:tc>
          <w:tcPr>
            <w:tcW w:w="1800" w:type="dxa"/>
            <w:tcBorders>
              <w:top w:val="single" w:sz="4" w:space="0" w:color="auto"/>
              <w:left w:val="single" w:sz="4" w:space="0" w:color="000000"/>
              <w:bottom w:val="single" w:sz="4" w:space="0" w:color="000000"/>
              <w:right w:val="single" w:sz="4" w:space="0" w:color="000000"/>
            </w:tcBorders>
            <w:shd w:val="clear" w:color="auto" w:fill="FFFF65"/>
          </w:tcPr>
          <w:p>
            <w:pPr>
              <w:rPr>
                <w:rFonts w:ascii="Times New Roman" w:hAnsi="Times New Roman" w:cs="Times New Roman"/>
                <w:noProof/>
              </w:rPr>
            </w:pPr>
          </w:p>
        </w:tc>
        <w:tc>
          <w:tcPr>
            <w:tcW w:w="982" w:type="dxa"/>
            <w:tcBorders>
              <w:top w:val="single" w:sz="4" w:space="0" w:color="auto"/>
              <w:left w:val="single" w:sz="4" w:space="0" w:color="000000"/>
              <w:bottom w:val="single" w:sz="4" w:space="0" w:color="000000"/>
              <w:right w:val="single" w:sz="6"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2 - Sécurité sociale</w:t>
            </w:r>
          </w:p>
        </w:tc>
      </w:tr>
      <w:tr>
        <w:trPr>
          <w:trHeight w:hRule="exact" w:val="614"/>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97"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b/>
                <w:bCs/>
                <w:noProof/>
                <w:sz w:val="18"/>
                <w:szCs w:val="18"/>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Remboursement des frais médicaux</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76" w:after="0" w:line="271" w:lineRule="auto"/>
              <w:ind w:right="99"/>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C(2007) 3195 - Décision de la Commission portant fixation des dispositions générales d'exécution relatives au remboursement des frais médicaux</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9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1.7.2007</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annexe VIII - Pensions et allocation d’invalidité</w:t>
            </w:r>
          </w:p>
        </w:tc>
      </w:tr>
      <w:tr>
        <w:trPr>
          <w:trHeight w:hRule="exact" w:val="1145"/>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 w:after="0" w:line="240" w:lineRule="auto"/>
              <w:jc w:val="center"/>
              <w:rPr>
                <w:rFonts w:ascii="Times New Roman" w:eastAsia="Times New Roman" w:hAnsi="Times New Roman" w:cs="Times New Roman"/>
                <w:b/>
                <w:bCs/>
                <w:noProof/>
                <w:sz w:val="12"/>
                <w:szCs w:val="12"/>
              </w:rPr>
            </w:pPr>
          </w:p>
          <w:p>
            <w:pPr>
              <w:widowControl w:val="0"/>
              <w:spacing w:after="0" w:line="271" w:lineRule="auto"/>
              <w:ind w:right="61"/>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77 + annexe VIII (art. 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101"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Calcul des droits à pension</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7" w:after="0" w:line="271" w:lineRule="auto"/>
              <w:ind w:right="66"/>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C(2004) 1364 - Décision de la Commission portant dispositions générales d'exécution de l'article 4 de l'annexe VIII du statut concernant la prise en compte, pour le calcul des droits à pension, des périodes de services accomplies précédemment à la remise en activité</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15.4.2004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648"/>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before="98" w:after="0" w:line="271" w:lineRule="auto"/>
              <w:ind w:right="-5"/>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77 + annexe VIII (art. 11 - 12)</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Transfert des droits à pension</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5" w:after="0" w:line="271" w:lineRule="auto"/>
              <w:ind w:right="28"/>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C(2011) 1278 final - Décision relative aux dispositions générales d'exécution des articles 11 et 12 de l'annexe VIII du statut relatifs au transfert de droits à pension</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3.3.2011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VI - Du régime disciplinaire</w:t>
            </w:r>
          </w:p>
        </w:tc>
      </w:tr>
      <w:tr>
        <w:trPr>
          <w:trHeight w:hRule="exact" w:val="713"/>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b/>
                <w:bCs/>
                <w:noProof/>
                <w:sz w:val="17"/>
                <w:szCs w:val="17"/>
              </w:rPr>
            </w:pPr>
          </w:p>
          <w:p>
            <w:pPr>
              <w:widowControl w:val="0"/>
              <w:spacing w:after="0" w:line="271" w:lineRule="auto"/>
              <w:ind w:right="79"/>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86 + annexe IX</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 w:after="0" w:line="240" w:lineRule="auto"/>
              <w:jc w:val="center"/>
              <w:rPr>
                <w:rFonts w:ascii="Times New Roman" w:eastAsia="Times New Roman" w:hAnsi="Times New Roman" w:cs="Times New Roman"/>
                <w:b/>
                <w:bCs/>
                <w:noProof/>
                <w:sz w:val="13"/>
                <w:szCs w:val="13"/>
              </w:rPr>
            </w:pPr>
          </w:p>
          <w:p>
            <w:pPr>
              <w:widowControl w:val="0"/>
              <w:spacing w:after="0" w:line="258" w:lineRule="auto"/>
              <w:ind w:right="311"/>
              <w:jc w:val="center"/>
              <w:rPr>
                <w:rFonts w:ascii="Times New Roman" w:eastAsia="Times New Roman" w:hAnsi="Times New Roman" w:cs="Times New Roman"/>
                <w:noProof/>
                <w:sz w:val="16"/>
                <w:szCs w:val="16"/>
              </w:rPr>
            </w:pPr>
            <w:r>
              <w:rPr>
                <w:rFonts w:ascii="Times New Roman" w:hAnsi="Times New Roman" w:cs="Times New Roman"/>
                <w:b/>
                <w:noProof/>
                <w:spacing w:val="-1"/>
                <w:sz w:val="17"/>
              </w:rPr>
              <w:t>Procédures disciplinaires et enquêtes administratives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47" w:after="0" w:line="271" w:lineRule="auto"/>
              <w:ind w:right="127"/>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C(2004) 1588 - Décision de la Commission - Dispositions générales d'exécution concernant la conduite des enquêtes administratives et des procédures disciplinaires [modifiée en dernier lieu par la décision C(2010) 8180 final]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7"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28.4.2004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3"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600"/>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tcPr>
          <w:p>
            <w:pPr>
              <w:widowControl w:val="0"/>
              <w:spacing w:before="149"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z w:val="25"/>
              </w:rPr>
              <w:t xml:space="preserve">Titre VIII </w:t>
            </w:r>
            <w:r>
              <w:rPr>
                <w:rFonts w:ascii="Times New Roman" w:hAnsi="Times New Roman" w:cs="Times New Roman"/>
                <w:b/>
                <w:i/>
                <w:noProof/>
                <w:sz w:val="25"/>
              </w:rPr>
              <w:t>bis</w:t>
            </w:r>
            <w:r>
              <w:rPr>
                <w:rFonts w:ascii="Times New Roman" w:hAnsi="Times New Roman" w:cs="Times New Roman"/>
                <w:b/>
                <w:noProof/>
                <w:sz w:val="25"/>
              </w:rPr>
              <w:t xml:space="preserve"> - Dispositions particulières applicables au SEAE</w:t>
            </w:r>
          </w:p>
        </w:tc>
      </w:tr>
      <w:tr>
        <w:trPr>
          <w:trHeight w:hRule="exact" w:val="929"/>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2" w:after="0" w:line="240" w:lineRule="auto"/>
              <w:jc w:val="center"/>
              <w:rPr>
                <w:rFonts w:ascii="Times New Roman" w:eastAsia="Times New Roman" w:hAnsi="Times New Roman" w:cs="Times New Roman"/>
                <w:b/>
                <w:bCs/>
                <w:noProof/>
                <w:sz w:val="10"/>
                <w:szCs w:val="10"/>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96</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2"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Gestion des délégations de l'UE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b/>
                <w:bCs/>
                <w:noProof/>
                <w:sz w:val="13"/>
                <w:szCs w:val="13"/>
              </w:rPr>
            </w:pPr>
          </w:p>
          <w:p>
            <w:pPr>
              <w:widowControl w:val="0"/>
              <w:spacing w:after="0" w:line="271" w:lineRule="auto"/>
              <w:ind w:right="63"/>
              <w:jc w:val="center"/>
              <w:rPr>
                <w:rFonts w:ascii="Times New Roman" w:eastAsia="Times New Roman" w:hAnsi="Times New Roman" w:cs="Times New Roman"/>
                <w:noProof/>
                <w:sz w:val="12"/>
                <w:szCs w:val="12"/>
              </w:rPr>
            </w:pPr>
            <w:r>
              <w:rPr>
                <w:rFonts w:ascii="Times New Roman" w:hAnsi="Times New Roman" w:cs="Times New Roman"/>
                <w:noProof/>
                <w:w w:val="105"/>
                <w:sz w:val="12"/>
              </w:rPr>
              <w:t>JOIN(2012) 8 final - Décision conjointe de la Commission et du haut représentant de l’Union pour les affaires étrangères et la politique de sécurité du 28 mars 2012 relative aux mécanismes de coopération en matière de gestion des délégations de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1"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28.3.2012</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600"/>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tcPr>
          <w:p>
            <w:pPr>
              <w:widowControl w:val="0"/>
              <w:spacing w:after="0" w:line="248" w:lineRule="auto"/>
              <w:ind w:right="1058"/>
              <w:jc w:val="center"/>
              <w:rPr>
                <w:rFonts w:ascii="Times New Roman" w:eastAsia="Times New Roman" w:hAnsi="Times New Roman" w:cs="Times New Roman"/>
                <w:noProof/>
                <w:sz w:val="25"/>
                <w:szCs w:val="25"/>
              </w:rPr>
            </w:pPr>
            <w:r>
              <w:rPr>
                <w:rFonts w:ascii="Times New Roman" w:hAnsi="Times New Roman" w:cs="Times New Roman"/>
                <w:b/>
                <w:noProof/>
                <w:sz w:val="25"/>
              </w:rPr>
              <w:t xml:space="preserve">Titre VIII </w:t>
            </w:r>
            <w:r>
              <w:rPr>
                <w:rFonts w:ascii="Times New Roman" w:hAnsi="Times New Roman" w:cs="Times New Roman"/>
                <w:b/>
                <w:i/>
                <w:noProof/>
                <w:sz w:val="25"/>
              </w:rPr>
              <w:t>ter</w:t>
            </w:r>
            <w:r>
              <w:rPr>
                <w:rFonts w:ascii="Times New Roman" w:hAnsi="Times New Roman" w:cs="Times New Roman"/>
                <w:b/>
                <w:noProof/>
                <w:sz w:val="25"/>
              </w:rPr>
              <w:t xml:space="preserve"> + annexe X - Dispositions particulières et dérogatoires applicables aux fonctionnaires affectés dans un pays tiers</w:t>
            </w:r>
          </w:p>
        </w:tc>
      </w:tr>
      <w:tr>
        <w:trPr>
          <w:trHeight w:hRule="exact" w:val="389"/>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AEEF3"/>
          </w:tcPr>
          <w:p>
            <w:pPr>
              <w:widowControl w:val="0"/>
              <w:spacing w:before="81" w:after="0" w:line="240" w:lineRule="auto"/>
              <w:ind w:right="974"/>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Annexe X</w:t>
            </w:r>
          </w:p>
        </w:tc>
      </w:tr>
      <w:tr>
        <w:trPr>
          <w:trHeight w:hRule="exact" w:val="432"/>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AEEF3"/>
          </w:tcPr>
          <w:p>
            <w:pPr>
              <w:widowControl w:val="0"/>
              <w:spacing w:before="102" w:after="0" w:line="240" w:lineRule="auto"/>
              <w:ind w:right="979"/>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Dispositions générales</w:t>
            </w:r>
          </w:p>
        </w:tc>
      </w:tr>
      <w:tr>
        <w:trPr>
          <w:trHeight w:hRule="exact" w:val="769"/>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b/>
                <w:bCs/>
                <w:noProof/>
                <w:sz w:val="13"/>
                <w:szCs w:val="13"/>
              </w:rPr>
            </w:pPr>
          </w:p>
          <w:p>
            <w:pPr>
              <w:widowControl w:val="0"/>
              <w:spacing w:after="0" w:line="271" w:lineRule="auto"/>
              <w:ind w:right="19"/>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X (art. 1</w:t>
            </w:r>
            <w:r>
              <w:rPr>
                <w:rFonts w:ascii="Times New Roman" w:hAnsi="Times New Roman" w:cs="Times New Roman"/>
                <w:b/>
                <w:noProof/>
                <w:spacing w:val="-2"/>
                <w:w w:val="105"/>
                <w:sz w:val="12"/>
                <w:vertAlign w:val="superscript"/>
              </w:rPr>
              <w:t>er</w:t>
            </w:r>
            <w:r>
              <w:rPr>
                <w:rFonts w:ascii="Times New Roman" w:hAnsi="Times New Roman" w:cs="Times New Roman"/>
                <w:b/>
                <w:noProof/>
                <w:spacing w:val="-2"/>
                <w:w w:val="105"/>
                <w:sz w:val="12"/>
              </w:rPr>
              <w:t>, 25)</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Dispositions générales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71" w:lineRule="auto"/>
              <w:ind w:right="27"/>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C(2005) 1871 - Décision de la Commission relative aux dispositions générales d’exécution concernant les risques d’accident pour les conjoints, les enfants et d’autres personnes à charge du fonctionnaire, de l’agent temporaire ou contractuel dans un pays tiers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15.7.2005</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jc w:val="center"/>
        <w:rPr>
          <w:rFonts w:ascii="Times New Roman" w:hAnsi="Times New Roman" w:cs="Times New Roman"/>
          <w:noProof/>
        </w:rPr>
      </w:pPr>
      <w:r>
        <w:rPr>
          <w:rFonts w:ascii="Times New Roman" w:hAnsi="Times New Roman" w:cs="Times New Roman"/>
          <w:noProof/>
        </w:rPr>
        <w:br w:type="page"/>
      </w: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456"/>
        </w:trPr>
        <w:tc>
          <w:tcPr>
            <w:tcW w:w="78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82"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19"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ind w:right="983"/>
              <w:jc w:val="center"/>
              <w:rPr>
                <w:rFonts w:ascii="Times New Roman" w:eastAsia="Times New Roman" w:hAnsi="Times New Roman" w:cs="Times New Roman"/>
                <w:noProof/>
                <w:sz w:val="19"/>
                <w:szCs w:val="19"/>
              </w:rPr>
            </w:pPr>
            <w:r>
              <w:rPr>
                <w:rFonts w:ascii="Times New Roman" w:hAnsi="Times New Roman" w:cs="Times New Roman"/>
                <w:b/>
                <w:noProof/>
                <w:w w:val="105"/>
                <w:sz w:val="19"/>
              </w:rPr>
              <w:t>Chapitre 2 - Obligations</w:t>
            </w:r>
          </w:p>
        </w:tc>
      </w:tr>
      <w:tr>
        <w:trPr>
          <w:trHeight w:hRule="exact" w:val="662"/>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b/>
                <w:bCs/>
                <w:noProof/>
                <w:sz w:val="15"/>
                <w:szCs w:val="15"/>
              </w:rPr>
            </w:pPr>
          </w:p>
          <w:p>
            <w:pPr>
              <w:widowControl w:val="0"/>
              <w:spacing w:after="0" w:line="271" w:lineRule="auto"/>
              <w:ind w:right="14"/>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101 </w:t>
            </w:r>
            <w:r>
              <w:rPr>
                <w:rFonts w:ascii="Times New Roman" w:hAnsi="Times New Roman" w:cs="Times New Roman"/>
                <w:b/>
                <w:i/>
                <w:noProof/>
                <w:w w:val="105"/>
                <w:sz w:val="12"/>
              </w:rPr>
              <w:t>bis</w:t>
            </w:r>
            <w:r>
              <w:rPr>
                <w:rFonts w:ascii="Times New Roman" w:hAnsi="Times New Roman" w:cs="Times New Roman"/>
                <w:b/>
                <w:noProof/>
                <w:w w:val="105"/>
                <w:sz w:val="12"/>
              </w:rPr>
              <w:t xml:space="preserve"> + annexe X (art. 5, 23)</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b/>
                <w:bCs/>
                <w:noProof/>
                <w:sz w:val="19"/>
                <w:szCs w:val="19"/>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Logement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15"/>
                <w:szCs w:val="15"/>
              </w:rPr>
            </w:pPr>
          </w:p>
          <w:p>
            <w:pPr>
              <w:widowControl w:val="0"/>
              <w:spacing w:after="0" w:line="271" w:lineRule="auto"/>
              <w:ind w:right="87"/>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C(2013) 8965 - Décision de la Commission du 16.12.2013 relative aux règles de mise en œuvre de la politique de logement dans les délégations de l’Union européenne </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4"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16.12.2013</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Conditions de travail</w:t>
            </w:r>
          </w:p>
        </w:tc>
      </w:tr>
      <w:tr>
        <w:trPr>
          <w:trHeight w:hRule="exact" w:val="605"/>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b/>
                <w:bCs/>
                <w:noProof/>
                <w:sz w:val="13"/>
                <w:szCs w:val="13"/>
              </w:rPr>
            </w:pPr>
          </w:p>
          <w:p>
            <w:pPr>
              <w:widowControl w:val="0"/>
              <w:spacing w:after="0" w:line="271" w:lineRule="auto"/>
              <w:ind w:right="14"/>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101 </w:t>
            </w:r>
            <w:r>
              <w:rPr>
                <w:rFonts w:ascii="Times New Roman" w:hAnsi="Times New Roman" w:cs="Times New Roman"/>
                <w:b/>
                <w:i/>
                <w:noProof/>
                <w:w w:val="105"/>
                <w:sz w:val="12"/>
              </w:rPr>
              <w:t>bis</w:t>
            </w:r>
            <w:r>
              <w:rPr>
                <w:rFonts w:ascii="Times New Roman" w:hAnsi="Times New Roman" w:cs="Times New Roman"/>
                <w:b/>
                <w:noProof/>
                <w:w w:val="105"/>
                <w:sz w:val="12"/>
              </w:rPr>
              <w:t xml:space="preserve"> + annexe X (art. 8)</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Congé de détente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1" w:after="0" w:line="271" w:lineRule="auto"/>
              <w:ind w:right="84"/>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9027 - Décision de la Commission relative à la gestion du congé de détente au titre de l'article 8 de l'annexe X du statut</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9"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4 - Régime pécuniaire et avantages sociaux</w:t>
            </w:r>
          </w:p>
        </w:tc>
      </w:tr>
      <w:tr>
        <w:trPr>
          <w:trHeight w:hRule="exact" w:val="389"/>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Section 1- Régime pécuniaire et allocations familiales</w:t>
            </w:r>
          </w:p>
        </w:tc>
      </w:tr>
      <w:tr>
        <w:trPr>
          <w:trHeight w:hRule="exact" w:val="821"/>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 w:after="0" w:line="240" w:lineRule="auto"/>
              <w:jc w:val="center"/>
              <w:rPr>
                <w:rFonts w:ascii="Times New Roman" w:eastAsia="Times New Roman" w:hAnsi="Times New Roman" w:cs="Times New Roman"/>
                <w:b/>
                <w:bCs/>
                <w:noProof/>
                <w:sz w:val="10"/>
                <w:szCs w:val="10"/>
              </w:rPr>
            </w:pPr>
          </w:p>
          <w:p>
            <w:pPr>
              <w:widowControl w:val="0"/>
              <w:spacing w:after="0" w:line="271" w:lineRule="auto"/>
              <w:ind w:right="65"/>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101 </w:t>
            </w:r>
            <w:r>
              <w:rPr>
                <w:rFonts w:ascii="Times New Roman" w:hAnsi="Times New Roman" w:cs="Times New Roman"/>
                <w:b/>
                <w:i/>
                <w:noProof/>
                <w:w w:val="105"/>
                <w:sz w:val="12"/>
              </w:rPr>
              <w:t>bis</w:t>
            </w:r>
            <w:r>
              <w:rPr>
                <w:rFonts w:ascii="Times New Roman" w:hAnsi="Times New Roman" w:cs="Times New Roman"/>
                <w:b/>
                <w:noProof/>
                <w:w w:val="105"/>
                <w:sz w:val="12"/>
              </w:rPr>
              <w:t xml:space="preserve"> + annexe X (art. 10)</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133"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Indemnité pour conditions de vie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15"/>
                <w:szCs w:val="15"/>
              </w:rPr>
            </w:pPr>
          </w:p>
          <w:p>
            <w:pPr>
              <w:widowControl w:val="0"/>
              <w:spacing w:after="0" w:line="271" w:lineRule="auto"/>
              <w:ind w:right="54"/>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9032 - Décision de la Commission relative à l'indemnité de conditions de vie et à l'indemnité complémentaire visées à l'article 10 de l'annexe X du statut des fonctionnaires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2"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6"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43"/>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12 - 13</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b/>
                <w:bCs/>
                <w:noProof/>
                <w:sz w:val="19"/>
                <w:szCs w:val="19"/>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Monnaie et pondération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3" w:after="0" w:line="271" w:lineRule="auto"/>
              <w:ind w:right="85"/>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C(2004) 1597/1 - Décision relative à l'adaptation des correcteurs et des taux de change associés visés aux articles 12 et 13 de l'annexe X du statut des fonctionnaires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59"/>
        </w:trPr>
        <w:tc>
          <w:tcPr>
            <w:tcW w:w="780" w:type="dxa"/>
            <w:tcBorders>
              <w:top w:val="single" w:sz="3" w:space="0" w:color="000000"/>
              <w:left w:val="single" w:sz="5"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b/>
                <w:bCs/>
                <w:noProof/>
                <w:sz w:val="9"/>
                <w:szCs w:val="9"/>
              </w:rPr>
            </w:pPr>
          </w:p>
          <w:p>
            <w:pPr>
              <w:widowControl w:val="0"/>
              <w:spacing w:after="0" w:line="271" w:lineRule="auto"/>
              <w:ind w:right="14"/>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101 </w:t>
            </w:r>
            <w:r>
              <w:rPr>
                <w:rFonts w:ascii="Times New Roman" w:hAnsi="Times New Roman" w:cs="Times New Roman"/>
                <w:b/>
                <w:i/>
                <w:noProof/>
                <w:w w:val="105"/>
                <w:sz w:val="12"/>
              </w:rPr>
              <w:t>bis</w:t>
            </w:r>
            <w:r>
              <w:rPr>
                <w:rFonts w:ascii="Times New Roman" w:hAnsi="Times New Roman" w:cs="Times New Roman"/>
                <w:b/>
                <w:noProof/>
                <w:w w:val="105"/>
                <w:sz w:val="12"/>
              </w:rPr>
              <w:t xml:space="preserve"> + annexe X (art. 16)</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0" w:after="0" w:line="250" w:lineRule="auto"/>
              <w:ind w:right="39"/>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Remboursements aux fonctionnaires affectés dans les pays tiers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71" w:lineRule="auto"/>
              <w:ind w:right="42"/>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C(2013) 8990 - Décision relative aux remboursements dus aux fonctionnaires affectés dans des pays tiers </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403"/>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Section 2 - Règles relatives au remboursement des frais</w:t>
            </w:r>
          </w:p>
        </w:tc>
      </w:tr>
      <w:tr>
        <w:trPr>
          <w:trHeight w:hRule="exact" w:val="1024"/>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5"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22</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21"/>
                <w:szCs w:val="21"/>
              </w:rPr>
            </w:pPr>
          </w:p>
          <w:p>
            <w:pPr>
              <w:widowControl w:val="0"/>
              <w:spacing w:after="0" w:line="258" w:lineRule="auto"/>
              <w:ind w:right="50"/>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Indemnité de logement provisoire et frais de transport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b/>
                <w:bCs/>
                <w:noProof/>
                <w:sz w:val="12"/>
                <w:szCs w:val="12"/>
              </w:rPr>
            </w:pPr>
          </w:p>
          <w:p>
            <w:pPr>
              <w:widowControl w:val="0"/>
              <w:spacing w:after="0" w:line="271" w:lineRule="auto"/>
              <w:ind w:right="57"/>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C(2004) 1597/2 - Décision de la Commission relative l'application de l'article 22 de l'annexe X du statut des fonctionnaires concernant la récupération de l'indemnité de logement provisoire et des frais de transport des effets personnels du conjoint et des personnes à charge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62"/>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5" w:after="0" w:line="240" w:lineRule="auto"/>
              <w:ind w:right="982"/>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Chapitre 3 - Sécurité sociale</w:t>
            </w:r>
          </w:p>
        </w:tc>
      </w:tr>
      <w:tr>
        <w:trPr>
          <w:trHeight w:hRule="exact" w:val="667"/>
        </w:trPr>
        <w:tc>
          <w:tcPr>
            <w:tcW w:w="780" w:type="dxa"/>
            <w:tcBorders>
              <w:top w:val="single" w:sz="5"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 w:after="0" w:line="240" w:lineRule="auto"/>
              <w:jc w:val="center"/>
              <w:rPr>
                <w:rFonts w:ascii="Times New Roman" w:eastAsia="Times New Roman" w:hAnsi="Times New Roman" w:cs="Times New Roman"/>
                <w:b/>
                <w:bCs/>
                <w:noProof/>
                <w:sz w:val="10"/>
                <w:szCs w:val="10"/>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24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Assurance maladie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3" w:after="0" w:line="271" w:lineRule="auto"/>
              <w:ind w:right="34"/>
              <w:jc w:val="center"/>
              <w:rPr>
                <w:rFonts w:ascii="Times New Roman" w:eastAsia="Times New Roman" w:hAnsi="Times New Roman" w:cs="Times New Roman"/>
                <w:noProof/>
                <w:sz w:val="12"/>
                <w:szCs w:val="12"/>
              </w:rPr>
            </w:pPr>
            <w:r>
              <w:rPr>
                <w:rFonts w:ascii="Times New Roman" w:hAnsi="Times New Roman" w:cs="Times New Roman"/>
                <w:noProof/>
                <w:w w:val="105"/>
                <w:sz w:val="12"/>
              </w:rPr>
              <w:t>Information administrative n° 642 - Décision de la Commission relative aux dispositions générales d’exécution de l’article 24, premier et deuxième alinéas de l’annexe X</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6"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17.9.1990</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979"/>
        </w:trPr>
        <w:tc>
          <w:tcPr>
            <w:tcW w:w="780" w:type="dxa"/>
            <w:tcBorders>
              <w:top w:val="single" w:sz="3" w:space="0" w:color="000000"/>
              <w:left w:val="single" w:sz="5"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7"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25</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4"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Assurance accidents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spacing w:before="103" w:after="0" w:line="271" w:lineRule="auto"/>
              <w:ind w:right="34"/>
              <w:jc w:val="center"/>
              <w:rPr>
                <w:rFonts w:ascii="Times New Roman" w:hAnsi="Times New Roman" w:cs="Times New Roman"/>
                <w:noProof/>
                <w:w w:val="105"/>
                <w:sz w:val="12"/>
              </w:rPr>
            </w:pPr>
            <w:r>
              <w:rPr>
                <w:rFonts w:ascii="Times New Roman" w:hAnsi="Times New Roman" w:cs="Times New Roman"/>
                <w:noProof/>
                <w:w w:val="105"/>
                <w:sz w:val="12"/>
              </w:rPr>
              <w:t>Décision de la Commission relative aux dispositions générales d'exécution portant sur la couverture des risques d'accident du conjoint, des enfants et des autres personnes à charge du fonctionnaire, de l'agent temporaire ou contractuel des Communautés européennes affecté dans un pays tiers</w:t>
            </w:r>
          </w:p>
          <w:p>
            <w:pPr>
              <w:widowControl w:val="0"/>
              <w:spacing w:before="103" w:after="0" w:line="271" w:lineRule="auto"/>
              <w:ind w:right="34"/>
              <w:jc w:val="center"/>
              <w:rPr>
                <w:rFonts w:ascii="Times New Roman" w:hAnsi="Times New Roman" w:cs="Times New Roman"/>
                <w:noProof/>
                <w:w w:val="105"/>
                <w:sz w:val="12"/>
              </w:rPr>
            </w:pP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15.6.2005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6"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 xml:space="preserve">0 </w:t>
            </w:r>
          </w:p>
        </w:tc>
      </w:tr>
    </w:tbl>
    <w:p>
      <w:pPr>
        <w:spacing w:before="3"/>
        <w:jc w:val="center"/>
        <w:rPr>
          <w:rFonts w:ascii="Times New Roman" w:eastAsia="Times New Roman" w:hAnsi="Times New Roman" w:cs="Times New Roman"/>
          <w:b/>
          <w:bCs/>
          <w:noProof/>
          <w:sz w:val="10"/>
          <w:szCs w:val="10"/>
        </w:rPr>
      </w:pPr>
    </w:p>
    <w:p>
      <w:pPr>
        <w:jc w:val="center"/>
        <w:rPr>
          <w:rFonts w:ascii="Times New Roman" w:eastAsia="Times New Roman" w:hAnsi="Times New Roman" w:cs="Times New Roman"/>
          <w:b/>
          <w:bCs/>
          <w:noProof/>
          <w:sz w:val="10"/>
          <w:szCs w:val="10"/>
        </w:rPr>
      </w:pPr>
      <w:r>
        <w:rPr>
          <w:rFonts w:ascii="Times New Roman" w:hAnsi="Times New Roman" w:cs="Times New Roman"/>
          <w:noProof/>
        </w:rPr>
        <w:br w:type="page"/>
      </w: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778"/>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B8CCE4"/>
          </w:tcPr>
          <w:p>
            <w:pPr>
              <w:widowControl w:val="0"/>
              <w:spacing w:before="139" w:after="0" w:line="240" w:lineRule="auto"/>
              <w:jc w:val="center"/>
              <w:rPr>
                <w:rFonts w:ascii="Times New Roman" w:eastAsia="Times New Roman" w:hAnsi="Times New Roman" w:cs="Times New Roman"/>
                <w:noProof/>
                <w:sz w:val="42"/>
                <w:szCs w:val="42"/>
              </w:rPr>
            </w:pPr>
            <w:r>
              <w:rPr>
                <w:rFonts w:ascii="Times New Roman" w:hAnsi="Times New Roman" w:cs="Times New Roman"/>
                <w:b/>
                <w:noProof/>
                <w:sz w:val="42"/>
              </w:rPr>
              <w:t>Régime applicable aux autres agents</w:t>
            </w:r>
          </w:p>
        </w:tc>
      </w:tr>
      <w:tr>
        <w:trPr>
          <w:trHeight w:hRule="exact" w:val="389"/>
        </w:trPr>
        <w:tc>
          <w:tcPr>
            <w:tcW w:w="780" w:type="dxa"/>
            <w:tcBorders>
              <w:top w:val="single" w:sz="5" w:space="0" w:color="000000"/>
              <w:left w:val="single" w:sz="5"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82"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85"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2" w:type="dxa"/>
            <w:gridSpan w:val="6"/>
            <w:tcBorders>
              <w:top w:val="single" w:sz="5" w:space="0" w:color="000000"/>
              <w:left w:val="single" w:sz="5" w:space="0" w:color="000000"/>
              <w:bottom w:val="single" w:sz="5" w:space="0" w:color="000000"/>
              <w:right w:val="single" w:sz="7"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II - Agents temporaires</w:t>
            </w:r>
          </w:p>
        </w:tc>
      </w:tr>
      <w:tr>
        <w:trPr>
          <w:trHeight w:hRule="exact" w:val="389"/>
        </w:trPr>
        <w:tc>
          <w:tcPr>
            <w:tcW w:w="10922" w:type="dxa"/>
            <w:gridSpan w:val="6"/>
            <w:tcBorders>
              <w:top w:val="single" w:sz="5" w:space="0" w:color="000000"/>
              <w:left w:val="single" w:sz="5" w:space="0" w:color="000000"/>
              <w:bottom w:val="single" w:sz="5" w:space="0" w:color="000000"/>
              <w:right w:val="single" w:sz="7" w:space="0" w:color="000000"/>
            </w:tcBorders>
            <w:shd w:val="clear" w:color="auto" w:fill="DAEEF3"/>
          </w:tcPr>
          <w:p>
            <w:pPr>
              <w:widowControl w:val="0"/>
              <w:spacing w:before="81" w:after="0" w:line="240" w:lineRule="auto"/>
              <w:ind w:right="979"/>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Dispositions générales</w:t>
            </w:r>
          </w:p>
        </w:tc>
      </w:tr>
      <w:tr>
        <w:trPr>
          <w:trHeight w:hRule="exact" w:val="581"/>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0"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8</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87" w:after="0" w:line="258" w:lineRule="auto"/>
              <w:ind w:right="119"/>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Politique générale d’engagement et d’emploi des agents temporaires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b/>
                <w:bCs/>
                <w:noProof/>
                <w:sz w:val="12"/>
                <w:szCs w:val="12"/>
              </w:rPr>
            </w:pPr>
          </w:p>
          <w:p>
            <w:pPr>
              <w:widowControl w:val="0"/>
              <w:spacing w:after="0" w:line="271" w:lineRule="auto"/>
              <w:ind w:right="140"/>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9049 final - Décision relative à la politique d’engagement et d’emploi des agents temporaires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7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AEEF3"/>
          </w:tcPr>
          <w:p>
            <w:pPr>
              <w:widowControl w:val="0"/>
              <w:spacing w:before="80"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Conditions d'engagement</w:t>
            </w:r>
          </w:p>
        </w:tc>
      </w:tr>
      <w:tr>
        <w:trPr>
          <w:trHeight w:hRule="exact" w:val="782"/>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17 + 91</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105"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Congé de maternité et son paiement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b/>
                <w:bCs/>
                <w:noProof/>
                <w:sz w:val="13"/>
                <w:szCs w:val="13"/>
              </w:rPr>
            </w:pPr>
          </w:p>
          <w:p>
            <w:pPr>
              <w:widowControl w:val="0"/>
              <w:spacing w:after="0" w:line="271" w:lineRule="auto"/>
              <w:ind w:right="13"/>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9020 - Décision de la Commission relative au congé de maternité et à son paiement pour les femmes dont le congé de maternité débute avant la fin de leur contrat (articles 17 et 91 du RAA)</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6"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tcPr>
          <w:p>
            <w:pPr>
              <w:widowControl w:val="0"/>
              <w:spacing w:before="44" w:after="0" w:line="240" w:lineRule="auto"/>
              <w:ind w:right="980"/>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IV - Agents contractuels</w:t>
            </w:r>
          </w:p>
        </w:tc>
      </w:tr>
      <w:tr>
        <w:trPr>
          <w:trHeight w:hRule="exact" w:val="389"/>
        </w:trPr>
        <w:tc>
          <w:tcPr>
            <w:tcW w:w="10923" w:type="dxa"/>
            <w:gridSpan w:val="6"/>
            <w:tcBorders>
              <w:top w:val="single" w:sz="5" w:space="0" w:color="000000"/>
              <w:left w:val="single" w:sz="5" w:space="0" w:color="000000"/>
              <w:bottom w:val="single" w:sz="5" w:space="0" w:color="000000"/>
              <w:right w:val="single" w:sz="7"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Chapitre 1 - Dispositions générales</w:t>
            </w:r>
          </w:p>
        </w:tc>
      </w:tr>
      <w:tr>
        <w:trPr>
          <w:trHeight w:hRule="exact" w:val="826"/>
        </w:trPr>
        <w:tc>
          <w:tcPr>
            <w:tcW w:w="780" w:type="dxa"/>
            <w:tcBorders>
              <w:top w:val="single" w:sz="5" w:space="0" w:color="000000"/>
              <w:left w:val="single" w:sz="5" w:space="0" w:color="000000"/>
              <w:bottom w:val="nil"/>
              <w:right w:val="single" w:sz="3" w:space="0" w:color="000000"/>
            </w:tcBorders>
            <w:shd w:val="clear" w:color="auto" w:fill="DA9694"/>
          </w:tcPr>
          <w:p>
            <w:pPr>
              <w:jc w:val="center"/>
              <w:rPr>
                <w:rFonts w:ascii="Times New Roman" w:hAnsi="Times New Roman" w:cs="Times New Roman"/>
                <w:noProof/>
              </w:rPr>
            </w:pPr>
          </w:p>
        </w:tc>
        <w:tc>
          <w:tcPr>
            <w:tcW w:w="2722" w:type="dxa"/>
            <w:tcBorders>
              <w:top w:val="single" w:sz="5" w:space="0" w:color="000000"/>
              <w:left w:val="single" w:sz="3" w:space="0" w:color="000000"/>
              <w:bottom w:val="nil"/>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b/>
                <w:bCs/>
                <w:noProof/>
                <w:sz w:val="15"/>
                <w:szCs w:val="15"/>
              </w:rPr>
            </w:pPr>
          </w:p>
          <w:p>
            <w:pPr>
              <w:widowControl w:val="0"/>
              <w:spacing w:after="0" w:line="271" w:lineRule="auto"/>
              <w:ind w:right="65"/>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C(2004) 1597/6 final - Décision de la Commission relative à la durée maximale du recours au personnel non permanent dans les services de la Commission [modifiée en dernier lieu par la décision C(2013) 9028 final]</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5"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28.4.2004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1115"/>
        </w:trPr>
        <w:tc>
          <w:tcPr>
            <w:tcW w:w="780" w:type="dxa"/>
            <w:tcBorders>
              <w:top w:val="nil"/>
              <w:left w:val="single" w:sz="5" w:space="0" w:color="000000"/>
              <w:bottom w:val="single" w:sz="3" w:space="0" w:color="000000"/>
              <w:right w:val="single" w:sz="3" w:space="0" w:color="000000"/>
            </w:tcBorders>
            <w:shd w:val="clear" w:color="auto" w:fill="DA9694"/>
          </w:tcPr>
          <w:p>
            <w:pPr>
              <w:widowControl w:val="0"/>
              <w:spacing w:before="17"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79 (2)</w:t>
            </w:r>
          </w:p>
        </w:tc>
        <w:tc>
          <w:tcPr>
            <w:tcW w:w="2722" w:type="dxa"/>
            <w:tcBorders>
              <w:top w:val="nil"/>
              <w:left w:val="single" w:sz="3" w:space="0" w:color="000000"/>
              <w:bottom w:val="single" w:sz="3" w:space="0" w:color="000000"/>
              <w:right w:val="single" w:sz="3" w:space="0" w:color="000000"/>
            </w:tcBorders>
            <w:shd w:val="clear" w:color="auto" w:fill="DA9694"/>
          </w:tcPr>
          <w:p>
            <w:pPr>
              <w:widowControl w:val="0"/>
              <w:spacing w:after="0" w:line="183" w:lineRule="exact"/>
              <w:jc w:val="center"/>
              <w:rPr>
                <w:rFonts w:ascii="Times New Roman" w:eastAsia="Times New Roman" w:hAnsi="Times New Roman" w:cs="Times New Roman"/>
                <w:noProof/>
                <w:sz w:val="17"/>
                <w:szCs w:val="17"/>
              </w:rPr>
            </w:pPr>
            <w:r>
              <w:rPr>
                <w:rFonts w:ascii="Times New Roman" w:hAnsi="Times New Roman" w:cs="Times New Roman"/>
                <w:b/>
                <w:noProof/>
                <w:sz w:val="17"/>
              </w:rPr>
              <w:t>Recours aux agents contractuels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b/>
                <w:bCs/>
                <w:noProof/>
                <w:sz w:val="9"/>
                <w:szCs w:val="9"/>
              </w:rPr>
            </w:pPr>
          </w:p>
          <w:p>
            <w:pPr>
              <w:widowControl w:val="0"/>
              <w:spacing w:after="0" w:line="271" w:lineRule="auto"/>
              <w:ind w:right="85"/>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C(2011) 1264 final - Décision relative aux dispositions générales d'exécution de l'article 79, paragraphe 2, du régime applicable aux autres agents de l'Union européenne, régissant les conditions d'emploi des agents contractuels engagés par la Commission en vertu de l'article 3 </w:t>
            </w:r>
            <w:r>
              <w:rPr>
                <w:rFonts w:ascii="Times New Roman" w:hAnsi="Times New Roman" w:cs="Times New Roman"/>
                <w:i/>
                <w:noProof/>
                <w:w w:val="105"/>
                <w:sz w:val="12"/>
              </w:rPr>
              <w:t>bis</w:t>
            </w:r>
            <w:r>
              <w:rPr>
                <w:rFonts w:ascii="Times New Roman" w:hAnsi="Times New Roman" w:cs="Times New Roman"/>
                <w:noProof/>
                <w:w w:val="105"/>
                <w:sz w:val="12"/>
              </w:rPr>
              <w:t xml:space="preserve"> et 3 </w:t>
            </w:r>
            <w:r>
              <w:rPr>
                <w:rFonts w:ascii="Times New Roman" w:hAnsi="Times New Roman" w:cs="Times New Roman"/>
                <w:i/>
                <w:noProof/>
                <w:w w:val="105"/>
                <w:sz w:val="12"/>
              </w:rPr>
              <w:t>ter</w:t>
            </w:r>
            <w:r>
              <w:rPr>
                <w:rFonts w:ascii="Times New Roman" w:hAnsi="Times New Roman" w:cs="Times New Roman"/>
                <w:noProof/>
                <w:w w:val="105"/>
                <w:sz w:val="12"/>
              </w:rPr>
              <w:t xml:space="preserve"> dudit régime [modifiée en dernier lieu par la décision C(2013) 8967 final]</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2.3.2011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6"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497"/>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CE6F1"/>
          </w:tcPr>
          <w:p>
            <w:pPr>
              <w:widowControl w:val="0"/>
              <w:spacing w:before="133"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Conditions d'engagement</w:t>
            </w:r>
          </w:p>
        </w:tc>
      </w:tr>
      <w:tr>
        <w:trPr>
          <w:trHeight w:hRule="exact" w:val="844"/>
        </w:trPr>
        <w:tc>
          <w:tcPr>
            <w:tcW w:w="780" w:type="dxa"/>
            <w:tcBorders>
              <w:top w:val="single" w:sz="5" w:space="0" w:color="000000"/>
              <w:left w:val="single" w:sz="5" w:space="0" w:color="000000"/>
              <w:bottom w:val="nil"/>
              <w:right w:val="single" w:sz="3" w:space="0" w:color="000000"/>
            </w:tcBorders>
            <w:shd w:val="clear" w:color="auto" w:fill="FFFF65"/>
          </w:tcPr>
          <w:p>
            <w:pPr>
              <w:jc w:val="center"/>
              <w:rPr>
                <w:rFonts w:ascii="Times New Roman" w:hAnsi="Times New Roman" w:cs="Times New Roman"/>
                <w:noProof/>
              </w:rPr>
            </w:pPr>
          </w:p>
        </w:tc>
        <w:tc>
          <w:tcPr>
            <w:tcW w:w="2722" w:type="dxa"/>
            <w:tcBorders>
              <w:top w:val="single" w:sz="5" w:space="0" w:color="000000"/>
              <w:left w:val="single" w:sz="3" w:space="0" w:color="000000"/>
              <w:bottom w:val="nil"/>
              <w:right w:val="single" w:sz="3" w:space="0" w:color="000000"/>
            </w:tcBorders>
            <w:shd w:val="clear" w:color="auto" w:fill="FFFF65"/>
          </w:tcPr>
          <w:p>
            <w:pPr>
              <w:jc w:val="center"/>
              <w:rPr>
                <w:rFonts w:ascii="Times New Roman" w:hAnsi="Times New Roman" w:cs="Times New Roman"/>
                <w:noProof/>
              </w:rPr>
            </w:pP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b/>
                <w:bCs/>
                <w:noProof/>
                <w:sz w:val="10"/>
                <w:szCs w:val="10"/>
              </w:rPr>
            </w:pPr>
          </w:p>
          <w:p>
            <w:pPr>
              <w:widowControl w:val="0"/>
              <w:spacing w:after="0" w:line="271" w:lineRule="auto"/>
              <w:ind w:right="65"/>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C(2004) 1597/6 final - Décision de la Commission relative à la durée maximale du recours au personnel non permanent dans les services de la Commission [modifiée en dernier lieu par la décision C(2013) 9028 final]</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5"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28.4.2004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0"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1067"/>
        </w:trPr>
        <w:tc>
          <w:tcPr>
            <w:tcW w:w="780" w:type="dxa"/>
            <w:tcBorders>
              <w:top w:val="nil"/>
              <w:left w:val="single" w:sz="5" w:space="0" w:color="000000"/>
              <w:bottom w:val="single" w:sz="3" w:space="0" w:color="000000"/>
              <w:right w:val="single" w:sz="3" w:space="0" w:color="000000"/>
            </w:tcBorders>
            <w:shd w:val="clear" w:color="auto" w:fill="FFFF65"/>
          </w:tcPr>
          <w:p>
            <w:pPr>
              <w:widowControl w:val="0"/>
              <w:spacing w:before="48"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82</w:t>
            </w:r>
          </w:p>
        </w:tc>
        <w:tc>
          <w:tcPr>
            <w:tcW w:w="2722" w:type="dxa"/>
            <w:tcBorders>
              <w:top w:val="nil"/>
              <w:left w:val="single" w:sz="3" w:space="0" w:color="000000"/>
              <w:bottom w:val="single" w:sz="3" w:space="0" w:color="000000"/>
              <w:right w:val="single" w:sz="3" w:space="0" w:color="000000"/>
            </w:tcBorders>
            <w:shd w:val="clear" w:color="auto" w:fill="FFFF65"/>
          </w:tcPr>
          <w:p>
            <w:pPr>
              <w:widowControl w:val="0"/>
              <w:spacing w:after="0" w:line="111" w:lineRule="exact"/>
              <w:jc w:val="center"/>
              <w:rPr>
                <w:rFonts w:ascii="Times New Roman" w:hAnsi="Times New Roman" w:cs="Times New Roman"/>
                <w:b/>
                <w:noProof/>
                <w:spacing w:val="-2"/>
                <w:w w:val="105"/>
                <w:sz w:val="16"/>
              </w:rPr>
            </w:pPr>
          </w:p>
          <w:p>
            <w:pPr>
              <w:widowControl w:val="0"/>
              <w:spacing w:after="0" w:line="111" w:lineRule="exact"/>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Procédures de recrutement</w:t>
            </w:r>
          </w:p>
          <w:p>
            <w:pPr>
              <w:widowControl w:val="0"/>
              <w:spacing w:before="8" w:after="0" w:line="240" w:lineRule="auto"/>
              <w:ind w:right="1"/>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pour les agents contractuels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8" w:after="0" w:line="271" w:lineRule="auto"/>
              <w:ind w:right="85"/>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C(2011) 1264 final - Décision relative aux dispositions générales d'exécution de l'article 79, paragraphe 2, du régime applicable aux autres agents de l'Union européenne, régissant les conditions d'emploi des agents contractuels engagés par la Commission en vertu de l'article 3 bis et 3 ter dudit régime [modifiée en dernier lieu par la décision C(2013) 8967 final]</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2.3.2011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2"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839"/>
        </w:trPr>
        <w:tc>
          <w:tcPr>
            <w:tcW w:w="780" w:type="dxa"/>
            <w:tcBorders>
              <w:top w:val="single" w:sz="3" w:space="0" w:color="000000"/>
              <w:left w:val="single" w:sz="5" w:space="0" w:color="000000"/>
              <w:bottom w:val="nil"/>
              <w:right w:val="single" w:sz="3" w:space="0" w:color="000000"/>
            </w:tcBorders>
            <w:shd w:val="clear" w:color="auto" w:fill="FFFF65"/>
          </w:tcPr>
          <w:p>
            <w:pPr>
              <w:jc w:val="center"/>
              <w:rPr>
                <w:rFonts w:ascii="Times New Roman" w:hAnsi="Times New Roman" w:cs="Times New Roman"/>
                <w:noProof/>
              </w:rPr>
            </w:pPr>
          </w:p>
        </w:tc>
        <w:tc>
          <w:tcPr>
            <w:tcW w:w="2722" w:type="dxa"/>
            <w:tcBorders>
              <w:top w:val="single" w:sz="3" w:space="0" w:color="000000"/>
              <w:left w:val="single" w:sz="3" w:space="0" w:color="000000"/>
              <w:bottom w:val="nil"/>
              <w:right w:val="single" w:sz="3" w:space="0" w:color="000000"/>
            </w:tcBorders>
            <w:shd w:val="clear" w:color="auto" w:fill="FFFF65"/>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1"/>
                <w:szCs w:val="11"/>
              </w:rPr>
            </w:pPr>
          </w:p>
          <w:p>
            <w:pPr>
              <w:widowControl w:val="0"/>
              <w:spacing w:after="0" w:line="271" w:lineRule="auto"/>
              <w:ind w:right="65"/>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C(2004) 1597/6 final - Décision de la Commission relative à la durée maximale du recours au personnel non permanent dans les services de la Commission [modifiée en dernier lieu par la décision C(2013) 9028 final]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7"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28.4.2004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3"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1091"/>
        </w:trPr>
        <w:tc>
          <w:tcPr>
            <w:tcW w:w="780" w:type="dxa"/>
            <w:tcBorders>
              <w:top w:val="nil"/>
              <w:left w:val="single" w:sz="5" w:space="0" w:color="000000"/>
              <w:bottom w:val="single" w:sz="3" w:space="0" w:color="000000"/>
              <w:right w:val="single" w:sz="3" w:space="0" w:color="000000"/>
            </w:tcBorders>
            <w:shd w:val="clear" w:color="auto" w:fill="FFFF65"/>
          </w:tcPr>
          <w:p>
            <w:pPr>
              <w:widowControl w:val="0"/>
              <w:spacing w:before="44"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86</w:t>
            </w:r>
          </w:p>
        </w:tc>
        <w:tc>
          <w:tcPr>
            <w:tcW w:w="2722" w:type="dxa"/>
            <w:tcBorders>
              <w:top w:val="nil"/>
              <w:left w:val="single" w:sz="3" w:space="0" w:color="000000"/>
              <w:bottom w:val="single" w:sz="3" w:space="0" w:color="000000"/>
              <w:right w:val="single" w:sz="3" w:space="0" w:color="000000"/>
            </w:tcBorders>
            <w:shd w:val="clear" w:color="auto" w:fill="FFFF65"/>
          </w:tcPr>
          <w:p>
            <w:pPr>
              <w:widowControl w:val="0"/>
              <w:spacing w:before="23"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Grades au 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3" w:after="0" w:line="271" w:lineRule="auto"/>
              <w:ind w:right="85"/>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C(2011) 1264 final - Décision relative aux dispositions générales d'exécution de l'article 79, paragraphe 2, du régime applicable aux autres agents de l'Union européenne, régissant les conditions d'emploi des agents contractuels engagés par la Commission en vertu de l'article 3 bis et 3 ter dudit régime [modifiée en dernier lieu par la décision C(2013) 8967 final]</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5"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2.3.2011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503"/>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 xml:space="preserve">Chapitre 4 - Dispositions particulières applicables aux agents contractuels visés à l'article 3 </w:t>
            </w:r>
            <w:r>
              <w:rPr>
                <w:rFonts w:ascii="Times New Roman" w:hAnsi="Times New Roman" w:cs="Times New Roman"/>
                <w:b/>
                <w:i/>
                <w:noProof/>
                <w:spacing w:val="-1"/>
                <w:sz w:val="25"/>
              </w:rPr>
              <w:t>bis</w:t>
            </w:r>
          </w:p>
        </w:tc>
      </w:tr>
      <w:tr>
        <w:trPr>
          <w:trHeight w:hRule="exact" w:val="1308"/>
        </w:trPr>
        <w:tc>
          <w:tcPr>
            <w:tcW w:w="780" w:type="dxa"/>
            <w:vMerge w:val="restart"/>
            <w:tcBorders>
              <w:top w:val="single" w:sz="5" w:space="0" w:color="000000"/>
              <w:left w:val="single" w:sz="5"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3" w:after="0" w:line="240" w:lineRule="auto"/>
              <w:jc w:val="center"/>
              <w:rPr>
                <w:rFonts w:ascii="Times New Roman" w:eastAsia="Times New Roman" w:hAnsi="Times New Roman" w:cs="Times New Roman"/>
                <w:b/>
                <w:bCs/>
                <w:noProof/>
                <w:sz w:val="16"/>
                <w:szCs w:val="16"/>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87</w:t>
            </w:r>
          </w:p>
        </w:tc>
        <w:tc>
          <w:tcPr>
            <w:tcW w:w="2722" w:type="dxa"/>
            <w:vMerge w:val="restart"/>
            <w:tcBorders>
              <w:top w:val="single" w:sz="5"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3" w:after="0" w:line="240" w:lineRule="auto"/>
              <w:jc w:val="center"/>
              <w:rPr>
                <w:rFonts w:ascii="Times New Roman" w:eastAsia="Times New Roman" w:hAnsi="Times New Roman" w:cs="Times New Roman"/>
                <w:b/>
                <w:bCs/>
                <w:noProof/>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Évaluation des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71" w:lineRule="auto"/>
              <w:ind w:right="30"/>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C(2013) 2529 - Décision de la Commission relative aux dispositions générales d'exécution de l'article 87, paragraphe 3, du régime applicable aux autres agents de l'Union européenne [modifiée en dernier lieu par la décision de la Commission C(2014) 2222 relative aux dispositions générales d'exécution de l'article 87, paragraphe 3, du régime applicable aux autres agents de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6"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3.5.2013</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869"/>
        </w:trPr>
        <w:tc>
          <w:tcPr>
            <w:tcW w:w="780" w:type="dxa"/>
            <w:vMerge/>
            <w:tcBorders>
              <w:left w:val="single" w:sz="5"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3" w:after="0" w:line="240" w:lineRule="auto"/>
              <w:jc w:val="center"/>
              <w:rPr>
                <w:rFonts w:ascii="Times New Roman" w:eastAsia="Times New Roman" w:hAnsi="Times New Roman" w:cs="Times New Roman"/>
                <w:b/>
                <w:bCs/>
                <w:noProof/>
                <w:sz w:val="11"/>
                <w:szCs w:val="11"/>
              </w:rPr>
            </w:pPr>
          </w:p>
          <w:p>
            <w:pPr>
              <w:widowControl w:val="0"/>
              <w:spacing w:after="0" w:line="271" w:lineRule="auto"/>
              <w:ind w:right="26"/>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C(2014) 2226 - Décision de la Commission relative aux dispositions générales d'exécution de l'article 87, paragraphe 1, du régime applicable aux autres agents de l'Union européenne et aux modalités d'application de l'article 44, premier alinéa, du statut </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6"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7.4.2014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jc w:val="center"/>
        <w:rPr>
          <w:rFonts w:ascii="Times New Roman" w:eastAsia="Calibri" w:hAnsi="Times New Roman" w:cs="Times New Roman"/>
          <w:noProof/>
          <w:sz w:val="14"/>
          <w:szCs w:val="14"/>
        </w:rPr>
        <w:sectPr>
          <w:headerReference w:type="even" r:id="rId51"/>
          <w:headerReference w:type="default" r:id="rId52"/>
          <w:footerReference w:type="even" r:id="rId53"/>
          <w:footerReference w:type="default" r:id="rId54"/>
          <w:headerReference w:type="first" r:id="rId55"/>
          <w:footerReference w:type="first" r:id="rId56"/>
          <w:pgSz w:w="11900" w:h="16840" w:code="9"/>
          <w:pgMar w:top="1160" w:right="520" w:bottom="280" w:left="220" w:header="964" w:footer="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471"/>
        </w:trPr>
        <w:tc>
          <w:tcPr>
            <w:tcW w:w="78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982"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8"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624"/>
        </w:trPr>
        <w:tc>
          <w:tcPr>
            <w:tcW w:w="10922" w:type="dxa"/>
            <w:gridSpan w:val="6"/>
            <w:tcBorders>
              <w:top w:val="single" w:sz="5" w:space="0" w:color="000000"/>
              <w:left w:val="single" w:sz="5" w:space="0" w:color="000000"/>
              <w:bottom w:val="single" w:sz="5" w:space="0" w:color="000000"/>
              <w:right w:val="single" w:sz="5" w:space="0" w:color="000000"/>
            </w:tcBorders>
            <w:shd w:val="clear" w:color="auto" w:fill="DCE6F1"/>
          </w:tcPr>
          <w:p>
            <w:pPr>
              <w:widowControl w:val="0"/>
              <w:spacing w:before="12" w:after="0" w:line="248" w:lineRule="auto"/>
              <w:ind w:right="1045"/>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Chapitre 11 - Dispositions particulières et dérogatoires applicables aux agents contractuels affectés dans un pays tiers</w:t>
            </w:r>
          </w:p>
        </w:tc>
      </w:tr>
      <w:tr>
        <w:trPr>
          <w:trHeight w:hRule="exact" w:val="389"/>
        </w:trPr>
        <w:tc>
          <w:tcPr>
            <w:tcW w:w="780" w:type="dxa"/>
            <w:vMerge w:val="restart"/>
            <w:tcBorders>
              <w:top w:val="single" w:sz="5" w:space="0" w:color="000000"/>
              <w:left w:val="single" w:sz="5"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8"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118</w:t>
            </w:r>
          </w:p>
        </w:tc>
        <w:tc>
          <w:tcPr>
            <w:tcW w:w="2722"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8"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Agents contractuels dans les délégations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3" w:after="0" w:line="271" w:lineRule="auto"/>
              <w:ind w:right="61"/>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C(2014) 3296 final - Décision de la Commission sur la mobilité des agents contractuels de la Commission européenne en poste dans les délégations de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21.5.2014</w:t>
            </w:r>
          </w:p>
        </w:tc>
        <w:tc>
          <w:tcPr>
            <w:tcW w:w="1800" w:type="dxa"/>
            <w:tcBorders>
              <w:top w:val="single" w:sz="5" w:space="0" w:color="000000"/>
              <w:left w:val="single" w:sz="3" w:space="0" w:color="000000"/>
              <w:bottom w:val="single" w:sz="3" w:space="0" w:color="000000"/>
              <w:right w:val="single" w:sz="4"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29.8.2016</w:t>
            </w:r>
          </w:p>
        </w:tc>
        <w:tc>
          <w:tcPr>
            <w:tcW w:w="982" w:type="dxa"/>
            <w:vMerge w:val="restart"/>
            <w:tcBorders>
              <w:top w:val="single" w:sz="6" w:space="0" w:color="000000"/>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87"/>
        </w:trPr>
        <w:tc>
          <w:tcPr>
            <w:tcW w:w="780" w:type="dxa"/>
            <w:vMerge/>
            <w:tcBorders>
              <w:left w:val="single" w:sz="5"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6" w:after="0" w:line="271" w:lineRule="auto"/>
              <w:ind w:right="192"/>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C(2016) 5378 - Décision de la Commission  sur la mobilité des agents contractuels de la Commission européenne en poste dans les délégations de l'Union européenne </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29.8.2016</w:t>
            </w:r>
          </w:p>
        </w:tc>
        <w:tc>
          <w:tcPr>
            <w:tcW w:w="1800" w:type="dxa"/>
            <w:tcBorders>
              <w:top w:val="single" w:sz="3" w:space="0" w:color="000000"/>
              <w:left w:val="single" w:sz="3" w:space="0" w:color="000000"/>
              <w:bottom w:val="single" w:sz="3" w:space="0" w:color="000000"/>
              <w:right w:val="single" w:sz="4" w:space="0" w:color="000000"/>
            </w:tcBorders>
            <w:shd w:val="clear" w:color="auto" w:fill="DA9694"/>
          </w:tcPr>
          <w:p>
            <w:pPr>
              <w:jc w:val="center"/>
              <w:rPr>
                <w:rFonts w:ascii="Times New Roman" w:hAnsi="Times New Roman" w:cs="Times New Roman"/>
                <w:noProof/>
              </w:rPr>
            </w:pPr>
          </w:p>
        </w:tc>
        <w:tc>
          <w:tcPr>
            <w:tcW w:w="982" w:type="dxa"/>
            <w:vMerge/>
            <w:tcBorders>
              <w:left w:val="single" w:sz="4" w:space="0" w:color="000000"/>
              <w:bottom w:val="single" w:sz="4" w:space="0" w:color="000000"/>
              <w:right w:val="single" w:sz="4" w:space="0" w:color="auto"/>
            </w:tcBorders>
            <w:shd w:val="clear" w:color="auto" w:fill="DA9694"/>
          </w:tcPr>
          <w:p>
            <w:pPr>
              <w:jc w:val="center"/>
              <w:rPr>
                <w:rFonts w:ascii="Times New Roman" w:hAnsi="Times New Roman" w:cs="Times New Roman"/>
                <w:noProof/>
              </w:rPr>
            </w:pP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9"/>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CE6F1"/>
          </w:tcPr>
          <w:p>
            <w:pPr>
              <w:widowControl w:val="0"/>
              <w:spacing w:before="44" w:after="0" w:line="240" w:lineRule="auto"/>
              <w:ind w:right="984"/>
              <w:jc w:val="center"/>
              <w:rPr>
                <w:rFonts w:ascii="Times New Roman" w:eastAsia="Times New Roman" w:hAnsi="Times New Roman" w:cs="Times New Roman"/>
                <w:noProof/>
                <w:sz w:val="25"/>
                <w:szCs w:val="25"/>
              </w:rPr>
            </w:pPr>
            <w:r>
              <w:rPr>
                <w:rFonts w:ascii="Times New Roman" w:hAnsi="Times New Roman" w:cs="Times New Roman"/>
                <w:b/>
                <w:noProof/>
                <w:sz w:val="25"/>
              </w:rPr>
              <w:t>Titre V - Des agents locaux</w:t>
            </w:r>
          </w:p>
        </w:tc>
      </w:tr>
      <w:tr>
        <w:trPr>
          <w:trHeight w:hRule="exact" w:val="454"/>
        </w:trPr>
        <w:tc>
          <w:tcPr>
            <w:tcW w:w="780" w:type="dxa"/>
            <w:tcBorders>
              <w:top w:val="single" w:sz="5" w:space="0" w:color="000000"/>
              <w:left w:val="single" w:sz="5"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120</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2"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Agents locaux dans les délégations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vAlign w:val="center"/>
          </w:tcPr>
          <w:p>
            <w:pPr>
              <w:widowControl w:val="0"/>
              <w:spacing w:after="0" w:line="104" w:lineRule="exact"/>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Réglementation-cadre de la Commission fixant les conditions</w:t>
            </w:r>
          </w:p>
          <w:p>
            <w:pPr>
              <w:widowControl w:val="0"/>
              <w:spacing w:before="6" w:after="0" w:line="150" w:lineRule="atLeast"/>
              <w:ind w:right="16"/>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d’emploi des agents locaux en service dans les bureaux et délégations dans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30.9.2002</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hAnsi="Times New Roman" w:cs="Times New Roman"/>
          <w:noProof/>
        </w:rPr>
      </w:pPr>
    </w:p>
    <w:tbl>
      <w:tblPr>
        <w:tblW w:w="0" w:type="auto"/>
        <w:tblInd w:w="112"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82"/>
      </w:tblGrid>
      <w:tr>
        <w:trPr>
          <w:trHeight w:hRule="exact" w:val="382"/>
        </w:trPr>
        <w:tc>
          <w:tcPr>
            <w:tcW w:w="10923" w:type="dxa"/>
            <w:gridSpan w:val="6"/>
            <w:tcBorders>
              <w:top w:val="single" w:sz="5" w:space="0" w:color="000000"/>
              <w:left w:val="single" w:sz="5" w:space="0" w:color="000000"/>
              <w:bottom w:val="single" w:sz="5" w:space="0" w:color="000000"/>
              <w:right w:val="single" w:sz="5" w:space="0" w:color="000000"/>
            </w:tcBorders>
            <w:shd w:val="clear" w:color="auto" w:fill="DCE6F1"/>
            <w:vAlign w:val="center"/>
          </w:tcPr>
          <w:p>
            <w:pPr>
              <w:widowControl w:val="0"/>
              <w:spacing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VI - Des conseillers spéciaux</w:t>
            </w:r>
          </w:p>
        </w:tc>
      </w:tr>
      <w:tr>
        <w:trPr>
          <w:trHeight w:hRule="exact" w:val="389"/>
        </w:trPr>
        <w:tc>
          <w:tcPr>
            <w:tcW w:w="780" w:type="dxa"/>
            <w:vMerge w:val="restart"/>
            <w:tcBorders>
              <w:top w:val="single" w:sz="5" w:space="0" w:color="000000"/>
              <w:left w:val="single" w:sz="5"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1"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5 +123 +124</w:t>
            </w:r>
          </w:p>
        </w:tc>
        <w:tc>
          <w:tcPr>
            <w:tcW w:w="2722"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12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Conseillers spéciaux</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C(2007) 6655 - Réglementation relative aux conseillers spéciaux de la Commission</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14.12.2007</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27"/>
        </w:trPr>
        <w:tc>
          <w:tcPr>
            <w:tcW w:w="780" w:type="dxa"/>
            <w:vMerge/>
            <w:tcBorders>
              <w:left w:val="single" w:sz="5"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4" w:after="0" w:line="271" w:lineRule="auto"/>
              <w:ind w:right="166"/>
              <w:jc w:val="center"/>
              <w:rPr>
                <w:rFonts w:ascii="Times New Roman" w:eastAsia="Times New Roman" w:hAnsi="Times New Roman" w:cs="Times New Roman"/>
                <w:noProof/>
                <w:sz w:val="12"/>
                <w:szCs w:val="12"/>
              </w:rPr>
            </w:pPr>
            <w:r>
              <w:rPr>
                <w:rFonts w:ascii="Times New Roman" w:hAnsi="Times New Roman" w:cs="Times New Roman"/>
                <w:noProof/>
                <w:w w:val="105"/>
                <w:sz w:val="12"/>
              </w:rPr>
              <w:t>C(2016) 1962 - Décision de la Commission du 31.3.2016 relative à la nomination des conseillers spéciaux</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31.3.2016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982"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spacing w:before="3"/>
        <w:jc w:val="center"/>
        <w:rPr>
          <w:rFonts w:ascii="Times New Roman" w:eastAsia="Times New Roman" w:hAnsi="Times New Roman" w:cs="Times New Roman"/>
          <w:b/>
          <w:bCs/>
          <w:noProof/>
          <w:sz w:val="24"/>
          <w:szCs w:val="24"/>
        </w:rPr>
      </w:pPr>
    </w:p>
    <w:p>
      <w:pPr>
        <w:widowControl w:val="0"/>
        <w:spacing w:before="83" w:after="0" w:line="644" w:lineRule="auto"/>
        <w:ind w:right="8476"/>
        <w:jc w:val="center"/>
        <w:rPr>
          <w:rFonts w:ascii="Times New Roman" w:eastAsia="Times New Roman" w:hAnsi="Times New Roman" w:cs="Times New Roman"/>
          <w:i/>
          <w:noProof/>
          <w:spacing w:val="16"/>
          <w:sz w:val="15"/>
          <w:szCs w:val="15"/>
        </w:rPr>
      </w:pPr>
    </w:p>
    <w:p>
      <w:pPr>
        <w:jc w:val="center"/>
        <w:rPr>
          <w:rFonts w:ascii="Times New Roman" w:eastAsia="Times New Roman" w:hAnsi="Times New Roman" w:cs="Times New Roman"/>
          <w:noProof/>
          <w:sz w:val="15"/>
          <w:szCs w:val="15"/>
        </w:rPr>
      </w:pPr>
      <w:r>
        <w:rPr>
          <w:rFonts w:ascii="Times New Roman" w:hAnsi="Times New Roman" w:cs="Times New Roman"/>
          <w:noProof/>
        </w:rPr>
        <w:br w:type="page"/>
      </w: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1005"/>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C5D9F1"/>
          </w:tcPr>
          <w:p>
            <w:pPr>
              <w:widowControl w:val="0"/>
              <w:spacing w:after="0" w:line="539" w:lineRule="exact"/>
              <w:jc w:val="center"/>
              <w:rPr>
                <w:rFonts w:ascii="Times New Roman" w:eastAsia="Times New Roman" w:hAnsi="Times New Roman" w:cs="Times New Roman"/>
                <w:noProof/>
                <w:sz w:val="50"/>
                <w:szCs w:val="50"/>
              </w:rPr>
            </w:pPr>
            <w:r>
              <w:rPr>
                <w:rFonts w:ascii="Times New Roman" w:hAnsi="Times New Roman" w:cs="Times New Roman"/>
                <w:b/>
                <w:noProof/>
                <w:sz w:val="50"/>
              </w:rPr>
              <w:t>COUR DE JUSTICE DE L’UNION</w:t>
            </w:r>
          </w:p>
          <w:p>
            <w:pPr>
              <w:widowControl w:val="0"/>
              <w:spacing w:after="0" w:line="533" w:lineRule="exact"/>
              <w:jc w:val="center"/>
              <w:rPr>
                <w:rFonts w:ascii="Times New Roman" w:eastAsia="Times New Roman" w:hAnsi="Times New Roman" w:cs="Times New Roman"/>
                <w:noProof/>
                <w:sz w:val="50"/>
                <w:szCs w:val="50"/>
              </w:rPr>
            </w:pPr>
            <w:r>
              <w:rPr>
                <w:rFonts w:ascii="Times New Roman" w:hAnsi="Times New Roman" w:cs="Times New Roman"/>
                <w:b/>
                <w:noProof/>
                <w:sz w:val="50"/>
              </w:rPr>
              <w:t>EUROPÉENNE</w:t>
            </w:r>
          </w:p>
        </w:tc>
      </w:tr>
      <w:tr>
        <w:trPr>
          <w:trHeight w:hRule="exact" w:val="723"/>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B8CCE4"/>
            <w:vAlign w:val="center"/>
          </w:tcPr>
          <w:p>
            <w:pPr>
              <w:widowControl w:val="0"/>
              <w:spacing w:after="0" w:line="240" w:lineRule="auto"/>
              <w:jc w:val="center"/>
              <w:rPr>
                <w:rFonts w:ascii="Times New Roman" w:eastAsia="Times New Roman" w:hAnsi="Times New Roman" w:cs="Times New Roman"/>
                <w:noProof/>
                <w:sz w:val="44"/>
                <w:szCs w:val="44"/>
              </w:rPr>
            </w:pPr>
            <w:r>
              <w:rPr>
                <w:rFonts w:ascii="Times New Roman" w:hAnsi="Times New Roman" w:cs="Times New Roman"/>
                <w:b/>
                <w:noProof/>
                <w:sz w:val="44"/>
              </w:rPr>
              <w:t>Statut</w:t>
            </w:r>
          </w:p>
          <w:p>
            <w:pPr>
              <w:widowControl w:val="0"/>
              <w:spacing w:after="0" w:line="240" w:lineRule="auto"/>
              <w:jc w:val="center"/>
              <w:rPr>
                <w:rFonts w:ascii="Times New Roman" w:eastAsia="Times New Roman" w:hAnsi="Times New Roman" w:cs="Times New Roman"/>
                <w:noProof/>
                <w:sz w:val="20"/>
                <w:szCs w:val="20"/>
              </w:rPr>
            </w:pPr>
            <w:r>
              <w:rPr>
                <w:rFonts w:ascii="Times New Roman" w:hAnsi="Times New Roman" w:cs="Times New Roman"/>
                <w:b/>
                <w:noProof/>
                <w:w w:val="105"/>
                <w:sz w:val="20"/>
              </w:rPr>
              <w:t>(applicable par analogie aux autres agents lorsque le RAA le prévoit expressément)</w:t>
            </w:r>
          </w:p>
        </w:tc>
      </w:tr>
      <w:tr>
        <w:trPr>
          <w:trHeight w:hRule="exact" w:val="491"/>
        </w:trPr>
        <w:tc>
          <w:tcPr>
            <w:tcW w:w="827" w:type="dxa"/>
            <w:tcBorders>
              <w:top w:val="single" w:sz="7" w:space="0" w:color="000000"/>
              <w:left w:val="single" w:sz="5"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z w:val="19"/>
              </w:rPr>
              <w:t>Article</w:t>
            </w:r>
          </w:p>
        </w:tc>
        <w:tc>
          <w:tcPr>
            <w:tcW w:w="2729"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Objet</w:t>
            </w:r>
          </w:p>
        </w:tc>
        <w:tc>
          <w:tcPr>
            <w:tcW w:w="3432"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2"/>
                <w:sz w:val="19"/>
              </w:rPr>
              <w:t>Règle d'exécution</w:t>
            </w:r>
          </w:p>
        </w:tc>
        <w:tc>
          <w:tcPr>
            <w:tcW w:w="1498"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Entrée en vigueur</w:t>
            </w:r>
          </w:p>
        </w:tc>
        <w:tc>
          <w:tcPr>
            <w:tcW w:w="1562"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z w:val="19"/>
              </w:rPr>
              <w:t>Date d’expiration</w:t>
            </w:r>
          </w:p>
        </w:tc>
        <w:tc>
          <w:tcPr>
            <w:tcW w:w="1007" w:type="dxa"/>
            <w:tcBorders>
              <w:top w:val="single" w:sz="7" w:space="0" w:color="000000"/>
              <w:left w:val="single" w:sz="4" w:space="0" w:color="000000"/>
              <w:bottom w:val="single" w:sz="4" w:space="0" w:color="000000"/>
              <w:right w:val="single" w:sz="7" w:space="0" w:color="000000"/>
            </w:tcBorders>
            <w:shd w:val="clear" w:color="auto" w:fill="DAEEF3"/>
          </w:tcPr>
          <w:p>
            <w:pPr>
              <w:widowControl w:val="0"/>
              <w:spacing w:before="126"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422"/>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CE6F1"/>
          </w:tcPr>
          <w:p>
            <w:pPr>
              <w:widowControl w:val="0"/>
              <w:spacing w:before="56" w:after="0" w:line="240" w:lineRule="auto"/>
              <w:jc w:val="center"/>
              <w:rPr>
                <w:rFonts w:ascii="Times New Roman" w:eastAsia="Times New Roman" w:hAnsi="Times New Roman" w:cs="Times New Roman"/>
                <w:noProof/>
                <w:sz w:val="26"/>
                <w:szCs w:val="26"/>
              </w:rPr>
            </w:pPr>
            <w:r>
              <w:rPr>
                <w:rFonts w:ascii="Times New Roman" w:hAnsi="Times New Roman" w:cs="Times New Roman"/>
                <w:b/>
                <w:noProof/>
                <w:spacing w:val="-1"/>
                <w:sz w:val="26"/>
              </w:rPr>
              <w:t>Titre I - Dispositions générales</w:t>
            </w:r>
          </w:p>
        </w:tc>
      </w:tr>
      <w:tr>
        <w:trPr>
          <w:trHeight w:hRule="exact" w:val="685"/>
        </w:trPr>
        <w:tc>
          <w:tcPr>
            <w:tcW w:w="827" w:type="dxa"/>
            <w:tcBorders>
              <w:top w:val="single" w:sz="7" w:space="0" w:color="000000"/>
              <w:left w:val="single" w:sz="5" w:space="0" w:color="000000"/>
              <w:bottom w:val="single" w:sz="4" w:space="0" w:color="auto"/>
              <w:right w:val="single" w:sz="4"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1</w:t>
            </w:r>
            <w:r>
              <w:rPr>
                <w:rFonts w:ascii="Times New Roman" w:hAnsi="Times New Roman" w:cs="Times New Roman"/>
                <w:b/>
                <w:noProof/>
                <w:w w:val="105"/>
                <w:sz w:val="13"/>
                <w:vertAlign w:val="superscript"/>
              </w:rPr>
              <w:t>er</w:t>
            </w:r>
            <w:r>
              <w:rPr>
                <w:rFonts w:ascii="Times New Roman" w:hAnsi="Times New Roman" w:cs="Times New Roman"/>
                <w:b/>
                <w:noProof/>
                <w:w w:val="105"/>
                <w:sz w:val="13"/>
              </w:rPr>
              <w:t xml:space="preserve"> </w:t>
            </w:r>
            <w:r>
              <w:rPr>
                <w:rFonts w:ascii="Times New Roman" w:hAnsi="Times New Roman" w:cs="Times New Roman"/>
                <w:b/>
                <w:i/>
                <w:noProof/>
                <w:w w:val="105"/>
                <w:sz w:val="13"/>
              </w:rPr>
              <w:t>sexies</w:t>
            </w:r>
            <w:r>
              <w:rPr>
                <w:rFonts w:ascii="Times New Roman" w:hAnsi="Times New Roman" w:cs="Times New Roman"/>
                <w:b/>
                <w:noProof/>
                <w:w w:val="105"/>
                <w:sz w:val="13"/>
              </w:rPr>
              <w:t xml:space="preserve"> (2)</w:t>
            </w:r>
          </w:p>
        </w:tc>
        <w:tc>
          <w:tcPr>
            <w:tcW w:w="2729" w:type="dxa"/>
            <w:tcBorders>
              <w:top w:val="single" w:sz="7" w:space="0" w:color="000000"/>
              <w:left w:val="single" w:sz="4" w:space="0" w:color="000000"/>
              <w:bottom w:val="single" w:sz="4" w:space="0" w:color="auto"/>
              <w:right w:val="single" w:sz="4"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w w:val="105"/>
                <w:sz w:val="17"/>
              </w:rPr>
              <w:t>Santé et sécurité</w:t>
            </w:r>
          </w:p>
        </w:tc>
        <w:tc>
          <w:tcPr>
            <w:tcW w:w="3432" w:type="dxa"/>
            <w:tcBorders>
              <w:top w:val="single" w:sz="7" w:space="0" w:color="000000"/>
              <w:left w:val="single" w:sz="4" w:space="0" w:color="000000"/>
              <w:bottom w:val="single" w:sz="4" w:space="0" w:color="auto"/>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0"/>
                <w:szCs w:val="10"/>
              </w:rPr>
            </w:pPr>
          </w:p>
          <w:p>
            <w:pPr>
              <w:widowControl w:val="0"/>
              <w:spacing w:after="0" w:line="265" w:lineRule="auto"/>
              <w:ind w:right="98"/>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du greffier relative à la nomination des travailleurs chargés de la protection et de la prévention des risques professionnels</w:t>
            </w:r>
          </w:p>
        </w:tc>
        <w:tc>
          <w:tcPr>
            <w:tcW w:w="1498" w:type="dxa"/>
            <w:tcBorders>
              <w:top w:val="single" w:sz="7" w:space="0" w:color="000000"/>
              <w:left w:val="single" w:sz="4" w:space="0" w:color="000000"/>
              <w:bottom w:val="single" w:sz="4" w:space="0" w:color="auto"/>
              <w:right w:val="single" w:sz="4" w:space="0" w:color="000000"/>
            </w:tcBorders>
            <w:shd w:val="clear" w:color="auto" w:fill="DA9694"/>
          </w:tcPr>
          <w:p>
            <w:pPr>
              <w:widowControl w:val="0"/>
              <w:spacing w:before="4"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15.11.2016</w:t>
            </w:r>
          </w:p>
        </w:tc>
        <w:tc>
          <w:tcPr>
            <w:tcW w:w="1562" w:type="dxa"/>
            <w:tcBorders>
              <w:top w:val="single" w:sz="7" w:space="0" w:color="000000"/>
              <w:left w:val="single" w:sz="4" w:space="0" w:color="000000"/>
              <w:bottom w:val="single" w:sz="4" w:space="0" w:color="auto"/>
              <w:right w:val="single" w:sz="4" w:space="0" w:color="000000"/>
            </w:tcBorders>
            <w:shd w:val="clear" w:color="auto" w:fill="DA9694"/>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4" w:space="0" w:color="auto"/>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84"/>
        </w:trPr>
        <w:tc>
          <w:tcPr>
            <w:tcW w:w="11055" w:type="dxa"/>
            <w:gridSpan w:val="6"/>
            <w:tcBorders>
              <w:top w:val="single" w:sz="4" w:space="0" w:color="auto"/>
              <w:bottom w:val="single" w:sz="4" w:space="0" w:color="auto"/>
            </w:tcBorders>
            <w:shd w:val="clear" w:color="auto" w:fill="auto"/>
          </w:tcPr>
          <w:p>
            <w:pPr>
              <w:widowControl w:val="0"/>
              <w:spacing w:after="0" w:line="240" w:lineRule="auto"/>
              <w:jc w:val="center"/>
              <w:rPr>
                <w:rFonts w:ascii="Times New Roman" w:eastAsia="Times New Roman" w:hAnsi="Times New Roman" w:cs="Times New Roman"/>
                <w:b/>
                <w:bCs/>
                <w:noProof/>
                <w:sz w:val="20"/>
                <w:szCs w:val="20"/>
              </w:rPr>
            </w:pPr>
          </w:p>
        </w:tc>
      </w:tr>
      <w:tr>
        <w:trPr>
          <w:trHeight w:hRule="exact" w:val="384"/>
        </w:trPr>
        <w:tc>
          <w:tcPr>
            <w:tcW w:w="11055" w:type="dxa"/>
            <w:gridSpan w:val="6"/>
            <w:tcBorders>
              <w:top w:val="single" w:sz="4" w:space="0" w:color="auto"/>
              <w:left w:val="single" w:sz="5" w:space="0" w:color="000000"/>
              <w:bottom w:val="single" w:sz="7" w:space="0" w:color="000000"/>
              <w:right w:val="single" w:sz="7" w:space="0" w:color="000000"/>
            </w:tcBorders>
            <w:shd w:val="clear" w:color="auto" w:fill="DCE6F1"/>
          </w:tcPr>
          <w:p>
            <w:pPr>
              <w:widowControl w:val="0"/>
              <w:spacing w:before="37" w:after="0" w:line="240" w:lineRule="auto"/>
              <w:jc w:val="center"/>
              <w:rPr>
                <w:rFonts w:ascii="Times New Roman" w:eastAsia="Times New Roman" w:hAnsi="Times New Roman" w:cs="Times New Roman"/>
                <w:noProof/>
                <w:sz w:val="26"/>
                <w:szCs w:val="26"/>
              </w:rPr>
            </w:pPr>
            <w:r>
              <w:rPr>
                <w:rFonts w:ascii="Times New Roman" w:hAnsi="Times New Roman" w:cs="Times New Roman"/>
                <w:b/>
                <w:noProof/>
                <w:sz w:val="26"/>
              </w:rPr>
              <w:t>Titre II - Droits et obligations du fonctionnaire</w:t>
            </w:r>
          </w:p>
        </w:tc>
      </w:tr>
      <w:tr>
        <w:trPr>
          <w:trHeight w:hRule="exact" w:val="661"/>
        </w:trPr>
        <w:tc>
          <w:tcPr>
            <w:tcW w:w="827" w:type="dxa"/>
            <w:vMerge w:val="restart"/>
            <w:tcBorders>
              <w:top w:val="single" w:sz="7" w:space="0" w:color="000000"/>
              <w:left w:val="single" w:sz="5"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2</w:t>
            </w:r>
          </w:p>
        </w:tc>
        <w:tc>
          <w:tcPr>
            <w:tcW w:w="2729" w:type="dxa"/>
            <w:vMerge w:val="restart"/>
            <w:tcBorders>
              <w:top w:val="single" w:sz="7" w:space="0" w:color="000000"/>
              <w:left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8"/>
                <w:szCs w:val="18"/>
              </w:rPr>
            </w:pPr>
          </w:p>
          <w:p>
            <w:pPr>
              <w:widowControl w:val="0"/>
              <w:spacing w:before="3" w:after="0" w:line="240" w:lineRule="auto"/>
              <w:jc w:val="center"/>
              <w:rPr>
                <w:rFonts w:ascii="Times New Roman" w:eastAsia="Times New Roman" w:hAnsi="Times New Roman" w:cs="Times New Roman"/>
                <w:noProof/>
                <w:sz w:val="25"/>
                <w:szCs w:val="25"/>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Pouvoirs de l'AIPN - Cour de justice</w:t>
            </w:r>
          </w:p>
        </w:tc>
        <w:tc>
          <w:tcPr>
            <w:tcW w:w="3432" w:type="dxa"/>
            <w:tcBorders>
              <w:top w:val="single" w:sz="7" w:space="0" w:color="000000"/>
              <w:left w:val="single" w:sz="4" w:space="0" w:color="000000"/>
              <w:bottom w:val="single" w:sz="4" w:space="0" w:color="000000"/>
              <w:right w:val="single" w:sz="4"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65" w:lineRule="auto"/>
              <w:ind w:right="91"/>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de la Cour de justice sur les pouvoirs de l’AIPN (modifiée en dernier lieu par la décision sur les pouvoirs de l’AIPN du 21 juin 2016)</w:t>
            </w:r>
          </w:p>
        </w:tc>
        <w:tc>
          <w:tcPr>
            <w:tcW w:w="1498" w:type="dxa"/>
            <w:tcBorders>
              <w:top w:val="single" w:sz="7" w:space="0" w:color="000000"/>
              <w:left w:val="single" w:sz="4" w:space="0" w:color="000000"/>
              <w:bottom w:val="single" w:sz="4" w:space="0" w:color="000000"/>
              <w:right w:val="single" w:sz="4"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4.5.2004</w:t>
            </w:r>
          </w:p>
        </w:tc>
        <w:tc>
          <w:tcPr>
            <w:tcW w:w="1562" w:type="dxa"/>
            <w:tcBorders>
              <w:top w:val="single" w:sz="7" w:space="0" w:color="000000"/>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28"/>
        </w:trPr>
        <w:tc>
          <w:tcPr>
            <w:tcW w:w="827" w:type="dxa"/>
            <w:vMerge/>
            <w:tcBorders>
              <w:left w:val="single" w:sz="5" w:space="0" w:color="000000"/>
              <w:right w:val="single" w:sz="4" w:space="0" w:color="000000"/>
            </w:tcBorders>
            <w:shd w:val="clear" w:color="auto" w:fill="DA9694"/>
          </w:tcPr>
          <w:p>
            <w:pPr>
              <w:jc w:val="center"/>
              <w:rPr>
                <w:rFonts w:ascii="Times New Roman" w:hAnsi="Times New Roman" w:cs="Times New Roman"/>
                <w:noProof/>
              </w:rPr>
            </w:pPr>
          </w:p>
        </w:tc>
        <w:tc>
          <w:tcPr>
            <w:tcW w:w="2729" w:type="dxa"/>
            <w:vMerge/>
            <w:tcBorders>
              <w:left w:val="single" w:sz="4" w:space="0" w:color="000000"/>
              <w:right w:val="single" w:sz="4" w:space="0" w:color="000000"/>
            </w:tcBorders>
            <w:shd w:val="clear" w:color="auto" w:fill="DA9694"/>
          </w:tcPr>
          <w:p>
            <w:pPr>
              <w:jc w:val="center"/>
              <w:rPr>
                <w:rFonts w:ascii="Times New Roman" w:hAnsi="Times New Roman" w:cs="Times New Roman"/>
                <w:noProof/>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17" w:after="0" w:line="265" w:lineRule="auto"/>
              <w:ind w:right="43"/>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du greffier de la Cour de justice du 11 octobre 2010 sur la délégation de signature (modifiée en dernier lieu par la décision du 14 mai 2014)</w:t>
            </w:r>
          </w:p>
        </w:tc>
        <w:tc>
          <w:tcPr>
            <w:tcW w:w="1498"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11.10.2010</w:t>
            </w:r>
          </w:p>
        </w:tc>
        <w:tc>
          <w:tcPr>
            <w:tcW w:w="1562" w:type="dxa"/>
            <w:tcBorders>
              <w:top w:val="single" w:sz="4" w:space="0" w:color="000000"/>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28"/>
        </w:trPr>
        <w:tc>
          <w:tcPr>
            <w:tcW w:w="827" w:type="dxa"/>
            <w:vMerge/>
            <w:tcBorders>
              <w:left w:val="single" w:sz="5"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2729" w:type="dxa"/>
            <w:vMerge/>
            <w:tcBorders>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101" w:after="0" w:line="265" w:lineRule="auto"/>
              <w:ind w:right="186"/>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de la Cour de justice sur la délégation de certains pouvoirs de l’AIPN à la Commission européenne</w:t>
            </w:r>
          </w:p>
        </w:tc>
        <w:tc>
          <w:tcPr>
            <w:tcW w:w="1498"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21.6.2016</w:t>
            </w:r>
          </w:p>
        </w:tc>
        <w:tc>
          <w:tcPr>
            <w:tcW w:w="1562" w:type="dxa"/>
            <w:tcBorders>
              <w:top w:val="single" w:sz="4" w:space="0" w:color="000000"/>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247"/>
        </w:trPr>
        <w:tc>
          <w:tcPr>
            <w:tcW w:w="827" w:type="dxa"/>
            <w:tcBorders>
              <w:top w:val="single" w:sz="4" w:space="0" w:color="000000"/>
              <w:bottom w:val="single" w:sz="4" w:space="0" w:color="auto"/>
            </w:tcBorders>
          </w:tcPr>
          <w:p>
            <w:pPr>
              <w:jc w:val="center"/>
              <w:rPr>
                <w:rFonts w:ascii="Times New Roman" w:hAnsi="Times New Roman" w:cs="Times New Roman"/>
                <w:noProof/>
              </w:rPr>
            </w:pPr>
          </w:p>
        </w:tc>
        <w:tc>
          <w:tcPr>
            <w:tcW w:w="2729" w:type="dxa"/>
            <w:tcBorders>
              <w:top w:val="single" w:sz="4" w:space="0" w:color="000000"/>
              <w:bottom w:val="single" w:sz="4" w:space="0" w:color="000000"/>
            </w:tcBorders>
          </w:tcPr>
          <w:p>
            <w:pPr>
              <w:widowControl w:val="0"/>
              <w:spacing w:after="0" w:line="240" w:lineRule="auto"/>
              <w:jc w:val="center"/>
              <w:rPr>
                <w:rFonts w:ascii="Times New Roman" w:eastAsia="Times New Roman" w:hAnsi="Times New Roman" w:cs="Times New Roman"/>
                <w:b/>
                <w:bCs/>
                <w:noProof/>
                <w:sz w:val="20"/>
                <w:szCs w:val="20"/>
              </w:rPr>
            </w:pPr>
          </w:p>
        </w:tc>
        <w:tc>
          <w:tcPr>
            <w:tcW w:w="3432" w:type="dxa"/>
            <w:tcBorders>
              <w:top w:val="single" w:sz="4" w:space="0" w:color="000000"/>
              <w:bottom w:val="single" w:sz="4" w:space="0" w:color="000000"/>
            </w:tcBorders>
          </w:tcPr>
          <w:p>
            <w:pPr>
              <w:jc w:val="center"/>
              <w:rPr>
                <w:rFonts w:ascii="Times New Roman" w:hAnsi="Times New Roman" w:cs="Times New Roman"/>
                <w:noProof/>
              </w:rPr>
            </w:pPr>
          </w:p>
        </w:tc>
        <w:tc>
          <w:tcPr>
            <w:tcW w:w="1498" w:type="dxa"/>
            <w:tcBorders>
              <w:top w:val="single" w:sz="4" w:space="0" w:color="000000"/>
              <w:bottom w:val="single" w:sz="4" w:space="0" w:color="000000"/>
            </w:tcBorders>
          </w:tcPr>
          <w:p>
            <w:pPr>
              <w:jc w:val="center"/>
              <w:rPr>
                <w:rFonts w:ascii="Times New Roman" w:hAnsi="Times New Roman" w:cs="Times New Roman"/>
                <w:noProof/>
              </w:rPr>
            </w:pPr>
          </w:p>
        </w:tc>
        <w:tc>
          <w:tcPr>
            <w:tcW w:w="1562" w:type="dxa"/>
            <w:tcBorders>
              <w:top w:val="single" w:sz="4" w:space="0" w:color="000000"/>
              <w:bottom w:val="single" w:sz="4" w:space="0" w:color="000000"/>
            </w:tcBorders>
          </w:tcPr>
          <w:p>
            <w:pPr>
              <w:jc w:val="center"/>
              <w:rPr>
                <w:rFonts w:ascii="Times New Roman" w:hAnsi="Times New Roman" w:cs="Times New Roman"/>
                <w:noProof/>
              </w:rPr>
            </w:pPr>
          </w:p>
        </w:tc>
        <w:tc>
          <w:tcPr>
            <w:tcW w:w="1007" w:type="dxa"/>
            <w:tcBorders>
              <w:top w:val="single" w:sz="4" w:space="0" w:color="000000"/>
              <w:bottom w:val="single" w:sz="4" w:space="0" w:color="000000"/>
              <w:right w:val="nil"/>
            </w:tcBorders>
          </w:tcPr>
          <w:p>
            <w:pPr>
              <w:jc w:val="center"/>
              <w:rPr>
                <w:rFonts w:ascii="Times New Roman" w:hAnsi="Times New Roman" w:cs="Times New Roman"/>
                <w:noProof/>
              </w:rPr>
            </w:pPr>
          </w:p>
        </w:tc>
      </w:tr>
      <w:tr>
        <w:trPr>
          <w:trHeight w:hRule="exact" w:val="606"/>
        </w:trPr>
        <w:tc>
          <w:tcPr>
            <w:tcW w:w="827" w:type="dxa"/>
            <w:vMerge w:val="restart"/>
            <w:tcBorders>
              <w:top w:val="single" w:sz="4" w:space="0" w:color="auto"/>
              <w:left w:val="single" w:sz="6"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3"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2</w:t>
            </w:r>
          </w:p>
        </w:tc>
        <w:tc>
          <w:tcPr>
            <w:tcW w:w="2729" w:type="dxa"/>
            <w:vMerge w:val="restart"/>
            <w:tcBorders>
              <w:top w:val="single" w:sz="4" w:space="0" w:color="000000"/>
              <w:left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8"/>
                <w:szCs w:val="18"/>
              </w:rPr>
            </w:pPr>
          </w:p>
          <w:p>
            <w:pPr>
              <w:widowControl w:val="0"/>
              <w:spacing w:before="1" w:after="0" w:line="240" w:lineRule="auto"/>
              <w:jc w:val="center"/>
              <w:rPr>
                <w:rFonts w:ascii="Times New Roman" w:eastAsia="Times New Roman" w:hAnsi="Times New Roman" w:cs="Times New Roman"/>
                <w:noProof/>
                <w:sz w:val="25"/>
                <w:szCs w:val="25"/>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Pouvoirs de l'AIPN - Tribunal</w:t>
            </w:r>
          </w:p>
        </w:tc>
        <w:tc>
          <w:tcPr>
            <w:tcW w:w="343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101" w:after="0" w:line="265" w:lineRule="auto"/>
              <w:ind w:right="53"/>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Tribunal du 13 juin 1990 sur les pouvoirs de l’AIPN (modifiée en dernier lieu par la décision du 13 septembre 2004)</w:t>
            </w:r>
          </w:p>
        </w:tc>
        <w:tc>
          <w:tcPr>
            <w:tcW w:w="1498"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13.6.1990</w:t>
            </w:r>
          </w:p>
        </w:tc>
        <w:tc>
          <w:tcPr>
            <w:tcW w:w="156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22.9.2014</w:t>
            </w:r>
          </w:p>
        </w:tc>
        <w:tc>
          <w:tcPr>
            <w:tcW w:w="1007" w:type="dxa"/>
            <w:vMerge w:val="restart"/>
            <w:tcBorders>
              <w:top w:val="single" w:sz="4" w:space="0" w:color="000000"/>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718"/>
        </w:trPr>
        <w:tc>
          <w:tcPr>
            <w:tcW w:w="827" w:type="dxa"/>
            <w:vMerge/>
            <w:tcBorders>
              <w:left w:val="single" w:sz="6"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2729" w:type="dxa"/>
            <w:vMerge/>
            <w:tcBorders>
              <w:left w:val="single" w:sz="4" w:space="0" w:color="000000"/>
              <w:right w:val="single" w:sz="4" w:space="0" w:color="000000"/>
            </w:tcBorders>
            <w:shd w:val="clear" w:color="auto" w:fill="DA9694"/>
          </w:tcPr>
          <w:p>
            <w:pPr>
              <w:jc w:val="center"/>
              <w:rPr>
                <w:rFonts w:ascii="Times New Roman" w:hAnsi="Times New Roman" w:cs="Times New Roman"/>
                <w:noProof/>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65" w:lineRule="auto"/>
              <w:ind w:right="64"/>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Tribunal du 22 septembre 2014 sur les pouvoirs de l’AIPN (modifiée en dernier lieu par la décision du 14 décembre 2016)</w:t>
            </w:r>
          </w:p>
        </w:tc>
        <w:tc>
          <w:tcPr>
            <w:tcW w:w="1498"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22.9.2014</w:t>
            </w:r>
          </w:p>
        </w:tc>
        <w:tc>
          <w:tcPr>
            <w:tcW w:w="1562" w:type="dxa"/>
            <w:tcBorders>
              <w:top w:val="single" w:sz="4" w:space="0" w:color="000000"/>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vMerge/>
            <w:tcBorders>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718"/>
        </w:trPr>
        <w:tc>
          <w:tcPr>
            <w:tcW w:w="827" w:type="dxa"/>
            <w:vMerge/>
            <w:tcBorders>
              <w:left w:val="single" w:sz="6"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2729" w:type="dxa"/>
            <w:vMerge/>
            <w:tcBorders>
              <w:left w:val="single" w:sz="4" w:space="0" w:color="000000"/>
              <w:right w:val="single" w:sz="4" w:space="0" w:color="000000"/>
            </w:tcBorders>
            <w:shd w:val="clear" w:color="auto" w:fill="DA9694"/>
          </w:tcPr>
          <w:p>
            <w:pPr>
              <w:jc w:val="center"/>
              <w:rPr>
                <w:rFonts w:ascii="Times New Roman" w:hAnsi="Times New Roman" w:cs="Times New Roman"/>
                <w:noProof/>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65" w:lineRule="auto"/>
              <w:ind w:right="97"/>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Tribunal établissant un comité pour certains pouvoirs de l’AIPN (modifiée en dernier lieu par la décision du 13 septembre 2004)</w:t>
            </w:r>
          </w:p>
        </w:tc>
        <w:tc>
          <w:tcPr>
            <w:tcW w:w="1498"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6.2.2001</w:t>
            </w:r>
          </w:p>
        </w:tc>
        <w:tc>
          <w:tcPr>
            <w:tcW w:w="156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22.9.2014</w:t>
            </w:r>
          </w:p>
        </w:tc>
        <w:tc>
          <w:tcPr>
            <w:tcW w:w="1007" w:type="dxa"/>
            <w:vMerge w:val="restart"/>
            <w:tcBorders>
              <w:top w:val="single" w:sz="4" w:space="0" w:color="000000"/>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5"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713"/>
        </w:trPr>
        <w:tc>
          <w:tcPr>
            <w:tcW w:w="827" w:type="dxa"/>
            <w:vMerge/>
            <w:tcBorders>
              <w:left w:val="single" w:sz="6"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2729" w:type="dxa"/>
            <w:vMerge/>
            <w:tcBorders>
              <w:left w:val="single" w:sz="4" w:space="0" w:color="000000"/>
              <w:right w:val="single" w:sz="4" w:space="0" w:color="000000"/>
            </w:tcBorders>
            <w:shd w:val="clear" w:color="auto" w:fill="DA9694"/>
          </w:tcPr>
          <w:p>
            <w:pPr>
              <w:jc w:val="center"/>
              <w:rPr>
                <w:rFonts w:ascii="Times New Roman" w:hAnsi="Times New Roman" w:cs="Times New Roman"/>
                <w:noProof/>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8" w:after="0" w:line="240" w:lineRule="auto"/>
              <w:jc w:val="center"/>
              <w:rPr>
                <w:rFonts w:ascii="Times New Roman" w:eastAsia="Times New Roman" w:hAnsi="Times New Roman" w:cs="Times New Roman"/>
                <w:noProof/>
                <w:sz w:val="16"/>
                <w:szCs w:val="16"/>
              </w:rPr>
            </w:pPr>
          </w:p>
          <w:p>
            <w:pPr>
              <w:widowControl w:val="0"/>
              <w:spacing w:after="0" w:line="265" w:lineRule="auto"/>
              <w:ind w:right="178"/>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Tribunal établissant un comité pour certains pouvoirs de l’AIPN</w:t>
            </w:r>
          </w:p>
        </w:tc>
        <w:tc>
          <w:tcPr>
            <w:tcW w:w="1498"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22.9.2014</w:t>
            </w:r>
          </w:p>
        </w:tc>
        <w:tc>
          <w:tcPr>
            <w:tcW w:w="1562" w:type="dxa"/>
            <w:tcBorders>
              <w:top w:val="single" w:sz="4" w:space="0" w:color="000000"/>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vMerge/>
            <w:tcBorders>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586"/>
        </w:trPr>
        <w:tc>
          <w:tcPr>
            <w:tcW w:w="827" w:type="dxa"/>
            <w:vMerge/>
            <w:tcBorders>
              <w:left w:val="single" w:sz="6"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2729" w:type="dxa"/>
            <w:vMerge/>
            <w:tcBorders>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343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3" w:after="0" w:line="240" w:lineRule="auto"/>
              <w:jc w:val="center"/>
              <w:rPr>
                <w:rFonts w:ascii="Times New Roman" w:eastAsia="Times New Roman" w:hAnsi="Times New Roman" w:cs="Times New Roman"/>
                <w:noProof/>
                <w:sz w:val="11"/>
                <w:szCs w:val="11"/>
              </w:rPr>
            </w:pPr>
          </w:p>
          <w:p>
            <w:pPr>
              <w:widowControl w:val="0"/>
              <w:spacing w:after="0" w:line="265" w:lineRule="auto"/>
              <w:ind w:right="83"/>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du greffier du Tribunal relative à la délégation des pouvoirs de l’AIPN</w:t>
            </w:r>
          </w:p>
        </w:tc>
        <w:tc>
          <w:tcPr>
            <w:tcW w:w="1498"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3"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22.9.2014</w:t>
            </w:r>
          </w:p>
        </w:tc>
        <w:tc>
          <w:tcPr>
            <w:tcW w:w="1562" w:type="dxa"/>
            <w:tcBorders>
              <w:top w:val="single" w:sz="4" w:space="0" w:color="000000"/>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934"/>
        </w:trPr>
        <w:tc>
          <w:tcPr>
            <w:tcW w:w="827" w:type="dxa"/>
            <w:tcBorders>
              <w:top w:val="single" w:sz="4" w:space="0" w:color="000000"/>
              <w:left w:val="single" w:sz="5"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5 + annexe I</w:t>
            </w:r>
          </w:p>
        </w:tc>
        <w:tc>
          <w:tcPr>
            <w:tcW w:w="2729"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8"/>
                <w:szCs w:val="18"/>
              </w:rPr>
            </w:pPr>
          </w:p>
          <w:p>
            <w:pPr>
              <w:widowControl w:val="0"/>
              <w:spacing w:before="161"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w w:val="105"/>
                <w:sz w:val="17"/>
              </w:rPr>
              <w:t>Emplois types et intitulés d'emploi</w:t>
            </w:r>
          </w:p>
        </w:tc>
        <w:tc>
          <w:tcPr>
            <w:tcW w:w="343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1"/>
                <w:szCs w:val="11"/>
              </w:rPr>
            </w:pPr>
          </w:p>
          <w:p>
            <w:pPr>
              <w:widowControl w:val="0"/>
              <w:spacing w:after="0" w:line="265" w:lineRule="auto"/>
              <w:ind w:right="129"/>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déterminant les critères généraux de classement des fonctionnaires des grades AD 9 et AD 14 investis de responsabilités particulières, concernant les emplois types «chef d’unité» ou équivalent et «conseiller» ou équivalent</w:t>
            </w:r>
          </w:p>
        </w:tc>
        <w:tc>
          <w:tcPr>
            <w:tcW w:w="1498"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17.11.2014</w:t>
            </w:r>
          </w:p>
        </w:tc>
        <w:tc>
          <w:tcPr>
            <w:tcW w:w="1562" w:type="dxa"/>
            <w:tcBorders>
              <w:top w:val="single" w:sz="4" w:space="0" w:color="000000"/>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2"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1362"/>
        </w:trPr>
        <w:tc>
          <w:tcPr>
            <w:tcW w:w="827" w:type="dxa"/>
            <w:tcBorders>
              <w:top w:val="single" w:sz="4" w:space="0" w:color="000000"/>
              <w:left w:val="single" w:sz="5"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7" w:after="0" w:line="262" w:lineRule="auto"/>
              <w:ind w:right="42"/>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5 + annexe I et annexe XIII (articles 30 - 31)</w:t>
            </w:r>
          </w:p>
        </w:tc>
        <w:tc>
          <w:tcPr>
            <w:tcW w:w="2729"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18" w:after="0" w:line="265" w:lineRule="auto"/>
              <w:ind w:right="35"/>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Classement des fonctionnaires investis de responsabilités particulières en tant que «chef d'unité ou équivalent» ou «conseiller ou équivalent» avant le 31 décembre 2015</w:t>
            </w:r>
          </w:p>
        </w:tc>
        <w:tc>
          <w:tcPr>
            <w:tcW w:w="343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0" w:after="0" w:line="265" w:lineRule="auto"/>
              <w:ind w:right="129"/>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déterminant les critères généraux de classement des fonctionnaires des grades AD 9 et AD 14 investis de responsabilités particulières, concernant les emplois types «chef d’unité» ou équivalent et «conseiller» ou équivalent</w:t>
            </w:r>
          </w:p>
        </w:tc>
        <w:tc>
          <w:tcPr>
            <w:tcW w:w="1498"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17.11.2014</w:t>
            </w:r>
          </w:p>
        </w:tc>
        <w:tc>
          <w:tcPr>
            <w:tcW w:w="1562" w:type="dxa"/>
            <w:tcBorders>
              <w:top w:val="single" w:sz="4" w:space="0" w:color="000000"/>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3"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47"/>
        </w:trPr>
        <w:tc>
          <w:tcPr>
            <w:tcW w:w="827" w:type="dxa"/>
            <w:tcBorders>
              <w:top w:val="single" w:sz="4" w:space="0" w:color="000000"/>
              <w:left w:val="single" w:sz="5" w:space="0" w:color="000000"/>
              <w:bottom w:val="single" w:sz="4" w:space="0" w:color="000000"/>
              <w:right w:val="single" w:sz="4"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 xml:space="preserve">22 </w:t>
            </w:r>
            <w:r>
              <w:rPr>
                <w:rFonts w:ascii="Times New Roman" w:hAnsi="Times New Roman" w:cs="Times New Roman"/>
                <w:b/>
                <w:i/>
                <w:noProof/>
                <w:w w:val="105"/>
                <w:sz w:val="13"/>
              </w:rPr>
              <w:t>bis</w:t>
            </w:r>
            <w:r>
              <w:rPr>
                <w:rFonts w:ascii="Times New Roman" w:hAnsi="Times New Roman" w:cs="Times New Roman"/>
                <w:b/>
                <w:noProof/>
                <w:w w:val="105"/>
                <w:sz w:val="13"/>
              </w:rPr>
              <w:t xml:space="preserve"> - </w:t>
            </w:r>
            <w:r>
              <w:rPr>
                <w:rFonts w:ascii="Times New Roman" w:hAnsi="Times New Roman" w:cs="Times New Roman"/>
                <w:b/>
                <w:i/>
                <w:noProof/>
                <w:w w:val="105"/>
                <w:sz w:val="13"/>
              </w:rPr>
              <w:t>quater</w:t>
            </w:r>
          </w:p>
        </w:tc>
        <w:tc>
          <w:tcPr>
            <w:tcW w:w="2729"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4"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w w:val="105"/>
                <w:sz w:val="17"/>
              </w:rPr>
              <w:t>Dénonciation des dysfonctionnements</w:t>
            </w:r>
          </w:p>
        </w:tc>
        <w:tc>
          <w:tcPr>
            <w:tcW w:w="343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65" w:lineRule="auto"/>
              <w:ind w:right="50"/>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du comité administratif sur les règles relatives à l’information et à la protection des lanceurs d’alerte</w:t>
            </w:r>
          </w:p>
        </w:tc>
        <w:tc>
          <w:tcPr>
            <w:tcW w:w="1498"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8"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7.3.2016</w:t>
            </w:r>
          </w:p>
        </w:tc>
        <w:tc>
          <w:tcPr>
            <w:tcW w:w="1562" w:type="dxa"/>
            <w:tcBorders>
              <w:top w:val="single" w:sz="4" w:space="0" w:color="000000"/>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spacing w:after="0" w:line="240" w:lineRule="auto"/>
        <w:jc w:val="center"/>
        <w:rPr>
          <w:rFonts w:ascii="Times New Roman" w:eastAsia="Times New Roman" w:hAnsi="Times New Roman" w:cs="Times New Roman"/>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295"/>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CE6F1"/>
          </w:tcPr>
          <w:p>
            <w:pPr>
              <w:widowControl w:val="0"/>
              <w:spacing w:after="0" w:line="279" w:lineRule="exact"/>
              <w:jc w:val="center"/>
              <w:rPr>
                <w:rFonts w:ascii="Times New Roman" w:eastAsia="Times New Roman" w:hAnsi="Times New Roman" w:cs="Times New Roman"/>
                <w:noProof/>
                <w:sz w:val="26"/>
                <w:szCs w:val="26"/>
              </w:rPr>
            </w:pPr>
            <w:r>
              <w:rPr>
                <w:rFonts w:ascii="Times New Roman" w:hAnsi="Times New Roman" w:cs="Times New Roman"/>
                <w:b/>
                <w:noProof/>
                <w:spacing w:val="-1"/>
                <w:sz w:val="26"/>
              </w:rPr>
              <w:t>Titre III - De la carrière du fonctionnaire</w:t>
            </w:r>
          </w:p>
        </w:tc>
      </w:tr>
      <w:tr>
        <w:trPr>
          <w:trHeight w:hRule="exact" w:val="415"/>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86" w:after="0" w:line="240" w:lineRule="auto"/>
              <w:ind w:right="1004"/>
              <w:jc w:val="center"/>
              <w:rPr>
                <w:rFonts w:ascii="Times New Roman" w:eastAsia="Times New Roman" w:hAnsi="Times New Roman" w:cs="Times New Roman"/>
                <w:noProof/>
                <w:sz w:val="20"/>
                <w:szCs w:val="20"/>
              </w:rPr>
            </w:pPr>
            <w:r>
              <w:rPr>
                <w:rFonts w:ascii="Times New Roman" w:hAnsi="Times New Roman" w:cs="Times New Roman"/>
                <w:b/>
                <w:noProof/>
                <w:w w:val="105"/>
                <w:sz w:val="20"/>
              </w:rPr>
              <w:t>Chapitre 1 - Recrutement</w:t>
            </w:r>
          </w:p>
        </w:tc>
      </w:tr>
      <w:tr>
        <w:trPr>
          <w:trHeight w:hRule="exact" w:val="872"/>
        </w:trPr>
        <w:tc>
          <w:tcPr>
            <w:tcW w:w="827" w:type="dxa"/>
            <w:tcBorders>
              <w:top w:val="single" w:sz="7" w:space="0" w:color="000000"/>
              <w:left w:val="single" w:sz="5" w:space="0" w:color="000000"/>
              <w:bottom w:val="single" w:sz="4" w:space="0" w:color="000000"/>
              <w:right w:val="single" w:sz="4"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79"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27 - 34</w:t>
            </w:r>
          </w:p>
        </w:tc>
        <w:tc>
          <w:tcPr>
            <w:tcW w:w="2729"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after="0" w:line="240" w:lineRule="auto"/>
              <w:jc w:val="center"/>
              <w:rPr>
                <w:rFonts w:ascii="Times New Roman" w:eastAsia="Times New Roman" w:hAnsi="Times New Roman" w:cs="Times New Roman"/>
                <w:noProof/>
                <w:sz w:val="18"/>
                <w:szCs w:val="18"/>
              </w:rPr>
            </w:pPr>
          </w:p>
          <w:p>
            <w:pPr>
              <w:widowControl w:val="0"/>
              <w:spacing w:before="127"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Recrutement</w:t>
            </w:r>
          </w:p>
        </w:tc>
        <w:tc>
          <w:tcPr>
            <w:tcW w:w="3432"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103" w:after="0" w:line="265" w:lineRule="auto"/>
              <w:ind w:right="19"/>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sur les dispositions générales d’exécution relatives au classement d'échelon lors de la nomination de fonctionnaires ou de l’engagement d’agents temporaires (modifiée en dernier lieu par la décision du 24 mars 2014)</w:t>
            </w:r>
          </w:p>
        </w:tc>
        <w:tc>
          <w:tcPr>
            <w:tcW w:w="1498"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77"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12.5.2004</w:t>
            </w:r>
          </w:p>
        </w:tc>
        <w:tc>
          <w:tcPr>
            <w:tcW w:w="1562" w:type="dxa"/>
            <w:tcBorders>
              <w:top w:val="single" w:sz="7" w:space="0" w:color="000000"/>
              <w:left w:val="single" w:sz="4" w:space="0" w:color="000000"/>
              <w:bottom w:val="single" w:sz="4" w:space="0" w:color="000000"/>
              <w:right w:val="single" w:sz="4" w:space="0" w:color="000000"/>
            </w:tcBorders>
            <w:shd w:val="clear" w:color="auto" w:fill="FFFF65"/>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3"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jc w:val="center"/>
        <w:rPr>
          <w:rFonts w:ascii="Times New Roman" w:eastAsia="Calibri" w:hAnsi="Times New Roman" w:cs="Times New Roman"/>
          <w:noProof/>
          <w:sz w:val="15"/>
          <w:szCs w:val="15"/>
        </w:rPr>
        <w:sectPr>
          <w:headerReference w:type="even" r:id="rId57"/>
          <w:headerReference w:type="default" r:id="rId58"/>
          <w:footerReference w:type="even" r:id="rId59"/>
          <w:footerReference w:type="default" r:id="rId60"/>
          <w:headerReference w:type="first" r:id="rId61"/>
          <w:footerReference w:type="first" r:id="rId62"/>
          <w:pgSz w:w="11900" w:h="16840" w:code="9"/>
          <w:pgMar w:top="820" w:right="380" w:bottom="280" w:left="240" w:header="633" w:footer="720" w:gutter="0"/>
          <w:cols w:space="720"/>
        </w:sectPr>
      </w:pPr>
    </w:p>
    <w:tbl>
      <w:tblPr>
        <w:tblW w:w="0" w:type="auto"/>
        <w:tblInd w:w="97" w:type="dxa"/>
        <w:tblLayout w:type="fixed"/>
        <w:tblCellMar>
          <w:left w:w="0" w:type="dxa"/>
          <w:right w:w="0" w:type="dxa"/>
        </w:tblCellMar>
        <w:tblLook w:val="01E0" w:firstRow="1" w:lastRow="1" w:firstColumn="1" w:lastColumn="1" w:noHBand="0" w:noVBand="0"/>
      </w:tblPr>
      <w:tblGrid>
        <w:gridCol w:w="828"/>
        <w:gridCol w:w="2729"/>
        <w:gridCol w:w="3432"/>
        <w:gridCol w:w="1498"/>
        <w:gridCol w:w="1562"/>
        <w:gridCol w:w="1007"/>
      </w:tblGrid>
      <w:tr>
        <w:trPr>
          <w:trHeight w:hRule="exact" w:val="491"/>
        </w:trPr>
        <w:tc>
          <w:tcPr>
            <w:tcW w:w="828"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z w:val="19"/>
              </w:rPr>
              <w:t>Article</w:t>
            </w:r>
          </w:p>
        </w:tc>
        <w:tc>
          <w:tcPr>
            <w:tcW w:w="2729"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Objet</w:t>
            </w:r>
          </w:p>
        </w:tc>
        <w:tc>
          <w:tcPr>
            <w:tcW w:w="3432"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2"/>
                <w:sz w:val="19"/>
              </w:rPr>
              <w:t>Règle d'exécution</w:t>
            </w:r>
          </w:p>
        </w:tc>
        <w:tc>
          <w:tcPr>
            <w:tcW w:w="1498"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Entrée en vigueur</w:t>
            </w:r>
          </w:p>
        </w:tc>
        <w:tc>
          <w:tcPr>
            <w:tcW w:w="1562"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z w:val="19"/>
              </w:rPr>
              <w:t>Date d’expiration</w:t>
            </w:r>
          </w:p>
        </w:tc>
        <w:tc>
          <w:tcPr>
            <w:tcW w:w="1007" w:type="dxa"/>
            <w:tcBorders>
              <w:top w:val="single" w:sz="7" w:space="0" w:color="000000"/>
              <w:left w:val="single" w:sz="4" w:space="0" w:color="000000"/>
              <w:bottom w:val="single" w:sz="4" w:space="0" w:color="000000"/>
              <w:right w:val="single" w:sz="7" w:space="0" w:color="000000"/>
            </w:tcBorders>
            <w:shd w:val="clear" w:color="auto" w:fill="DAEEF3"/>
          </w:tcPr>
          <w:p>
            <w:pPr>
              <w:widowControl w:val="0"/>
              <w:spacing w:before="126"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415"/>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86" w:after="0" w:line="240" w:lineRule="auto"/>
              <w:jc w:val="center"/>
              <w:rPr>
                <w:rFonts w:ascii="Times New Roman" w:eastAsia="Times New Roman" w:hAnsi="Times New Roman" w:cs="Times New Roman"/>
                <w:noProof/>
                <w:sz w:val="20"/>
                <w:szCs w:val="20"/>
              </w:rPr>
            </w:pPr>
            <w:r>
              <w:rPr>
                <w:rFonts w:ascii="Times New Roman" w:hAnsi="Times New Roman" w:cs="Times New Roman"/>
                <w:b/>
                <w:noProof/>
                <w:w w:val="105"/>
                <w:sz w:val="20"/>
              </w:rPr>
              <w:t>Chapitre 2 - Positions</w:t>
            </w:r>
          </w:p>
        </w:tc>
      </w:tr>
      <w:tr>
        <w:trPr>
          <w:trHeight w:hRule="exact" w:val="295"/>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B7DEE8"/>
          </w:tcPr>
          <w:p>
            <w:pPr>
              <w:widowControl w:val="0"/>
              <w:spacing w:before="44"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Section 6 - Congé parental ou familial</w:t>
            </w:r>
          </w:p>
        </w:tc>
      </w:tr>
      <w:tr>
        <w:trPr>
          <w:trHeight w:hRule="exact" w:val="428"/>
        </w:trPr>
        <w:tc>
          <w:tcPr>
            <w:tcW w:w="827" w:type="dxa"/>
            <w:tcBorders>
              <w:top w:val="single" w:sz="7" w:space="0" w:color="000000"/>
              <w:left w:val="single" w:sz="5" w:space="0" w:color="000000"/>
              <w:bottom w:val="single" w:sz="4" w:space="0" w:color="000000"/>
              <w:right w:val="single" w:sz="4" w:space="0" w:color="000000"/>
            </w:tcBorders>
            <w:shd w:val="clear" w:color="auto" w:fill="FFFF65"/>
          </w:tcPr>
          <w:p>
            <w:pPr>
              <w:widowControl w:val="0"/>
              <w:spacing w:before="8"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42 </w:t>
            </w:r>
            <w:r>
              <w:rPr>
                <w:rFonts w:ascii="Times New Roman" w:hAnsi="Times New Roman" w:cs="Times New Roman"/>
                <w:b/>
                <w:i/>
                <w:noProof/>
                <w:w w:val="105"/>
                <w:sz w:val="13"/>
              </w:rPr>
              <w:t>bis</w:t>
            </w:r>
          </w:p>
        </w:tc>
        <w:tc>
          <w:tcPr>
            <w:tcW w:w="2729"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114"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Congé parental</w:t>
            </w:r>
          </w:p>
        </w:tc>
        <w:tc>
          <w:tcPr>
            <w:tcW w:w="3432"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48" w:after="0" w:line="265" w:lineRule="auto"/>
              <w:ind w:right="156"/>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portant dispositions générales d'exécution relatives au congé parental</w:t>
            </w:r>
          </w:p>
        </w:tc>
        <w:tc>
          <w:tcPr>
            <w:tcW w:w="1498"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3"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12.5.2004</w:t>
            </w:r>
          </w:p>
        </w:tc>
        <w:tc>
          <w:tcPr>
            <w:tcW w:w="1562" w:type="dxa"/>
            <w:tcBorders>
              <w:top w:val="single" w:sz="7" w:space="0" w:color="000000"/>
              <w:left w:val="single" w:sz="4" w:space="0" w:color="000000"/>
              <w:bottom w:val="single" w:sz="4" w:space="0" w:color="000000"/>
              <w:right w:val="single" w:sz="4" w:space="0" w:color="000000"/>
            </w:tcBorders>
            <w:shd w:val="clear" w:color="auto" w:fill="FFFF65"/>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296"/>
        </w:trPr>
        <w:tc>
          <w:tcPr>
            <w:tcW w:w="11054" w:type="dxa"/>
            <w:gridSpan w:val="6"/>
            <w:tcBorders>
              <w:top w:val="single" w:sz="7" w:space="0" w:color="000000"/>
              <w:left w:val="single" w:sz="5" w:space="0" w:color="000000"/>
              <w:bottom w:val="single" w:sz="4" w:space="0" w:color="000000"/>
              <w:right w:val="single" w:sz="7" w:space="0" w:color="000000"/>
            </w:tcBorders>
            <w:shd w:val="clear" w:color="auto" w:fill="DAEEF3"/>
          </w:tcPr>
          <w:p>
            <w:pPr>
              <w:widowControl w:val="0"/>
              <w:spacing w:before="26" w:after="0" w:line="240" w:lineRule="auto"/>
              <w:jc w:val="center"/>
              <w:rPr>
                <w:rFonts w:ascii="Times New Roman" w:eastAsia="Times New Roman" w:hAnsi="Times New Roman" w:cs="Times New Roman"/>
                <w:noProof/>
                <w:sz w:val="20"/>
                <w:szCs w:val="20"/>
              </w:rPr>
            </w:pPr>
            <w:r>
              <w:rPr>
                <w:rFonts w:ascii="Times New Roman" w:hAnsi="Times New Roman" w:cs="Times New Roman"/>
                <w:b/>
                <w:noProof/>
                <w:spacing w:val="-1"/>
                <w:w w:val="105"/>
                <w:sz w:val="20"/>
              </w:rPr>
              <w:t>Chapitre 3 - Notation, avancement d'échelon et promotion</w:t>
            </w:r>
          </w:p>
        </w:tc>
      </w:tr>
      <w:tr>
        <w:trPr>
          <w:trHeight w:hRule="exact" w:val="475"/>
        </w:trPr>
        <w:tc>
          <w:tcPr>
            <w:tcW w:w="827" w:type="dxa"/>
            <w:tcBorders>
              <w:top w:val="single" w:sz="4" w:space="0" w:color="000000"/>
              <w:left w:val="single" w:sz="5" w:space="0" w:color="000000"/>
              <w:bottom w:val="single" w:sz="4" w:space="0" w:color="000000"/>
              <w:right w:val="single" w:sz="4"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43</w:t>
            </w:r>
          </w:p>
        </w:tc>
        <w:tc>
          <w:tcPr>
            <w:tcW w:w="2729"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14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Rapport annuel</w:t>
            </w:r>
          </w:p>
        </w:tc>
        <w:tc>
          <w:tcPr>
            <w:tcW w:w="3432"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74" w:after="0" w:line="265" w:lineRule="auto"/>
              <w:ind w:right="293"/>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de la Cour de justice portant dispositions générales d’exécution relatives à la notation du personnel</w:t>
            </w:r>
          </w:p>
        </w:tc>
        <w:tc>
          <w:tcPr>
            <w:tcW w:w="1498"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18.10.2000</w:t>
            </w:r>
          </w:p>
        </w:tc>
        <w:tc>
          <w:tcPr>
            <w:tcW w:w="1562" w:type="dxa"/>
            <w:tcBorders>
              <w:top w:val="single" w:sz="4" w:space="0" w:color="000000"/>
              <w:left w:val="single" w:sz="4" w:space="0" w:color="000000"/>
              <w:bottom w:val="single" w:sz="4" w:space="0" w:color="000000"/>
              <w:right w:val="single" w:sz="4" w:space="0" w:color="000000"/>
            </w:tcBorders>
            <w:shd w:val="clear" w:color="auto" w:fill="FFFF65"/>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75"/>
        </w:trPr>
        <w:tc>
          <w:tcPr>
            <w:tcW w:w="827" w:type="dxa"/>
            <w:tcBorders>
              <w:top w:val="single" w:sz="4" w:space="0" w:color="000000"/>
              <w:left w:val="single" w:sz="5" w:space="0" w:color="000000"/>
              <w:bottom w:val="single" w:sz="4" w:space="0" w:color="000000"/>
              <w:right w:val="single" w:sz="4"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45</w:t>
            </w:r>
          </w:p>
        </w:tc>
        <w:tc>
          <w:tcPr>
            <w:tcW w:w="2729"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14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Promotions</w:t>
            </w:r>
          </w:p>
        </w:tc>
        <w:tc>
          <w:tcPr>
            <w:tcW w:w="343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relative aux promotions</w:t>
            </w:r>
          </w:p>
        </w:tc>
        <w:tc>
          <w:tcPr>
            <w:tcW w:w="1498"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19.10.2005</w:t>
            </w:r>
          </w:p>
        </w:tc>
        <w:tc>
          <w:tcPr>
            <w:tcW w:w="1562" w:type="dxa"/>
            <w:tcBorders>
              <w:top w:val="single" w:sz="4" w:space="0" w:color="000000"/>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63"/>
        </w:trPr>
        <w:tc>
          <w:tcPr>
            <w:tcW w:w="827" w:type="dxa"/>
            <w:tcBorders>
              <w:top w:val="single" w:sz="4" w:space="0" w:color="000000"/>
              <w:left w:val="single" w:sz="5" w:space="0" w:color="000000"/>
              <w:bottom w:val="single" w:sz="4" w:space="0" w:color="000000"/>
              <w:right w:val="single" w:sz="4" w:space="0" w:color="000000"/>
            </w:tcBorders>
            <w:shd w:val="clear" w:color="auto" w:fill="FFFF65"/>
          </w:tcPr>
          <w:p>
            <w:pPr>
              <w:widowControl w:val="0"/>
              <w:spacing w:before="4"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 xml:space="preserve">45 </w:t>
            </w:r>
            <w:r>
              <w:rPr>
                <w:rFonts w:ascii="Times New Roman" w:hAnsi="Times New Roman" w:cs="Times New Roman"/>
                <w:b/>
                <w:i/>
                <w:noProof/>
                <w:w w:val="105"/>
                <w:sz w:val="13"/>
              </w:rPr>
              <w:t>bis</w:t>
            </w:r>
          </w:p>
        </w:tc>
        <w:tc>
          <w:tcPr>
            <w:tcW w:w="2729"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133"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Certification</w:t>
            </w:r>
          </w:p>
        </w:tc>
        <w:tc>
          <w:tcPr>
            <w:tcW w:w="3432"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67" w:after="0" w:line="265" w:lineRule="auto"/>
              <w:ind w:right="297"/>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portant dispositions générales d’exécution relatives à l’application de l’article 45 </w:t>
            </w:r>
            <w:r>
              <w:rPr>
                <w:rFonts w:ascii="Times New Roman" w:hAnsi="Times New Roman" w:cs="Times New Roman"/>
                <w:i/>
                <w:noProof/>
                <w:spacing w:val="-1"/>
                <w:w w:val="105"/>
                <w:sz w:val="13"/>
              </w:rPr>
              <w:t>bis</w:t>
            </w:r>
          </w:p>
        </w:tc>
        <w:tc>
          <w:tcPr>
            <w:tcW w:w="1498"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2"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15.6.2005</w:t>
            </w:r>
          </w:p>
        </w:tc>
        <w:tc>
          <w:tcPr>
            <w:tcW w:w="1562" w:type="dxa"/>
            <w:tcBorders>
              <w:top w:val="single" w:sz="4" w:space="0" w:color="000000"/>
              <w:left w:val="single" w:sz="4" w:space="0" w:color="000000"/>
              <w:bottom w:val="single" w:sz="4" w:space="0" w:color="000000"/>
              <w:right w:val="single" w:sz="4" w:space="0" w:color="000000"/>
            </w:tcBorders>
            <w:shd w:val="clear" w:color="auto" w:fill="FFFF65"/>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415"/>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86" w:after="0" w:line="240" w:lineRule="auto"/>
              <w:jc w:val="center"/>
              <w:rPr>
                <w:rFonts w:ascii="Times New Roman" w:eastAsia="Times New Roman" w:hAnsi="Times New Roman" w:cs="Times New Roman"/>
                <w:noProof/>
                <w:sz w:val="20"/>
                <w:szCs w:val="20"/>
              </w:rPr>
            </w:pPr>
            <w:r>
              <w:rPr>
                <w:rFonts w:ascii="Times New Roman" w:hAnsi="Times New Roman" w:cs="Times New Roman"/>
                <w:b/>
                <w:noProof/>
                <w:w w:val="105"/>
                <w:sz w:val="20"/>
              </w:rPr>
              <w:t>Chapitre 4 - Cessation définitive des fonctions</w:t>
            </w:r>
          </w:p>
        </w:tc>
      </w:tr>
      <w:tr>
        <w:trPr>
          <w:trHeight w:hRule="exact" w:val="415"/>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86" w:after="0" w:line="240" w:lineRule="auto"/>
              <w:jc w:val="center"/>
              <w:rPr>
                <w:rFonts w:ascii="Times New Roman" w:eastAsia="Times New Roman" w:hAnsi="Times New Roman" w:cs="Times New Roman"/>
                <w:noProof/>
                <w:sz w:val="20"/>
                <w:szCs w:val="20"/>
              </w:rPr>
            </w:pPr>
            <w:r>
              <w:rPr>
                <w:rFonts w:ascii="Times New Roman" w:hAnsi="Times New Roman" w:cs="Times New Roman"/>
                <w:b/>
                <w:noProof/>
                <w:w w:val="105"/>
                <w:sz w:val="20"/>
              </w:rPr>
              <w:t>Section 4 - Procédures de traitement de l’insuffisance professionnelle</w:t>
            </w:r>
          </w:p>
        </w:tc>
      </w:tr>
      <w:tr>
        <w:trPr>
          <w:trHeight w:hRule="exact" w:val="416"/>
        </w:trPr>
        <w:tc>
          <w:tcPr>
            <w:tcW w:w="827" w:type="dxa"/>
            <w:tcBorders>
              <w:top w:val="single" w:sz="7" w:space="0" w:color="000000"/>
              <w:left w:val="single" w:sz="5" w:space="0" w:color="000000"/>
              <w:bottom w:val="single" w:sz="4" w:space="0" w:color="000000"/>
              <w:right w:val="single" w:sz="4"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51</w:t>
            </w:r>
          </w:p>
        </w:tc>
        <w:tc>
          <w:tcPr>
            <w:tcW w:w="2729" w:type="dxa"/>
            <w:tcBorders>
              <w:top w:val="single" w:sz="7" w:space="0" w:color="000000"/>
              <w:left w:val="single" w:sz="4" w:space="0" w:color="000000"/>
              <w:bottom w:val="single" w:sz="4" w:space="0" w:color="000000"/>
              <w:right w:val="single" w:sz="4" w:space="0" w:color="000000"/>
            </w:tcBorders>
            <w:shd w:val="clear" w:color="auto" w:fill="DA9694"/>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Insuffisance professionnelle</w:t>
            </w:r>
          </w:p>
        </w:tc>
        <w:tc>
          <w:tcPr>
            <w:tcW w:w="3432" w:type="dxa"/>
            <w:tcBorders>
              <w:top w:val="single" w:sz="7" w:space="0" w:color="000000"/>
              <w:left w:val="single" w:sz="4" w:space="0" w:color="000000"/>
              <w:bottom w:val="single" w:sz="4" w:space="0" w:color="000000"/>
              <w:right w:val="single" w:sz="4"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relative aux procédures de traitement de l’insuffisance professionnelle</w:t>
            </w:r>
          </w:p>
        </w:tc>
        <w:tc>
          <w:tcPr>
            <w:tcW w:w="1498" w:type="dxa"/>
            <w:tcBorders>
              <w:top w:val="single" w:sz="7" w:space="0" w:color="000000"/>
              <w:left w:val="single" w:sz="4" w:space="0" w:color="000000"/>
              <w:bottom w:val="single" w:sz="4" w:space="0" w:color="000000"/>
              <w:right w:val="single" w:sz="4"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1.1.2014</w:t>
            </w:r>
          </w:p>
        </w:tc>
        <w:tc>
          <w:tcPr>
            <w:tcW w:w="1562" w:type="dxa"/>
            <w:tcBorders>
              <w:top w:val="single" w:sz="7" w:space="0" w:color="000000"/>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295"/>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CE6F1"/>
          </w:tcPr>
          <w:p>
            <w:pPr>
              <w:widowControl w:val="0"/>
              <w:spacing w:after="0" w:line="279" w:lineRule="exact"/>
              <w:jc w:val="center"/>
              <w:rPr>
                <w:rFonts w:ascii="Times New Roman" w:eastAsia="Times New Roman" w:hAnsi="Times New Roman" w:cs="Times New Roman"/>
                <w:noProof/>
                <w:sz w:val="26"/>
                <w:szCs w:val="26"/>
              </w:rPr>
            </w:pPr>
            <w:r>
              <w:rPr>
                <w:rFonts w:ascii="Times New Roman" w:hAnsi="Times New Roman" w:cs="Times New Roman"/>
                <w:b/>
                <w:noProof/>
                <w:sz w:val="26"/>
              </w:rPr>
              <w:t>Titre IV - Des conditions de travail du fonctionnaire</w:t>
            </w:r>
          </w:p>
        </w:tc>
      </w:tr>
      <w:tr>
        <w:trPr>
          <w:trHeight w:hRule="exact" w:val="295"/>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26" w:after="0" w:line="240" w:lineRule="auto"/>
              <w:ind w:right="999"/>
              <w:jc w:val="center"/>
              <w:rPr>
                <w:rFonts w:ascii="Times New Roman" w:eastAsia="Times New Roman" w:hAnsi="Times New Roman" w:cs="Times New Roman"/>
                <w:noProof/>
                <w:sz w:val="20"/>
                <w:szCs w:val="20"/>
              </w:rPr>
            </w:pPr>
            <w:r>
              <w:rPr>
                <w:rFonts w:ascii="Times New Roman" w:hAnsi="Times New Roman" w:cs="Times New Roman"/>
                <w:b/>
                <w:noProof/>
                <w:w w:val="105"/>
                <w:sz w:val="20"/>
              </w:rPr>
              <w:t>Chapitre 1 - Durée du travail</w:t>
            </w:r>
          </w:p>
        </w:tc>
      </w:tr>
      <w:tr>
        <w:trPr>
          <w:trHeight w:hRule="exact" w:val="416"/>
        </w:trPr>
        <w:tc>
          <w:tcPr>
            <w:tcW w:w="827" w:type="dxa"/>
            <w:tcBorders>
              <w:top w:val="single" w:sz="7" w:space="0" w:color="000000"/>
              <w:left w:val="single" w:sz="5" w:space="0" w:color="000000"/>
              <w:bottom w:val="single" w:sz="4" w:space="0" w:color="000000"/>
              <w:right w:val="single" w:sz="4"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55</w:t>
            </w:r>
          </w:p>
        </w:tc>
        <w:tc>
          <w:tcPr>
            <w:tcW w:w="2729" w:type="dxa"/>
            <w:tcBorders>
              <w:top w:val="single" w:sz="7" w:space="0" w:color="000000"/>
              <w:left w:val="single" w:sz="4" w:space="0" w:color="000000"/>
              <w:bottom w:val="single" w:sz="4" w:space="0" w:color="000000"/>
              <w:right w:val="single" w:sz="4" w:space="0" w:color="000000"/>
            </w:tcBorders>
            <w:shd w:val="clear" w:color="auto" w:fill="DA9694"/>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Temps de travail</w:t>
            </w:r>
          </w:p>
        </w:tc>
        <w:tc>
          <w:tcPr>
            <w:tcW w:w="3432" w:type="dxa"/>
            <w:tcBorders>
              <w:top w:val="single" w:sz="7" w:space="0" w:color="000000"/>
              <w:left w:val="single" w:sz="4" w:space="0" w:color="000000"/>
              <w:bottom w:val="single" w:sz="4" w:space="0" w:color="000000"/>
              <w:right w:val="single" w:sz="4"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relative au temps de travail</w:t>
            </w:r>
          </w:p>
        </w:tc>
        <w:tc>
          <w:tcPr>
            <w:tcW w:w="1498" w:type="dxa"/>
            <w:tcBorders>
              <w:top w:val="single" w:sz="7" w:space="0" w:color="000000"/>
              <w:left w:val="single" w:sz="4" w:space="0" w:color="000000"/>
              <w:bottom w:val="single" w:sz="4" w:space="0" w:color="000000"/>
              <w:right w:val="single" w:sz="4"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30.9.2009</w:t>
            </w:r>
          </w:p>
        </w:tc>
        <w:tc>
          <w:tcPr>
            <w:tcW w:w="1562" w:type="dxa"/>
            <w:tcBorders>
              <w:top w:val="single" w:sz="7" w:space="0" w:color="000000"/>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15"/>
        </w:trPr>
        <w:tc>
          <w:tcPr>
            <w:tcW w:w="827" w:type="dxa"/>
            <w:tcBorders>
              <w:top w:val="single" w:sz="4" w:space="0" w:color="000000"/>
              <w:left w:val="single" w:sz="5" w:space="0" w:color="000000"/>
              <w:bottom w:val="single" w:sz="4" w:space="0" w:color="000000"/>
              <w:right w:val="single" w:sz="4" w:space="0" w:color="000000"/>
            </w:tcBorders>
            <w:shd w:val="clear" w:color="auto" w:fill="DA9694"/>
          </w:tcPr>
          <w:p>
            <w:pPr>
              <w:widowControl w:val="0"/>
              <w:spacing w:before="48" w:after="0" w:line="262" w:lineRule="auto"/>
              <w:ind w:right="80"/>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56 + annexe VI</w:t>
            </w:r>
          </w:p>
        </w:tc>
        <w:tc>
          <w:tcPr>
            <w:tcW w:w="2729"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Heures supplémentaires</w:t>
            </w:r>
          </w:p>
        </w:tc>
        <w:tc>
          <w:tcPr>
            <w:tcW w:w="3432"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43" w:after="0" w:line="265" w:lineRule="auto"/>
              <w:ind w:right="-18"/>
              <w:jc w:val="center"/>
              <w:rPr>
                <w:rFonts w:ascii="Times New Roman" w:eastAsia="Times New Roman" w:hAnsi="Times New Roman" w:cs="Times New Roman"/>
                <w:noProof/>
                <w:sz w:val="13"/>
                <w:szCs w:val="13"/>
              </w:rPr>
            </w:pPr>
            <w:r>
              <w:rPr>
                <w:rFonts w:ascii="Times New Roman" w:hAnsi="Times New Roman" w:cs="Times New Roman"/>
                <w:noProof/>
                <w:w w:val="105"/>
                <w:sz w:val="13"/>
              </w:rPr>
              <w:t xml:space="preserve">Règles internes - compensation des heures supplémentaires (article 55 - 56 </w:t>
            </w:r>
            <w:r>
              <w:rPr>
                <w:rFonts w:ascii="Times New Roman" w:hAnsi="Times New Roman" w:cs="Times New Roman"/>
                <w:i/>
                <w:noProof/>
                <w:w w:val="105"/>
                <w:sz w:val="13"/>
              </w:rPr>
              <w:t>ter</w:t>
            </w:r>
            <w:r>
              <w:rPr>
                <w:rFonts w:ascii="Times New Roman" w:hAnsi="Times New Roman" w:cs="Times New Roman"/>
                <w:noProof/>
                <w:w w:val="105"/>
                <w:sz w:val="13"/>
              </w:rPr>
              <w:t xml:space="preserve"> et annexe VII)</w:t>
            </w:r>
          </w:p>
        </w:tc>
        <w:tc>
          <w:tcPr>
            <w:tcW w:w="1498"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1.5.2014</w:t>
            </w:r>
          </w:p>
        </w:tc>
        <w:tc>
          <w:tcPr>
            <w:tcW w:w="1562" w:type="dxa"/>
            <w:tcBorders>
              <w:top w:val="single" w:sz="4" w:space="0" w:color="000000"/>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415"/>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86" w:after="0" w:line="240" w:lineRule="auto"/>
              <w:ind w:right="1000"/>
              <w:jc w:val="center"/>
              <w:rPr>
                <w:rFonts w:ascii="Times New Roman" w:eastAsia="Times New Roman" w:hAnsi="Times New Roman" w:cs="Times New Roman"/>
                <w:noProof/>
                <w:sz w:val="20"/>
                <w:szCs w:val="20"/>
              </w:rPr>
            </w:pPr>
            <w:r>
              <w:rPr>
                <w:rFonts w:ascii="Times New Roman" w:hAnsi="Times New Roman" w:cs="Times New Roman"/>
                <w:b/>
                <w:noProof/>
                <w:w w:val="105"/>
                <w:sz w:val="20"/>
              </w:rPr>
              <w:t>Chapitre 2 - Congés</w:t>
            </w:r>
          </w:p>
        </w:tc>
      </w:tr>
      <w:tr>
        <w:trPr>
          <w:trHeight w:hRule="exact" w:val="416"/>
        </w:trPr>
        <w:tc>
          <w:tcPr>
            <w:tcW w:w="827" w:type="dxa"/>
            <w:tcBorders>
              <w:top w:val="single" w:sz="7" w:space="0" w:color="000000"/>
              <w:left w:val="single" w:sz="5" w:space="0" w:color="000000"/>
              <w:bottom w:val="single" w:sz="4" w:space="0" w:color="000000"/>
              <w:right w:val="single" w:sz="4"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57 + annexe V</w:t>
            </w:r>
          </w:p>
        </w:tc>
        <w:tc>
          <w:tcPr>
            <w:tcW w:w="2729" w:type="dxa"/>
            <w:tcBorders>
              <w:top w:val="single" w:sz="7" w:space="0" w:color="000000"/>
              <w:left w:val="single" w:sz="4" w:space="0" w:color="000000"/>
              <w:bottom w:val="single" w:sz="4" w:space="0" w:color="000000"/>
              <w:right w:val="single" w:sz="4" w:space="0" w:color="000000"/>
            </w:tcBorders>
            <w:shd w:val="clear" w:color="auto" w:fill="DA9694"/>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Congés annuels et congés spéciaux</w:t>
            </w:r>
          </w:p>
        </w:tc>
        <w:tc>
          <w:tcPr>
            <w:tcW w:w="3432" w:type="dxa"/>
            <w:vMerge w:val="restart"/>
            <w:tcBorders>
              <w:top w:val="single" w:sz="7" w:space="0" w:color="000000"/>
              <w:left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1" w:after="0" w:line="265" w:lineRule="auto"/>
              <w:ind w:right="119"/>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du greffier de la Cour sur les règles relatives aux congés (modifiée en dernier lieu par la décision du 23 janvier 2015)</w:t>
            </w:r>
          </w:p>
        </w:tc>
        <w:tc>
          <w:tcPr>
            <w:tcW w:w="1498" w:type="dxa"/>
            <w:vMerge w:val="restart"/>
            <w:tcBorders>
              <w:top w:val="single" w:sz="7" w:space="0" w:color="000000"/>
              <w:left w:val="single" w:sz="4"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26.5.2005</w:t>
            </w:r>
          </w:p>
        </w:tc>
        <w:tc>
          <w:tcPr>
            <w:tcW w:w="1562" w:type="dxa"/>
            <w:vMerge w:val="restart"/>
            <w:tcBorders>
              <w:top w:val="single" w:sz="7" w:space="0" w:color="000000"/>
              <w:left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vMerge w:val="restart"/>
            <w:tcBorders>
              <w:top w:val="single" w:sz="7" w:space="0" w:color="000000"/>
              <w:left w:val="single" w:sz="4"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15"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43"/>
        </w:trPr>
        <w:tc>
          <w:tcPr>
            <w:tcW w:w="827" w:type="dxa"/>
            <w:tcBorders>
              <w:top w:val="single" w:sz="4" w:space="0" w:color="000000"/>
              <w:left w:val="single" w:sz="5" w:space="0" w:color="000000"/>
              <w:bottom w:val="single" w:sz="4" w:space="0" w:color="000000"/>
              <w:right w:val="single" w:sz="4" w:space="0" w:color="000000"/>
            </w:tcBorders>
            <w:shd w:val="clear" w:color="auto" w:fill="DA9694"/>
          </w:tcPr>
          <w:p>
            <w:pPr>
              <w:widowControl w:val="0"/>
              <w:spacing w:before="93"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58</w:t>
            </w:r>
          </w:p>
        </w:tc>
        <w:tc>
          <w:tcPr>
            <w:tcW w:w="2729" w:type="dxa"/>
            <w:tcBorders>
              <w:top w:val="single" w:sz="4" w:space="0" w:color="000000"/>
              <w:left w:val="single" w:sz="4" w:space="0" w:color="000000"/>
              <w:bottom w:val="single" w:sz="4" w:space="0" w:color="000000"/>
              <w:right w:val="single" w:sz="4" w:space="0" w:color="000000"/>
            </w:tcBorders>
            <w:shd w:val="clear" w:color="auto" w:fill="DA9694"/>
          </w:tcPr>
          <w:p>
            <w:pPr>
              <w:widowControl w:val="0"/>
              <w:spacing w:before="73"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Congé de maternité</w:t>
            </w:r>
          </w:p>
        </w:tc>
        <w:tc>
          <w:tcPr>
            <w:tcW w:w="3432" w:type="dxa"/>
            <w:vMerge/>
            <w:tcBorders>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498" w:type="dxa"/>
            <w:vMerge/>
            <w:tcBorders>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562" w:type="dxa"/>
            <w:vMerge/>
            <w:tcBorders>
              <w:left w:val="single" w:sz="4" w:space="0" w:color="000000"/>
              <w:bottom w:val="single" w:sz="4" w:space="0" w:color="000000"/>
              <w:right w:val="single" w:sz="4" w:space="0" w:color="000000"/>
            </w:tcBorders>
            <w:shd w:val="clear" w:color="auto" w:fill="DA9694"/>
          </w:tcPr>
          <w:p>
            <w:pPr>
              <w:jc w:val="center"/>
              <w:rPr>
                <w:rFonts w:ascii="Times New Roman" w:hAnsi="Times New Roman" w:cs="Times New Roman"/>
                <w:noProof/>
              </w:rPr>
            </w:pPr>
          </w:p>
        </w:tc>
        <w:tc>
          <w:tcPr>
            <w:tcW w:w="1007" w:type="dxa"/>
            <w:vMerge/>
            <w:tcBorders>
              <w:left w:val="single" w:sz="4" w:space="0" w:color="000000"/>
              <w:bottom w:val="single" w:sz="4" w:space="0" w:color="000000"/>
              <w:right w:val="single" w:sz="7" w:space="0" w:color="000000"/>
            </w:tcBorders>
            <w:shd w:val="clear" w:color="auto" w:fill="DA9694"/>
          </w:tcPr>
          <w:p>
            <w:pPr>
              <w:jc w:val="center"/>
              <w:rPr>
                <w:rFonts w:ascii="Times New Roman" w:hAnsi="Times New Roman" w:cs="Times New Roman"/>
                <w:noProof/>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502"/>
        </w:trPr>
        <w:tc>
          <w:tcPr>
            <w:tcW w:w="11054" w:type="dxa"/>
            <w:gridSpan w:val="6"/>
            <w:tcBorders>
              <w:top w:val="single" w:sz="8" w:space="0" w:color="000000"/>
              <w:left w:val="single" w:sz="4" w:space="0" w:color="auto"/>
              <w:bottom w:val="single" w:sz="8" w:space="0" w:color="000000"/>
              <w:right w:val="single" w:sz="8" w:space="0" w:color="000000"/>
            </w:tcBorders>
            <w:shd w:val="clear" w:color="auto" w:fill="C5D9F1"/>
          </w:tcPr>
          <w:p>
            <w:pPr>
              <w:widowControl w:val="0"/>
              <w:spacing w:before="97" w:after="0" w:line="240" w:lineRule="auto"/>
              <w:jc w:val="center"/>
              <w:rPr>
                <w:rFonts w:ascii="Times New Roman" w:eastAsia="Times New Roman" w:hAnsi="Times New Roman" w:cs="Times New Roman"/>
                <w:noProof/>
                <w:sz w:val="26"/>
                <w:szCs w:val="26"/>
              </w:rPr>
            </w:pPr>
            <w:r>
              <w:rPr>
                <w:rFonts w:ascii="Times New Roman" w:hAnsi="Times New Roman" w:cs="Times New Roman"/>
                <w:b/>
                <w:noProof/>
                <w:spacing w:val="-1"/>
                <w:sz w:val="26"/>
              </w:rPr>
              <w:t>Titre V + annexe VII - Du régime pécuniaire et des avantages sociaux du fonctionnaire</w:t>
            </w:r>
          </w:p>
        </w:tc>
      </w:tr>
      <w:tr>
        <w:trPr>
          <w:trHeight w:hRule="exact" w:val="415"/>
        </w:trPr>
        <w:tc>
          <w:tcPr>
            <w:tcW w:w="11054" w:type="dxa"/>
            <w:gridSpan w:val="6"/>
            <w:tcBorders>
              <w:top w:val="single" w:sz="8" w:space="0" w:color="000000"/>
              <w:left w:val="single" w:sz="5" w:space="0" w:color="000000"/>
              <w:bottom w:val="single" w:sz="7" w:space="0" w:color="000000"/>
              <w:right w:val="single" w:sz="7" w:space="0" w:color="000000"/>
            </w:tcBorders>
            <w:shd w:val="clear" w:color="auto" w:fill="DAEEF3"/>
          </w:tcPr>
          <w:p>
            <w:pPr>
              <w:widowControl w:val="0"/>
              <w:spacing w:before="86" w:after="0" w:line="240" w:lineRule="auto"/>
              <w:jc w:val="center"/>
              <w:rPr>
                <w:rFonts w:ascii="Times New Roman" w:eastAsia="Times New Roman" w:hAnsi="Times New Roman" w:cs="Times New Roman"/>
                <w:noProof/>
                <w:sz w:val="20"/>
                <w:szCs w:val="20"/>
              </w:rPr>
            </w:pPr>
            <w:r>
              <w:rPr>
                <w:rFonts w:ascii="Times New Roman" w:hAnsi="Times New Roman" w:cs="Times New Roman"/>
                <w:b/>
                <w:noProof/>
                <w:w w:val="105"/>
                <w:sz w:val="20"/>
              </w:rPr>
              <w:t>Chapitre 1 - Rémunération et remboursement de frais</w:t>
            </w:r>
          </w:p>
        </w:tc>
      </w:tr>
      <w:tr>
        <w:trPr>
          <w:trHeight w:hRule="exact" w:val="415"/>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104"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w w:val="105"/>
                <w:sz w:val="17"/>
              </w:rPr>
              <w:t>Annexe VII - Règles relatives à la rémunération et aux remboursements de frais</w:t>
            </w:r>
          </w:p>
        </w:tc>
      </w:tr>
      <w:tr>
        <w:trPr>
          <w:trHeight w:hRule="exact" w:val="415"/>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104" w:after="0" w:line="240" w:lineRule="auto"/>
              <w:ind w:right="1002"/>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Section 1 - Allocations familiales</w:t>
            </w:r>
          </w:p>
        </w:tc>
      </w:tr>
      <w:tr>
        <w:trPr>
          <w:trHeight w:hRule="exact" w:val="719"/>
        </w:trPr>
        <w:tc>
          <w:tcPr>
            <w:tcW w:w="827" w:type="dxa"/>
            <w:tcBorders>
              <w:top w:val="single" w:sz="7" w:space="0" w:color="000000"/>
              <w:left w:val="single" w:sz="5" w:space="0" w:color="000000"/>
              <w:bottom w:val="single" w:sz="4" w:space="0" w:color="000000"/>
              <w:right w:val="single" w:sz="4" w:space="0" w:color="000000"/>
            </w:tcBorders>
            <w:shd w:val="clear" w:color="auto" w:fill="FFFF65"/>
          </w:tcPr>
          <w:p>
            <w:pPr>
              <w:widowControl w:val="0"/>
              <w:spacing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67 - 68 +</w:t>
            </w:r>
          </w:p>
          <w:p>
            <w:pPr>
              <w:widowControl w:val="0"/>
              <w:spacing w:before="13" w:after="0" w:line="262" w:lineRule="auto"/>
              <w:ind w:right="103"/>
              <w:jc w:val="center"/>
              <w:rPr>
                <w:rFonts w:ascii="Times New Roman" w:eastAsia="Times New Roman" w:hAnsi="Times New Roman" w:cs="Times New Roman"/>
                <w:noProof/>
                <w:sz w:val="13"/>
                <w:szCs w:val="13"/>
              </w:rPr>
            </w:pPr>
            <w:r>
              <w:rPr>
                <w:rFonts w:ascii="Times New Roman" w:hAnsi="Times New Roman" w:cs="Times New Roman"/>
                <w:b/>
                <w:noProof/>
                <w:spacing w:val="-1"/>
                <w:w w:val="105"/>
                <w:sz w:val="13"/>
              </w:rPr>
              <w:t>annexe VII (art. 3)</w:t>
            </w:r>
          </w:p>
        </w:tc>
        <w:tc>
          <w:tcPr>
            <w:tcW w:w="2729"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w w:val="105"/>
                <w:sz w:val="17"/>
              </w:rPr>
              <w:t>Allocation scolaire</w:t>
            </w:r>
          </w:p>
        </w:tc>
        <w:tc>
          <w:tcPr>
            <w:tcW w:w="3432"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65" w:lineRule="auto"/>
              <w:ind w:right="66"/>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portant dispositions générales d’exécution relatives à l’octroi de l’allocation scolaire (modifiée en dernier lieu par la décision du 27 janvier 2014)</w:t>
            </w:r>
          </w:p>
        </w:tc>
        <w:tc>
          <w:tcPr>
            <w:tcW w:w="1498"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12.5.2004</w:t>
            </w:r>
          </w:p>
        </w:tc>
        <w:tc>
          <w:tcPr>
            <w:tcW w:w="1562" w:type="dxa"/>
            <w:tcBorders>
              <w:top w:val="single" w:sz="7" w:space="0" w:color="000000"/>
              <w:left w:val="single" w:sz="4" w:space="0" w:color="000000"/>
              <w:bottom w:val="single" w:sz="4" w:space="0" w:color="000000"/>
              <w:right w:val="single" w:sz="4" w:space="0" w:color="000000"/>
            </w:tcBorders>
            <w:shd w:val="clear" w:color="auto" w:fill="FFFF65"/>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8"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379"/>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85"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w w:val="105"/>
                <w:sz w:val="17"/>
              </w:rPr>
              <w:t>Section 2 - Remboursement de frais</w:t>
            </w:r>
          </w:p>
        </w:tc>
      </w:tr>
      <w:tr>
        <w:trPr>
          <w:trHeight w:hRule="exact" w:val="416"/>
        </w:trPr>
        <w:tc>
          <w:tcPr>
            <w:tcW w:w="827" w:type="dxa"/>
            <w:tcBorders>
              <w:top w:val="single" w:sz="7" w:space="0" w:color="000000"/>
              <w:left w:val="single" w:sz="5" w:space="0" w:color="000000"/>
              <w:bottom w:val="single" w:sz="4" w:space="0" w:color="000000"/>
              <w:right w:val="single" w:sz="4" w:space="0" w:color="000000"/>
            </w:tcBorders>
            <w:shd w:val="clear" w:color="auto" w:fill="FFFF65"/>
          </w:tcPr>
          <w:p>
            <w:pPr>
              <w:widowControl w:val="0"/>
              <w:spacing w:before="45"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71 + annexe</w:t>
            </w:r>
          </w:p>
          <w:p>
            <w:pPr>
              <w:widowControl w:val="0"/>
              <w:spacing w:before="13"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spacing w:val="-1"/>
                <w:w w:val="105"/>
                <w:sz w:val="13"/>
              </w:rPr>
              <w:t>VII (art. 8)</w:t>
            </w:r>
          </w:p>
        </w:tc>
        <w:tc>
          <w:tcPr>
            <w:tcW w:w="2729"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Lieu d’origine</w:t>
            </w:r>
          </w:p>
        </w:tc>
        <w:tc>
          <w:tcPr>
            <w:tcW w:w="3432"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41" w:after="0" w:line="265" w:lineRule="auto"/>
              <w:ind w:right="297"/>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portant création des dispositions générales d’exécution de l’article 7, paragraphe 3, de l’annexe VII</w:t>
            </w:r>
          </w:p>
        </w:tc>
        <w:tc>
          <w:tcPr>
            <w:tcW w:w="1498"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10"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1.1.2014</w:t>
            </w:r>
          </w:p>
        </w:tc>
        <w:tc>
          <w:tcPr>
            <w:tcW w:w="1562" w:type="dxa"/>
            <w:tcBorders>
              <w:top w:val="single" w:sz="7" w:space="0" w:color="000000"/>
              <w:left w:val="single" w:sz="4" w:space="0" w:color="000000"/>
              <w:bottom w:val="single" w:sz="4" w:space="0" w:color="000000"/>
              <w:right w:val="single" w:sz="4" w:space="0" w:color="000000"/>
            </w:tcBorders>
            <w:shd w:val="clear" w:color="auto" w:fill="FFFF65"/>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54"/>
        </w:trPr>
        <w:tc>
          <w:tcPr>
            <w:tcW w:w="827" w:type="dxa"/>
            <w:tcBorders>
              <w:top w:val="single" w:sz="4" w:space="0" w:color="000000"/>
              <w:left w:val="single" w:sz="5" w:space="0" w:color="000000"/>
              <w:bottom w:val="single" w:sz="4" w:space="0" w:color="000000"/>
              <w:right w:val="single" w:sz="4" w:space="0" w:color="000000"/>
            </w:tcBorders>
            <w:shd w:val="clear" w:color="auto" w:fill="FFFF65"/>
          </w:tcPr>
          <w:p>
            <w:pPr>
              <w:widowControl w:val="0"/>
              <w:spacing w:before="67"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71 + annexe</w:t>
            </w:r>
          </w:p>
          <w:p>
            <w:pPr>
              <w:widowControl w:val="0"/>
              <w:spacing w:before="13"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spacing w:val="-1"/>
                <w:w w:val="105"/>
                <w:sz w:val="13"/>
              </w:rPr>
              <w:t>VII (art. 9)</w:t>
            </w:r>
          </w:p>
        </w:tc>
        <w:tc>
          <w:tcPr>
            <w:tcW w:w="2729"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128"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Frais de déménagement</w:t>
            </w:r>
          </w:p>
        </w:tc>
        <w:tc>
          <w:tcPr>
            <w:tcW w:w="3432"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62" w:after="0" w:line="265" w:lineRule="auto"/>
              <w:ind w:right="174"/>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portant dispositions générales d’exécution relatives aux frais de déménagement</w:t>
            </w:r>
          </w:p>
        </w:tc>
        <w:tc>
          <w:tcPr>
            <w:tcW w:w="1498"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8"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1.1.2014</w:t>
            </w:r>
          </w:p>
        </w:tc>
        <w:tc>
          <w:tcPr>
            <w:tcW w:w="1562" w:type="dxa"/>
            <w:tcBorders>
              <w:top w:val="single" w:sz="4" w:space="0" w:color="000000"/>
              <w:left w:val="single" w:sz="4" w:space="0" w:color="000000"/>
              <w:bottom w:val="single" w:sz="4" w:space="0" w:color="000000"/>
              <w:right w:val="single" w:sz="4" w:space="0" w:color="000000"/>
            </w:tcBorders>
            <w:shd w:val="clear" w:color="auto" w:fill="FFFF65"/>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59"/>
        </w:trPr>
        <w:tc>
          <w:tcPr>
            <w:tcW w:w="827" w:type="dxa"/>
            <w:tcBorders>
              <w:top w:val="single" w:sz="4" w:space="0" w:color="000000"/>
              <w:left w:val="single" w:sz="5" w:space="0" w:color="000000"/>
              <w:bottom w:val="single" w:sz="4" w:space="0" w:color="000000"/>
              <w:right w:val="single" w:sz="4" w:space="0" w:color="000000"/>
            </w:tcBorders>
            <w:shd w:val="clear" w:color="auto" w:fill="FFFF65"/>
          </w:tcPr>
          <w:p>
            <w:pPr>
              <w:widowControl w:val="0"/>
              <w:spacing w:before="38" w:after="0" w:line="262" w:lineRule="auto"/>
              <w:ind w:right="73"/>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 xml:space="preserve">71 + annexe VII (art. 11 - 13 </w:t>
            </w:r>
            <w:r>
              <w:rPr>
                <w:rFonts w:ascii="Times New Roman" w:hAnsi="Times New Roman" w:cs="Times New Roman"/>
                <w:b/>
                <w:i/>
                <w:noProof/>
                <w:w w:val="105"/>
                <w:sz w:val="13"/>
              </w:rPr>
              <w:t>bis</w:t>
            </w:r>
            <w:r>
              <w:rPr>
                <w:rFonts w:ascii="Times New Roman" w:hAnsi="Times New Roman" w:cs="Times New Roman"/>
                <w:b/>
                <w:noProof/>
                <w:w w:val="105"/>
                <w:sz w:val="13"/>
              </w:rPr>
              <w:t>)</w:t>
            </w:r>
          </w:p>
        </w:tc>
        <w:tc>
          <w:tcPr>
            <w:tcW w:w="2729"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w w:val="105"/>
                <w:sz w:val="17"/>
              </w:rPr>
              <w:t>Frais de mission et de déplacement</w:t>
            </w:r>
          </w:p>
        </w:tc>
        <w:tc>
          <w:tcPr>
            <w:tcW w:w="3432"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after="0" w:line="240" w:lineRule="auto"/>
              <w:jc w:val="center"/>
              <w:rPr>
                <w:rFonts w:ascii="Times New Roman" w:eastAsia="Times New Roman" w:hAnsi="Times New Roman" w:cs="Times New Roman"/>
                <w:noProof/>
                <w:sz w:val="10"/>
                <w:szCs w:val="10"/>
              </w:rPr>
            </w:pPr>
          </w:p>
          <w:p>
            <w:pPr>
              <w:widowControl w:val="0"/>
              <w:spacing w:after="0" w:line="265" w:lineRule="auto"/>
              <w:ind w:right="79"/>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portant dispositions générales d’exécution relatives au remboursement des frais de voyage</w:t>
            </w:r>
          </w:p>
        </w:tc>
        <w:tc>
          <w:tcPr>
            <w:tcW w:w="1498"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4"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12.5.2004</w:t>
            </w:r>
          </w:p>
        </w:tc>
        <w:tc>
          <w:tcPr>
            <w:tcW w:w="1562" w:type="dxa"/>
            <w:tcBorders>
              <w:top w:val="single" w:sz="4" w:space="0" w:color="000000"/>
              <w:left w:val="single" w:sz="4" w:space="0" w:color="000000"/>
              <w:bottom w:val="single" w:sz="4" w:space="0" w:color="000000"/>
              <w:right w:val="single" w:sz="4" w:space="0" w:color="000000"/>
            </w:tcBorders>
            <w:shd w:val="clear" w:color="auto" w:fill="FFFF65"/>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jc w:val="center"/>
        <w:rPr>
          <w:rFonts w:ascii="Times New Roman" w:eastAsia="Calibri" w:hAnsi="Times New Roman" w:cs="Times New Roman"/>
          <w:noProof/>
          <w:sz w:val="15"/>
          <w:szCs w:val="15"/>
        </w:rPr>
        <w:sectPr>
          <w:headerReference w:type="even" r:id="rId63"/>
          <w:headerReference w:type="default" r:id="rId64"/>
          <w:footerReference w:type="even" r:id="rId65"/>
          <w:footerReference w:type="default" r:id="rId66"/>
          <w:headerReference w:type="first" r:id="rId67"/>
          <w:footerReference w:type="first" r:id="rId68"/>
          <w:pgSz w:w="11900" w:h="16840" w:code="9"/>
          <w:pgMar w:top="820" w:right="400" w:bottom="280" w:left="240" w:header="633" w:footer="0" w:gutter="0"/>
          <w:cols w:space="720"/>
        </w:sect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490"/>
        </w:trPr>
        <w:tc>
          <w:tcPr>
            <w:tcW w:w="827" w:type="dxa"/>
            <w:tcBorders>
              <w:top w:val="single" w:sz="7" w:space="0" w:color="000000"/>
              <w:left w:val="single" w:sz="5" w:space="0" w:color="000000"/>
              <w:bottom w:val="single" w:sz="7"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z w:val="19"/>
              </w:rPr>
              <w:t>Article</w:t>
            </w:r>
          </w:p>
        </w:tc>
        <w:tc>
          <w:tcPr>
            <w:tcW w:w="2729" w:type="dxa"/>
            <w:tcBorders>
              <w:top w:val="single" w:sz="7" w:space="0" w:color="000000"/>
              <w:left w:val="single" w:sz="4" w:space="0" w:color="000000"/>
              <w:bottom w:val="single" w:sz="7"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Objet</w:t>
            </w:r>
          </w:p>
        </w:tc>
        <w:tc>
          <w:tcPr>
            <w:tcW w:w="3432" w:type="dxa"/>
            <w:tcBorders>
              <w:top w:val="single" w:sz="7" w:space="0" w:color="000000"/>
              <w:left w:val="single" w:sz="4" w:space="0" w:color="000000"/>
              <w:bottom w:val="single" w:sz="7"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2"/>
                <w:sz w:val="19"/>
              </w:rPr>
              <w:t>Règle d'exécution</w:t>
            </w:r>
          </w:p>
        </w:tc>
        <w:tc>
          <w:tcPr>
            <w:tcW w:w="1498" w:type="dxa"/>
            <w:tcBorders>
              <w:top w:val="single" w:sz="7" w:space="0" w:color="000000"/>
              <w:left w:val="single" w:sz="4" w:space="0" w:color="000000"/>
              <w:bottom w:val="single" w:sz="7"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Entrée en vigueur</w:t>
            </w:r>
          </w:p>
        </w:tc>
        <w:tc>
          <w:tcPr>
            <w:tcW w:w="1562" w:type="dxa"/>
            <w:tcBorders>
              <w:top w:val="single" w:sz="7" w:space="0" w:color="000000"/>
              <w:left w:val="single" w:sz="4" w:space="0" w:color="000000"/>
              <w:bottom w:val="single" w:sz="7"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z w:val="19"/>
              </w:rPr>
              <w:t>Date d’expiration</w:t>
            </w:r>
          </w:p>
        </w:tc>
        <w:tc>
          <w:tcPr>
            <w:tcW w:w="1007" w:type="dxa"/>
            <w:tcBorders>
              <w:top w:val="single" w:sz="7" w:space="0" w:color="000000"/>
              <w:left w:val="single" w:sz="4" w:space="0" w:color="000000"/>
              <w:bottom w:val="single" w:sz="7" w:space="0" w:color="000000"/>
              <w:right w:val="single" w:sz="7" w:space="0" w:color="000000"/>
            </w:tcBorders>
            <w:shd w:val="clear" w:color="auto" w:fill="DAEEF3"/>
          </w:tcPr>
          <w:p>
            <w:pPr>
              <w:widowControl w:val="0"/>
              <w:spacing w:before="126"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401"/>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DAEEF3"/>
          </w:tcPr>
          <w:p>
            <w:pPr>
              <w:widowControl w:val="0"/>
              <w:spacing w:before="78" w:after="0" w:line="240" w:lineRule="auto"/>
              <w:jc w:val="center"/>
              <w:rPr>
                <w:rFonts w:ascii="Times New Roman" w:eastAsia="Times New Roman" w:hAnsi="Times New Roman" w:cs="Times New Roman"/>
                <w:noProof/>
                <w:sz w:val="20"/>
                <w:szCs w:val="20"/>
              </w:rPr>
            </w:pPr>
            <w:r>
              <w:rPr>
                <w:rFonts w:ascii="Times New Roman" w:hAnsi="Times New Roman" w:cs="Times New Roman"/>
                <w:b/>
                <w:noProof/>
                <w:spacing w:val="-1"/>
                <w:w w:val="105"/>
                <w:sz w:val="20"/>
              </w:rPr>
              <w:t>Chapitre 3 + annexe VIII - Pensions et allocation d’invalidité</w:t>
            </w:r>
          </w:p>
        </w:tc>
      </w:tr>
      <w:tr>
        <w:trPr>
          <w:trHeight w:hRule="exact" w:val="728"/>
        </w:trPr>
        <w:tc>
          <w:tcPr>
            <w:tcW w:w="827" w:type="dxa"/>
            <w:tcBorders>
              <w:top w:val="single" w:sz="7" w:space="0" w:color="000000"/>
              <w:left w:val="single" w:sz="5" w:space="0" w:color="000000"/>
              <w:bottom w:val="single" w:sz="4" w:space="0" w:color="000000"/>
              <w:right w:val="single" w:sz="4"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62" w:lineRule="auto"/>
              <w:ind w:right="17"/>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77 + annexe VIII (art. 11 - 12)</w:t>
            </w:r>
          </w:p>
        </w:tc>
        <w:tc>
          <w:tcPr>
            <w:tcW w:w="2729"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10" w:after="0" w:line="240" w:lineRule="auto"/>
              <w:jc w:val="center"/>
              <w:rPr>
                <w:rFonts w:ascii="Times New Roman" w:eastAsia="Times New Roman" w:hAnsi="Times New Roman" w:cs="Times New Roman"/>
                <w:noProof/>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w w:val="105"/>
                <w:sz w:val="17"/>
              </w:rPr>
              <w:t>Transfert des droits à pension</w:t>
            </w:r>
          </w:p>
        </w:tc>
        <w:tc>
          <w:tcPr>
            <w:tcW w:w="3432"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1" w:after="0" w:line="240" w:lineRule="auto"/>
              <w:jc w:val="center"/>
              <w:rPr>
                <w:rFonts w:ascii="Times New Roman" w:eastAsia="Times New Roman" w:hAnsi="Times New Roman" w:cs="Times New Roman"/>
                <w:noProof/>
                <w:sz w:val="17"/>
                <w:szCs w:val="17"/>
              </w:rPr>
            </w:pPr>
          </w:p>
          <w:p>
            <w:pPr>
              <w:widowControl w:val="0"/>
              <w:spacing w:after="0" w:line="265" w:lineRule="auto"/>
              <w:ind w:right="14"/>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portant adoption des dispositions générales d'exécution des articles 11 et 12 de l'annexe VIII relatifs au transfert de droits à pension</w:t>
            </w:r>
          </w:p>
        </w:tc>
        <w:tc>
          <w:tcPr>
            <w:tcW w:w="1498"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17.10.2011</w:t>
            </w:r>
          </w:p>
        </w:tc>
        <w:tc>
          <w:tcPr>
            <w:tcW w:w="1562" w:type="dxa"/>
            <w:tcBorders>
              <w:top w:val="single" w:sz="7" w:space="0" w:color="000000"/>
              <w:left w:val="single" w:sz="4" w:space="0" w:color="000000"/>
              <w:bottom w:val="single" w:sz="4" w:space="0" w:color="000000"/>
              <w:right w:val="single" w:sz="4" w:space="0" w:color="000000"/>
            </w:tcBorders>
            <w:shd w:val="clear" w:color="auto" w:fill="FFFF65"/>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3"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8"/>
      </w:tblGrid>
      <w:tr>
        <w:trPr>
          <w:trHeight w:hRule="exact" w:val="415"/>
        </w:trPr>
        <w:tc>
          <w:tcPr>
            <w:tcW w:w="11056" w:type="dxa"/>
            <w:gridSpan w:val="6"/>
            <w:tcBorders>
              <w:top w:val="single" w:sz="7" w:space="0" w:color="000000"/>
              <w:left w:val="single" w:sz="5" w:space="0" w:color="000000"/>
              <w:bottom w:val="single" w:sz="7" w:space="0" w:color="000000"/>
              <w:right w:val="single" w:sz="9" w:space="0" w:color="000000"/>
            </w:tcBorders>
            <w:shd w:val="clear" w:color="auto" w:fill="DCE6F1"/>
          </w:tcPr>
          <w:p>
            <w:pPr>
              <w:widowControl w:val="0"/>
              <w:spacing w:before="54" w:after="0" w:line="240" w:lineRule="auto"/>
              <w:jc w:val="center"/>
              <w:rPr>
                <w:rFonts w:ascii="Times New Roman" w:eastAsia="Times New Roman" w:hAnsi="Times New Roman" w:cs="Times New Roman"/>
                <w:noProof/>
                <w:sz w:val="26"/>
                <w:szCs w:val="26"/>
              </w:rPr>
            </w:pPr>
            <w:r>
              <w:rPr>
                <w:rFonts w:ascii="Times New Roman" w:hAnsi="Times New Roman" w:cs="Times New Roman"/>
                <w:b/>
                <w:noProof/>
                <w:sz w:val="26"/>
              </w:rPr>
              <w:t>Titre VI - Du régime disciplinaire</w:t>
            </w:r>
          </w:p>
        </w:tc>
      </w:tr>
      <w:tr>
        <w:trPr>
          <w:trHeight w:hRule="exact" w:val="416"/>
        </w:trPr>
        <w:tc>
          <w:tcPr>
            <w:tcW w:w="827" w:type="dxa"/>
            <w:tcBorders>
              <w:top w:val="single" w:sz="7" w:space="0" w:color="000000"/>
              <w:left w:val="single" w:sz="5" w:space="0" w:color="000000"/>
              <w:bottom w:val="single" w:sz="4" w:space="0" w:color="000000"/>
              <w:right w:val="single" w:sz="4" w:space="0" w:color="000000"/>
            </w:tcBorders>
            <w:shd w:val="clear" w:color="auto" w:fill="FFFF65"/>
          </w:tcPr>
          <w:p>
            <w:pPr>
              <w:widowControl w:val="0"/>
              <w:spacing w:before="45" w:after="0" w:line="262" w:lineRule="auto"/>
              <w:ind w:right="80"/>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86 + annexe IX</w:t>
            </w:r>
          </w:p>
        </w:tc>
        <w:tc>
          <w:tcPr>
            <w:tcW w:w="2729"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1" w:after="0" w:line="265" w:lineRule="auto"/>
              <w:ind w:right="246"/>
              <w:jc w:val="center"/>
              <w:rPr>
                <w:rFonts w:ascii="Times New Roman" w:eastAsia="Times New Roman" w:hAnsi="Times New Roman" w:cs="Times New Roman"/>
                <w:noProof/>
                <w:sz w:val="17"/>
                <w:szCs w:val="17"/>
              </w:rPr>
            </w:pPr>
            <w:r>
              <w:rPr>
                <w:rFonts w:ascii="Times New Roman" w:hAnsi="Times New Roman" w:cs="Times New Roman"/>
                <w:b/>
                <w:noProof/>
                <w:w w:val="105"/>
                <w:sz w:val="17"/>
              </w:rPr>
              <w:t>Procédures disciplinaires et enquêtes administratives</w:t>
            </w:r>
          </w:p>
        </w:tc>
        <w:tc>
          <w:tcPr>
            <w:tcW w:w="3432"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10"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régissant les règles sur les enquêtes administratives</w:t>
            </w:r>
          </w:p>
        </w:tc>
        <w:tc>
          <w:tcPr>
            <w:tcW w:w="1498"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10"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12.7.2011</w:t>
            </w:r>
          </w:p>
        </w:tc>
        <w:tc>
          <w:tcPr>
            <w:tcW w:w="1562" w:type="dxa"/>
            <w:tcBorders>
              <w:top w:val="single" w:sz="7" w:space="0" w:color="000000"/>
              <w:left w:val="single" w:sz="4" w:space="0" w:color="000000"/>
              <w:bottom w:val="single" w:sz="4" w:space="0" w:color="000000"/>
              <w:right w:val="single" w:sz="4" w:space="0" w:color="000000"/>
            </w:tcBorders>
            <w:shd w:val="clear" w:color="auto" w:fill="FFFF65"/>
          </w:tcPr>
          <w:p>
            <w:pPr>
              <w:jc w:val="center"/>
              <w:rPr>
                <w:rFonts w:ascii="Times New Roman" w:hAnsi="Times New Roman" w:cs="Times New Roman"/>
                <w:noProof/>
              </w:rPr>
            </w:pPr>
          </w:p>
        </w:tc>
        <w:tc>
          <w:tcPr>
            <w:tcW w:w="1008"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jc w:val="center"/>
        <w:rPr>
          <w:rFonts w:ascii="Times New Roman" w:eastAsia="Calibri" w:hAnsi="Times New Roman" w:cs="Times New Roman"/>
          <w:noProof/>
          <w:sz w:val="15"/>
          <w:szCs w:val="15"/>
        </w:rPr>
        <w:sectPr>
          <w:headerReference w:type="even" r:id="rId69"/>
          <w:headerReference w:type="default" r:id="rId70"/>
          <w:footerReference w:type="even" r:id="rId71"/>
          <w:footerReference w:type="default" r:id="rId72"/>
          <w:headerReference w:type="first" r:id="rId73"/>
          <w:footerReference w:type="first" r:id="rId74"/>
          <w:pgSz w:w="11900" w:h="16840" w:code="9"/>
          <w:pgMar w:top="820" w:right="400" w:bottom="280" w:left="240" w:header="633" w:footer="0" w:gutter="0"/>
          <w:cols w:space="720"/>
        </w:sectPr>
      </w:pP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830"/>
        </w:trPr>
        <w:tc>
          <w:tcPr>
            <w:tcW w:w="11054" w:type="dxa"/>
            <w:gridSpan w:val="6"/>
            <w:tcBorders>
              <w:top w:val="single" w:sz="7" w:space="0" w:color="000000"/>
              <w:left w:val="single" w:sz="5" w:space="0" w:color="000000"/>
              <w:bottom w:val="single" w:sz="7" w:space="0" w:color="000000"/>
              <w:right w:val="single" w:sz="7" w:space="0" w:color="000000"/>
            </w:tcBorders>
            <w:shd w:val="clear" w:color="auto" w:fill="B8CCE4"/>
          </w:tcPr>
          <w:p>
            <w:pPr>
              <w:widowControl w:val="0"/>
              <w:spacing w:before="157" w:after="0" w:line="240" w:lineRule="auto"/>
              <w:jc w:val="center"/>
              <w:rPr>
                <w:rFonts w:ascii="Times New Roman" w:eastAsia="Times New Roman" w:hAnsi="Times New Roman" w:cs="Times New Roman"/>
                <w:noProof/>
                <w:sz w:val="44"/>
                <w:szCs w:val="44"/>
              </w:rPr>
            </w:pPr>
            <w:r>
              <w:rPr>
                <w:rFonts w:ascii="Times New Roman" w:hAnsi="Times New Roman" w:cs="Times New Roman"/>
                <w:b/>
                <w:noProof/>
                <w:spacing w:val="-1"/>
                <w:sz w:val="44"/>
              </w:rPr>
              <w:t>Régime applicable aux autres agents</w:t>
            </w:r>
          </w:p>
        </w:tc>
      </w:tr>
      <w:tr>
        <w:trPr>
          <w:trHeight w:hRule="exact" w:val="416"/>
        </w:trPr>
        <w:tc>
          <w:tcPr>
            <w:tcW w:w="827" w:type="dxa"/>
            <w:tcBorders>
              <w:top w:val="single" w:sz="7" w:space="0" w:color="000000"/>
              <w:left w:val="single" w:sz="5" w:space="0" w:color="000000"/>
              <w:bottom w:val="single" w:sz="4" w:space="0" w:color="000000"/>
              <w:right w:val="single" w:sz="4" w:space="0" w:color="000000"/>
            </w:tcBorders>
            <w:shd w:val="clear" w:color="auto" w:fill="DAEEF3"/>
          </w:tcPr>
          <w:p>
            <w:pPr>
              <w:widowControl w:val="0"/>
              <w:spacing w:before="1"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Article</w:t>
            </w:r>
          </w:p>
        </w:tc>
        <w:tc>
          <w:tcPr>
            <w:tcW w:w="2729"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Objet</w:t>
            </w:r>
          </w:p>
        </w:tc>
        <w:tc>
          <w:tcPr>
            <w:tcW w:w="3432"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Règle d'exécution</w:t>
            </w:r>
          </w:p>
        </w:tc>
        <w:tc>
          <w:tcPr>
            <w:tcW w:w="1498"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Entrée en vigueur</w:t>
            </w:r>
          </w:p>
        </w:tc>
        <w:tc>
          <w:tcPr>
            <w:tcW w:w="1562" w:type="dxa"/>
            <w:tcBorders>
              <w:top w:val="single" w:sz="7" w:space="0" w:color="000000"/>
              <w:left w:val="single" w:sz="4" w:space="0" w:color="000000"/>
              <w:bottom w:val="single" w:sz="4" w:space="0" w:color="000000"/>
              <w:right w:val="single" w:sz="4" w:space="0" w:color="000000"/>
            </w:tcBorders>
            <w:shd w:val="clear" w:color="auto" w:fill="DAEEF3"/>
          </w:tcPr>
          <w:p>
            <w:pPr>
              <w:widowControl w:val="0"/>
              <w:spacing w:before="1"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spacing w:val="-1"/>
                <w:w w:val="105"/>
                <w:sz w:val="13"/>
              </w:rPr>
              <w:t>Date d’expiration</w:t>
            </w:r>
          </w:p>
        </w:tc>
        <w:tc>
          <w:tcPr>
            <w:tcW w:w="1007" w:type="dxa"/>
            <w:tcBorders>
              <w:top w:val="single" w:sz="7" w:space="0" w:color="000000"/>
              <w:left w:val="single" w:sz="4" w:space="0" w:color="000000"/>
              <w:bottom w:val="single" w:sz="4" w:space="0" w:color="000000"/>
              <w:right w:val="single" w:sz="7" w:space="0" w:color="000000"/>
            </w:tcBorders>
            <w:shd w:val="clear" w:color="auto" w:fill="DAEEF3"/>
          </w:tcPr>
          <w:p>
            <w:pPr>
              <w:widowControl w:val="0"/>
              <w:spacing w:before="90"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824"/>
        <w:gridCol w:w="2729"/>
        <w:gridCol w:w="3432"/>
        <w:gridCol w:w="1498"/>
        <w:gridCol w:w="1562"/>
        <w:gridCol w:w="1008"/>
      </w:tblGrid>
      <w:tr>
        <w:trPr>
          <w:trHeight w:hRule="exact" w:val="414"/>
        </w:trPr>
        <w:tc>
          <w:tcPr>
            <w:tcW w:w="11053" w:type="dxa"/>
            <w:gridSpan w:val="6"/>
            <w:tcBorders>
              <w:top w:val="single" w:sz="4" w:space="0" w:color="auto"/>
              <w:left w:val="single" w:sz="4" w:space="0" w:color="auto"/>
              <w:bottom w:val="single" w:sz="4" w:space="0" w:color="auto"/>
              <w:right w:val="single" w:sz="4" w:space="0" w:color="auto"/>
            </w:tcBorders>
            <w:shd w:val="clear" w:color="auto" w:fill="DCE6F1"/>
          </w:tcPr>
          <w:p>
            <w:pPr>
              <w:widowControl w:val="0"/>
              <w:spacing w:before="49" w:after="0" w:line="240" w:lineRule="auto"/>
              <w:jc w:val="center"/>
              <w:rPr>
                <w:rFonts w:ascii="Times New Roman" w:eastAsia="Times New Roman" w:hAnsi="Times New Roman" w:cs="Times New Roman"/>
                <w:noProof/>
                <w:sz w:val="26"/>
                <w:szCs w:val="26"/>
              </w:rPr>
            </w:pPr>
            <w:r>
              <w:rPr>
                <w:rFonts w:ascii="Times New Roman" w:hAnsi="Times New Roman" w:cs="Times New Roman"/>
                <w:b/>
                <w:noProof/>
                <w:spacing w:val="-1"/>
                <w:sz w:val="26"/>
              </w:rPr>
              <w:t>Titre IV - Agents contractuels</w:t>
            </w:r>
          </w:p>
        </w:tc>
      </w:tr>
      <w:tr>
        <w:trPr>
          <w:trHeight w:hRule="exact" w:val="415"/>
        </w:trPr>
        <w:tc>
          <w:tcPr>
            <w:tcW w:w="11053" w:type="dxa"/>
            <w:gridSpan w:val="6"/>
            <w:tcBorders>
              <w:top w:val="single" w:sz="4" w:space="0" w:color="auto"/>
              <w:left w:val="single" w:sz="4" w:space="0" w:color="auto"/>
              <w:bottom w:val="single" w:sz="4" w:space="0" w:color="auto"/>
              <w:right w:val="single" w:sz="4" w:space="0" w:color="auto"/>
            </w:tcBorders>
            <w:shd w:val="clear" w:color="auto" w:fill="DAEEF3"/>
          </w:tcPr>
          <w:p>
            <w:pPr>
              <w:widowControl w:val="0"/>
              <w:spacing w:before="86" w:after="0" w:line="240" w:lineRule="auto"/>
              <w:jc w:val="center"/>
              <w:rPr>
                <w:rFonts w:ascii="Times New Roman" w:eastAsia="Times New Roman" w:hAnsi="Times New Roman" w:cs="Times New Roman"/>
                <w:noProof/>
                <w:sz w:val="20"/>
                <w:szCs w:val="20"/>
              </w:rPr>
            </w:pPr>
            <w:r>
              <w:rPr>
                <w:rFonts w:ascii="Times New Roman" w:hAnsi="Times New Roman" w:cs="Times New Roman"/>
                <w:b/>
                <w:noProof/>
                <w:w w:val="105"/>
                <w:sz w:val="20"/>
              </w:rPr>
              <w:t>Chapitre 1 - Dispositions générales</w:t>
            </w:r>
          </w:p>
        </w:tc>
      </w:tr>
      <w:tr>
        <w:trPr>
          <w:trHeight w:hRule="exact" w:val="556"/>
        </w:trPr>
        <w:tc>
          <w:tcPr>
            <w:tcW w:w="824" w:type="dxa"/>
            <w:tcBorders>
              <w:top w:val="single" w:sz="4" w:space="0" w:color="auto"/>
              <w:left w:val="single" w:sz="7" w:space="0" w:color="000000"/>
              <w:bottom w:val="single" w:sz="4" w:space="0" w:color="000000"/>
              <w:right w:val="single" w:sz="4" w:space="0" w:color="000000"/>
            </w:tcBorders>
            <w:shd w:val="clear" w:color="auto" w:fill="FFFF65"/>
          </w:tcPr>
          <w:p>
            <w:pPr>
              <w:widowControl w:val="0"/>
              <w:spacing w:before="1"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79 (2)</w:t>
            </w:r>
          </w:p>
        </w:tc>
        <w:tc>
          <w:tcPr>
            <w:tcW w:w="2729" w:type="dxa"/>
            <w:tcBorders>
              <w:top w:val="single" w:sz="4" w:space="0" w:color="auto"/>
              <w:left w:val="single" w:sz="4" w:space="0" w:color="000000"/>
              <w:bottom w:val="single" w:sz="4" w:space="0" w:color="000000"/>
              <w:right w:val="single" w:sz="4" w:space="0" w:color="000000"/>
            </w:tcBorders>
            <w:shd w:val="clear" w:color="auto" w:fill="FFFF65"/>
          </w:tcPr>
          <w:p>
            <w:pPr>
              <w:widowControl w:val="0"/>
              <w:spacing w:before="4"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Recours aux agents contractuels</w:t>
            </w:r>
          </w:p>
        </w:tc>
        <w:tc>
          <w:tcPr>
            <w:tcW w:w="3432" w:type="dxa"/>
            <w:tcBorders>
              <w:top w:val="single" w:sz="4" w:space="0" w:color="auto"/>
              <w:left w:val="single" w:sz="4" w:space="0" w:color="000000"/>
              <w:bottom w:val="single" w:sz="4" w:space="0" w:color="000000"/>
              <w:right w:val="single" w:sz="4" w:space="0" w:color="000000"/>
            </w:tcBorders>
            <w:shd w:val="clear" w:color="auto" w:fill="FFFF65"/>
          </w:tcPr>
          <w:p>
            <w:pPr>
              <w:widowControl w:val="0"/>
              <w:spacing w:before="29" w:after="0" w:line="265" w:lineRule="auto"/>
              <w:ind w:right="65"/>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portant dispositions générales d’exécution relatives à l'engagement d'agents contractuels (modifiée en dernier lieu par la décision du 24 mars 2014)</w:t>
            </w:r>
          </w:p>
        </w:tc>
        <w:tc>
          <w:tcPr>
            <w:tcW w:w="1498" w:type="dxa"/>
            <w:tcBorders>
              <w:top w:val="single" w:sz="4" w:space="0" w:color="auto"/>
              <w:left w:val="single" w:sz="4" w:space="0" w:color="000000"/>
              <w:bottom w:val="single" w:sz="4" w:space="0" w:color="000000"/>
              <w:right w:val="single" w:sz="4" w:space="0" w:color="000000"/>
            </w:tcBorders>
            <w:shd w:val="clear" w:color="auto" w:fill="FFFF65"/>
          </w:tcPr>
          <w:p>
            <w:pPr>
              <w:widowControl w:val="0"/>
              <w:spacing w:before="10"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15.6.2005</w:t>
            </w:r>
          </w:p>
        </w:tc>
        <w:tc>
          <w:tcPr>
            <w:tcW w:w="1562" w:type="dxa"/>
            <w:tcBorders>
              <w:top w:val="single" w:sz="4" w:space="0" w:color="auto"/>
              <w:left w:val="single" w:sz="4" w:space="0" w:color="000000"/>
              <w:bottom w:val="single" w:sz="4" w:space="0" w:color="000000"/>
              <w:right w:val="single" w:sz="4" w:space="0" w:color="000000"/>
            </w:tcBorders>
            <w:shd w:val="clear" w:color="auto" w:fill="FFFF65"/>
          </w:tcPr>
          <w:p>
            <w:pPr>
              <w:jc w:val="center"/>
              <w:rPr>
                <w:rFonts w:ascii="Times New Roman" w:hAnsi="Times New Roman" w:cs="Times New Roman"/>
                <w:noProof/>
              </w:rPr>
            </w:pPr>
          </w:p>
        </w:tc>
        <w:tc>
          <w:tcPr>
            <w:tcW w:w="1008" w:type="dxa"/>
            <w:tcBorders>
              <w:top w:val="single" w:sz="4" w:space="0" w:color="auto"/>
              <w:left w:val="single" w:sz="4" w:space="0" w:color="000000"/>
              <w:bottom w:val="single" w:sz="4" w:space="0" w:color="000000"/>
              <w:right w:val="single" w:sz="4"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11055" w:type="dxa"/>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533"/>
        </w:trPr>
        <w:tc>
          <w:tcPr>
            <w:tcW w:w="11055" w:type="dxa"/>
            <w:gridSpan w:val="6"/>
            <w:tcBorders>
              <w:top w:val="single" w:sz="7" w:space="0" w:color="000000"/>
              <w:left w:val="single" w:sz="5" w:space="0" w:color="000000"/>
              <w:bottom w:val="single" w:sz="7" w:space="0" w:color="000000"/>
              <w:right w:val="single" w:sz="7" w:space="0" w:color="000000"/>
            </w:tcBorders>
            <w:shd w:val="clear" w:color="auto" w:fill="DCE6F1"/>
          </w:tcPr>
          <w:p>
            <w:pPr>
              <w:widowControl w:val="0"/>
              <w:spacing w:before="146" w:after="0" w:line="240" w:lineRule="auto"/>
              <w:jc w:val="center"/>
              <w:rPr>
                <w:rFonts w:ascii="Times New Roman" w:eastAsia="Times New Roman" w:hAnsi="Times New Roman" w:cs="Times New Roman"/>
                <w:noProof/>
                <w:sz w:val="20"/>
                <w:szCs w:val="20"/>
              </w:rPr>
            </w:pPr>
            <w:r>
              <w:rPr>
                <w:rFonts w:ascii="Times New Roman" w:hAnsi="Times New Roman" w:cs="Times New Roman"/>
                <w:b/>
                <w:noProof/>
                <w:w w:val="105"/>
                <w:sz w:val="20"/>
              </w:rPr>
              <w:t>Chapitre 3 - Conditions d'engagement</w:t>
            </w:r>
          </w:p>
        </w:tc>
      </w:tr>
      <w:tr>
        <w:trPr>
          <w:trHeight w:hRule="exact" w:val="496"/>
        </w:trPr>
        <w:tc>
          <w:tcPr>
            <w:tcW w:w="827" w:type="dxa"/>
            <w:tcBorders>
              <w:top w:val="single" w:sz="7" w:space="0" w:color="000000"/>
              <w:left w:val="single" w:sz="5" w:space="0" w:color="000000"/>
              <w:bottom w:val="single" w:sz="4" w:space="0" w:color="000000"/>
              <w:right w:val="single" w:sz="4"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82</w:t>
            </w:r>
          </w:p>
        </w:tc>
        <w:tc>
          <w:tcPr>
            <w:tcW w:w="2729"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39" w:after="0" w:line="265" w:lineRule="auto"/>
              <w:ind w:right="292"/>
              <w:jc w:val="center"/>
              <w:rPr>
                <w:rFonts w:ascii="Times New Roman" w:eastAsia="Times New Roman" w:hAnsi="Times New Roman" w:cs="Times New Roman"/>
                <w:noProof/>
                <w:sz w:val="17"/>
                <w:szCs w:val="17"/>
              </w:rPr>
            </w:pPr>
            <w:r>
              <w:rPr>
                <w:rFonts w:ascii="Times New Roman" w:hAnsi="Times New Roman" w:cs="Times New Roman"/>
                <w:b/>
                <w:noProof/>
                <w:spacing w:val="-1"/>
                <w:w w:val="105"/>
                <w:sz w:val="17"/>
              </w:rPr>
              <w:t>Procédures de recrutement des agents contractuels</w:t>
            </w:r>
          </w:p>
        </w:tc>
        <w:tc>
          <w:tcPr>
            <w:tcW w:w="3432"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after="0" w:line="265" w:lineRule="auto"/>
              <w:ind w:right="70"/>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portant dispositions générales d’exécution relatives à l'engagement et à l'emploi d'agents contractuels (modifiée en dernier lieu par la décision du 24 mars 2014)</w:t>
            </w:r>
          </w:p>
        </w:tc>
        <w:tc>
          <w:tcPr>
            <w:tcW w:w="1498" w:type="dxa"/>
            <w:tcBorders>
              <w:top w:val="single" w:sz="7" w:space="0" w:color="000000"/>
              <w:left w:val="single" w:sz="4" w:space="0" w:color="000000"/>
              <w:bottom w:val="single" w:sz="4" w:space="0" w:color="000000"/>
              <w:right w:val="single" w:sz="4" w:space="0" w:color="000000"/>
            </w:tcBorders>
            <w:shd w:val="clear" w:color="auto" w:fill="FFFF65"/>
          </w:tcPr>
          <w:p>
            <w:pPr>
              <w:widowControl w:val="0"/>
              <w:spacing w:before="2"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15.6.2005</w:t>
            </w:r>
          </w:p>
        </w:tc>
        <w:tc>
          <w:tcPr>
            <w:tcW w:w="1562" w:type="dxa"/>
            <w:tcBorders>
              <w:top w:val="single" w:sz="7" w:space="0" w:color="000000"/>
              <w:left w:val="single" w:sz="4" w:space="0" w:color="000000"/>
              <w:bottom w:val="single" w:sz="4" w:space="0" w:color="000000"/>
              <w:right w:val="single" w:sz="4" w:space="0" w:color="000000"/>
            </w:tcBorders>
            <w:shd w:val="clear" w:color="auto" w:fill="FFFF65"/>
          </w:tcPr>
          <w:p>
            <w:pPr>
              <w:jc w:val="center"/>
              <w:rPr>
                <w:rFonts w:ascii="Times New Roman" w:hAnsi="Times New Roman" w:cs="Times New Roman"/>
                <w:noProof/>
              </w:rPr>
            </w:pPr>
          </w:p>
        </w:tc>
        <w:tc>
          <w:tcPr>
            <w:tcW w:w="1007" w:type="dxa"/>
            <w:tcBorders>
              <w:top w:val="single" w:sz="7" w:space="0" w:color="000000"/>
              <w:left w:val="single" w:sz="4" w:space="0" w:color="000000"/>
              <w:bottom w:val="single" w:sz="4"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494"/>
        </w:trPr>
        <w:tc>
          <w:tcPr>
            <w:tcW w:w="827" w:type="dxa"/>
            <w:tcBorders>
              <w:top w:val="single" w:sz="4" w:space="0" w:color="000000"/>
              <w:left w:val="single" w:sz="5" w:space="0" w:color="000000"/>
              <w:bottom w:val="single" w:sz="4" w:space="0" w:color="000000"/>
              <w:right w:val="single" w:sz="4"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b/>
                <w:noProof/>
                <w:w w:val="105"/>
                <w:sz w:val="13"/>
              </w:rPr>
              <w:t>86</w:t>
            </w:r>
          </w:p>
        </w:tc>
        <w:tc>
          <w:tcPr>
            <w:tcW w:w="2729"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15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w w:val="105"/>
                <w:sz w:val="17"/>
              </w:rPr>
              <w:t>Grades au recrutement</w:t>
            </w:r>
          </w:p>
        </w:tc>
        <w:tc>
          <w:tcPr>
            <w:tcW w:w="3432"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2" w:after="0" w:line="265" w:lineRule="auto"/>
              <w:ind w:right="71"/>
              <w:jc w:val="center"/>
              <w:rPr>
                <w:rFonts w:ascii="Times New Roman" w:eastAsia="Times New Roman" w:hAnsi="Times New Roman" w:cs="Times New Roman"/>
                <w:noProof/>
                <w:sz w:val="13"/>
                <w:szCs w:val="13"/>
              </w:rPr>
            </w:pPr>
            <w:r>
              <w:rPr>
                <w:rFonts w:ascii="Times New Roman" w:hAnsi="Times New Roman" w:cs="Times New Roman"/>
                <w:noProof/>
                <w:spacing w:val="-1"/>
                <w:w w:val="105"/>
                <w:sz w:val="13"/>
              </w:rPr>
              <w:t>Décision portant dispositions générales d’exécution relatives à l'engagement et à l'emploi d'agents contractuels (modifiée en dernier lieu par la décision du 24 mars 2014)</w:t>
            </w:r>
          </w:p>
        </w:tc>
        <w:tc>
          <w:tcPr>
            <w:tcW w:w="1498" w:type="dxa"/>
            <w:tcBorders>
              <w:top w:val="single" w:sz="4" w:space="0" w:color="000000"/>
              <w:left w:val="single" w:sz="4" w:space="0" w:color="000000"/>
              <w:bottom w:val="single" w:sz="4" w:space="0" w:color="000000"/>
              <w:right w:val="single" w:sz="4"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3"/>
                <w:szCs w:val="13"/>
              </w:rPr>
            </w:pPr>
            <w:r>
              <w:rPr>
                <w:rFonts w:ascii="Times New Roman" w:hAnsi="Times New Roman" w:cs="Times New Roman"/>
                <w:noProof/>
                <w:w w:val="105"/>
                <w:sz w:val="13"/>
              </w:rPr>
              <w:t>15.6.2005</w:t>
            </w:r>
          </w:p>
        </w:tc>
        <w:tc>
          <w:tcPr>
            <w:tcW w:w="1562" w:type="dxa"/>
            <w:tcBorders>
              <w:top w:val="single" w:sz="4" w:space="0" w:color="000000"/>
              <w:left w:val="single" w:sz="4" w:space="0" w:color="000000"/>
              <w:bottom w:val="single" w:sz="4" w:space="0" w:color="000000"/>
              <w:right w:val="single" w:sz="4" w:space="0" w:color="000000"/>
            </w:tcBorders>
            <w:shd w:val="clear" w:color="auto" w:fill="FFFF65"/>
          </w:tcPr>
          <w:p>
            <w:pPr>
              <w:jc w:val="center"/>
              <w:rPr>
                <w:rFonts w:ascii="Times New Roman" w:hAnsi="Times New Roman" w:cs="Times New Roman"/>
                <w:noProof/>
              </w:rPr>
            </w:pPr>
          </w:p>
        </w:tc>
        <w:tc>
          <w:tcPr>
            <w:tcW w:w="1007" w:type="dxa"/>
            <w:tcBorders>
              <w:top w:val="single" w:sz="4" w:space="0" w:color="000000"/>
              <w:left w:val="single" w:sz="4" w:space="0" w:color="000000"/>
              <w:bottom w:val="single" w:sz="4"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bl>
    <w:p>
      <w:pPr>
        <w:jc w:val="center"/>
        <w:rPr>
          <w:rFonts w:ascii="Times New Roman" w:eastAsia="Times New Roman" w:hAnsi="Times New Roman" w:cs="Times New Roman"/>
          <w:noProof/>
          <w:sz w:val="20"/>
          <w:szCs w:val="20"/>
        </w:rPr>
      </w:pPr>
    </w:p>
    <w:p>
      <w:pPr>
        <w:jc w:val="center"/>
        <w:rPr>
          <w:rFonts w:ascii="Times New Roman" w:hAnsi="Times New Roman" w:cs="Times New Roman"/>
          <w:noProof/>
        </w:rPr>
      </w:pPr>
      <w:r>
        <w:rPr>
          <w:rFonts w:ascii="Times New Roman" w:hAnsi="Times New Roman" w:cs="Times New Roman"/>
          <w:noProof/>
        </w:rPr>
        <w:br w:type="page"/>
      </w: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54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after="0" w:line="528" w:lineRule="exact"/>
              <w:jc w:val="center"/>
              <w:rPr>
                <w:rFonts w:ascii="Times New Roman" w:eastAsia="Times New Roman" w:hAnsi="Times New Roman" w:cs="Times New Roman"/>
                <w:noProof/>
                <w:sz w:val="47"/>
                <w:szCs w:val="47"/>
              </w:rPr>
            </w:pPr>
            <w:r>
              <w:rPr>
                <w:rFonts w:ascii="Times New Roman" w:hAnsi="Times New Roman" w:cs="Times New Roman"/>
                <w:b/>
                <w:noProof/>
                <w:sz w:val="47"/>
              </w:rPr>
              <w:t>COUR DES COMPTES</w:t>
            </w:r>
          </w:p>
        </w:tc>
      </w:tr>
      <w:tr>
        <w:trPr>
          <w:trHeight w:hRule="exact" w:val="725"/>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23" w:after="0" w:line="240" w:lineRule="auto"/>
              <w:ind w:right="914"/>
              <w:jc w:val="center"/>
              <w:rPr>
                <w:rFonts w:ascii="Times New Roman" w:eastAsia="Times New Roman" w:hAnsi="Times New Roman" w:cs="Times New Roman"/>
                <w:noProof/>
                <w:sz w:val="39"/>
                <w:szCs w:val="39"/>
              </w:rPr>
            </w:pPr>
            <w:r>
              <w:rPr>
                <w:rFonts w:ascii="Times New Roman" w:hAnsi="Times New Roman" w:cs="Times New Roman"/>
                <w:b/>
                <w:noProof/>
                <w:sz w:val="39"/>
              </w:rPr>
              <w:t>Statut</w:t>
            </w:r>
          </w:p>
          <w:p>
            <w:pPr>
              <w:widowControl w:val="0"/>
              <w:spacing w:before="18" w:after="0" w:line="240" w:lineRule="auto"/>
              <w:ind w:right="915"/>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(applicable par analogie aux autres agents lorsque le RAA le prévoit expressément)</w:t>
            </w:r>
          </w:p>
        </w:tc>
      </w:tr>
      <w:tr>
        <w:trPr>
          <w:trHeight w:hRule="exact" w:val="425"/>
        </w:trPr>
        <w:tc>
          <w:tcPr>
            <w:tcW w:w="1156"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Article</w:t>
            </w:r>
          </w:p>
        </w:tc>
        <w:tc>
          <w:tcPr>
            <w:tcW w:w="2551"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Objet</w:t>
            </w:r>
          </w:p>
        </w:tc>
        <w:tc>
          <w:tcPr>
            <w:tcW w:w="3334"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Règle d'exécution</w:t>
            </w:r>
          </w:p>
        </w:tc>
        <w:tc>
          <w:tcPr>
            <w:tcW w:w="13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Entrée en vigueur</w:t>
            </w:r>
          </w:p>
        </w:tc>
        <w:tc>
          <w:tcPr>
            <w:tcW w:w="1687"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Date d’expiration</w:t>
            </w:r>
          </w:p>
        </w:tc>
        <w:tc>
          <w:tcPr>
            <w:tcW w:w="914"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54"/>
        </w:trPr>
        <w:tc>
          <w:tcPr>
            <w:tcW w:w="10964"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91"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I - Dispositions générales</w:t>
            </w:r>
          </w:p>
        </w:tc>
      </w:tr>
      <w:tr>
        <w:trPr>
          <w:trHeight w:hRule="exact" w:val="454"/>
        </w:trPr>
        <w:tc>
          <w:tcPr>
            <w:tcW w:w="1156"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6" w:after="0" w:line="240" w:lineRule="auto"/>
              <w:rPr>
                <w:rFonts w:ascii="Times New Roman" w:eastAsia="Times New Roman" w:hAnsi="Times New Roman" w:cs="Times New Roman"/>
                <w:b/>
                <w:bCs/>
                <w:noProof/>
                <w:sz w:val="12"/>
                <w:szCs w:val="12"/>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1</w:t>
            </w:r>
            <w:r>
              <w:rPr>
                <w:rFonts w:ascii="Times New Roman" w:hAnsi="Times New Roman" w:cs="Times New Roman"/>
                <w:b/>
                <w:noProof/>
                <w:spacing w:val="-1"/>
                <w:sz w:val="12"/>
                <w:vertAlign w:val="superscript"/>
              </w:rPr>
              <w:t>er</w:t>
            </w:r>
            <w:r>
              <w:rPr>
                <w:rFonts w:ascii="Times New Roman" w:hAnsi="Times New Roman" w:cs="Times New Roman"/>
                <w:b/>
                <w:noProof/>
                <w:spacing w:val="-1"/>
                <w:sz w:val="12"/>
              </w:rPr>
              <w:t xml:space="preserve"> </w:t>
            </w:r>
            <w:r>
              <w:rPr>
                <w:rFonts w:ascii="Times New Roman" w:hAnsi="Times New Roman" w:cs="Times New Roman"/>
                <w:b/>
                <w:i/>
                <w:noProof/>
                <w:spacing w:val="-1"/>
                <w:sz w:val="12"/>
              </w:rPr>
              <w:t>sexies</w:t>
            </w:r>
            <w:r>
              <w:rPr>
                <w:rFonts w:ascii="Times New Roman" w:hAnsi="Times New Roman" w:cs="Times New Roman"/>
                <w:b/>
                <w:noProof/>
                <w:spacing w:val="-1"/>
                <w:sz w:val="12"/>
              </w:rPr>
              <w:t xml:space="preserve"> (2)</w:t>
            </w:r>
          </w:p>
        </w:tc>
        <w:tc>
          <w:tcPr>
            <w:tcW w:w="2551"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21" w:after="0" w:line="240" w:lineRule="auto"/>
              <w:ind w:left="675"/>
              <w:rPr>
                <w:rFonts w:ascii="Times New Roman" w:eastAsia="Times New Roman" w:hAnsi="Times New Roman" w:cs="Times New Roman"/>
                <w:noProof/>
                <w:sz w:val="16"/>
                <w:szCs w:val="16"/>
              </w:rPr>
            </w:pPr>
            <w:r>
              <w:rPr>
                <w:rFonts w:ascii="Times New Roman" w:hAnsi="Times New Roman" w:cs="Times New Roman"/>
                <w:b/>
                <w:noProof/>
                <w:spacing w:val="-1"/>
                <w:sz w:val="16"/>
              </w:rPr>
              <w:t>Santé et sécurité</w:t>
            </w:r>
          </w:p>
        </w:tc>
        <w:tc>
          <w:tcPr>
            <w:tcW w:w="3334"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7" w:after="0" w:line="254" w:lineRule="auto"/>
              <w:ind w:left="1122" w:right="62" w:hanging="1056"/>
              <w:rPr>
                <w:rFonts w:ascii="Times New Roman" w:eastAsia="Times New Roman" w:hAnsi="Times New Roman" w:cs="Times New Roman"/>
                <w:noProof/>
                <w:sz w:val="12"/>
                <w:szCs w:val="12"/>
              </w:rPr>
            </w:pPr>
            <w:r>
              <w:rPr>
                <w:rFonts w:ascii="Times New Roman" w:hAnsi="Times New Roman" w:cs="Times New Roman"/>
                <w:noProof/>
                <w:spacing w:val="-2"/>
                <w:sz w:val="12"/>
              </w:rPr>
              <w:t>Décision 23-2016 instituant un comité mixte sur la santé, la sécurité et le bien-être au travail</w:t>
            </w:r>
          </w:p>
        </w:tc>
        <w:tc>
          <w:tcPr>
            <w:tcW w:w="1322" w:type="dxa"/>
            <w:tcBorders>
              <w:top w:val="single" w:sz="5" w:space="0" w:color="000000"/>
              <w:left w:val="single" w:sz="3" w:space="0" w:color="000000"/>
              <w:bottom w:val="single" w:sz="4" w:space="0" w:color="000000"/>
              <w:right w:val="single" w:sz="3" w:space="0" w:color="000000"/>
            </w:tcBorders>
            <w:shd w:val="clear" w:color="auto" w:fill="DA9694"/>
          </w:tcPr>
          <w:p>
            <w:pPr>
              <w:widowControl w:val="0"/>
              <w:spacing w:before="3" w:after="0" w:line="240" w:lineRule="auto"/>
              <w:rPr>
                <w:rFonts w:ascii="Times New Roman" w:eastAsia="Times New Roman" w:hAnsi="Times New Roman" w:cs="Times New Roman"/>
                <w:b/>
                <w:bCs/>
                <w:noProof/>
                <w:sz w:val="12"/>
                <w:szCs w:val="12"/>
              </w:rPr>
            </w:pPr>
          </w:p>
          <w:p>
            <w:pPr>
              <w:widowControl w:val="0"/>
              <w:spacing w:after="0" w:line="240" w:lineRule="auto"/>
              <w:ind w:left="385"/>
              <w:rPr>
                <w:rFonts w:ascii="Times New Roman" w:eastAsia="Times New Roman" w:hAnsi="Times New Roman" w:cs="Times New Roman"/>
                <w:noProof/>
                <w:sz w:val="12"/>
                <w:szCs w:val="12"/>
              </w:rPr>
            </w:pPr>
            <w:r>
              <w:rPr>
                <w:rFonts w:ascii="Times New Roman" w:hAnsi="Times New Roman" w:cs="Times New Roman"/>
                <w:noProof/>
                <w:sz w:val="12"/>
              </w:rPr>
              <w:t>12.4.2016</w:t>
            </w:r>
          </w:p>
        </w:tc>
        <w:tc>
          <w:tcPr>
            <w:tcW w:w="1687" w:type="dxa"/>
            <w:tcBorders>
              <w:top w:val="single" w:sz="5" w:space="0" w:color="000000"/>
              <w:left w:val="single" w:sz="3" w:space="0" w:color="000000"/>
              <w:bottom w:val="single" w:sz="4" w:space="0" w:color="000000"/>
              <w:right w:val="single" w:sz="3" w:space="0" w:color="000000"/>
            </w:tcBorders>
            <w:shd w:val="clear" w:color="auto" w:fill="DA9694"/>
          </w:tcPr>
          <w:p>
            <w:pPr>
              <w:rPr>
                <w:rFonts w:ascii="Times New Roman" w:hAnsi="Times New Roman" w:cs="Times New Roman"/>
                <w:noProof/>
              </w:rPr>
            </w:pPr>
          </w:p>
        </w:tc>
        <w:tc>
          <w:tcPr>
            <w:tcW w:w="914" w:type="dxa"/>
            <w:tcBorders>
              <w:top w:val="single" w:sz="5" w:space="0" w:color="000000"/>
              <w:left w:val="single" w:sz="3" w:space="0" w:color="000000"/>
              <w:bottom w:val="single" w:sz="4"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val="59"/>
        </w:trPr>
        <w:tc>
          <w:tcPr>
            <w:tcW w:w="1156"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2</w:t>
            </w:r>
          </w:p>
        </w:tc>
        <w:tc>
          <w:tcPr>
            <w:tcW w:w="2551" w:type="dxa"/>
            <w:vMerge w:val="restart"/>
            <w:tcBorders>
              <w:top w:val="single" w:sz="3" w:space="0" w:color="000000"/>
              <w:left w:val="single" w:sz="3" w:space="0" w:color="000000"/>
              <w:right w:val="single" w:sz="3" w:space="0" w:color="000000"/>
            </w:tcBorders>
            <w:shd w:val="clear" w:color="auto" w:fill="DA9694"/>
          </w:tcPr>
          <w:p>
            <w:pPr>
              <w:widowControl w:val="0"/>
              <w:spacing w:before="10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Pouvoirs de l'AIPN</w:t>
            </w:r>
          </w:p>
        </w:tc>
        <w:tc>
          <w:tcPr>
            <w:tcW w:w="3334" w:type="dxa"/>
            <w:tcBorders>
              <w:top w:val="single" w:sz="3" w:space="0" w:color="000000"/>
              <w:left w:val="single" w:sz="3" w:space="0" w:color="000000"/>
              <w:bottom w:val="single" w:sz="3" w:space="0" w:color="000000"/>
              <w:right w:val="single" w:sz="4" w:space="0" w:color="000000"/>
            </w:tcBorders>
            <w:shd w:val="clear" w:color="auto" w:fill="DA9694"/>
          </w:tcPr>
          <w:p>
            <w:pPr>
              <w:widowControl w:val="0"/>
              <w:spacing w:before="55" w:after="0" w:line="254" w:lineRule="auto"/>
              <w:ind w:right="46"/>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22-2014 relative à l’exercice des pouvoirs dévolus à l’autorité investie du pouvoir de nomination par le statut et à l’autorité habilitée à conclure des contrats par le RAA</w:t>
            </w:r>
          </w:p>
        </w:tc>
        <w:tc>
          <w:tcPr>
            <w:tcW w:w="1322" w:type="dxa"/>
            <w:tcBorders>
              <w:top w:val="single" w:sz="4" w:space="0" w:color="000000"/>
              <w:left w:val="single" w:sz="4" w:space="0" w:color="000000"/>
              <w:bottom w:val="single" w:sz="4" w:space="0" w:color="auto"/>
              <w:right w:val="single" w:sz="4" w:space="0" w:color="000000"/>
            </w:tcBorders>
            <w:shd w:val="clear" w:color="auto" w:fill="DA9694"/>
          </w:tcPr>
          <w:p>
            <w:pPr>
              <w:widowControl w:val="0"/>
              <w:spacing w:after="0" w:line="240" w:lineRule="auto"/>
              <w:rPr>
                <w:rFonts w:ascii="Times New Roman" w:eastAsia="Times New Roman" w:hAnsi="Times New Roman" w:cs="Times New Roman"/>
                <w:b/>
                <w:bCs/>
                <w:noProof/>
                <w:sz w:val="12"/>
                <w:szCs w:val="12"/>
              </w:rPr>
            </w:pPr>
          </w:p>
          <w:p>
            <w:pPr>
              <w:widowControl w:val="0"/>
              <w:spacing w:before="9" w:after="0" w:line="240" w:lineRule="auto"/>
              <w:rPr>
                <w:rFonts w:ascii="Times New Roman" w:eastAsia="Times New Roman" w:hAnsi="Times New Roman" w:cs="Times New Roman"/>
                <w:b/>
                <w:bCs/>
                <w:noProof/>
                <w:sz w:val="11"/>
                <w:szCs w:val="11"/>
              </w:rPr>
            </w:pPr>
          </w:p>
          <w:p>
            <w:pPr>
              <w:widowControl w:val="0"/>
              <w:spacing w:after="0" w:line="240" w:lineRule="auto"/>
              <w:ind w:left="385"/>
              <w:rPr>
                <w:rFonts w:ascii="Times New Roman" w:eastAsia="Times New Roman" w:hAnsi="Times New Roman" w:cs="Times New Roman"/>
                <w:noProof/>
                <w:sz w:val="12"/>
                <w:szCs w:val="12"/>
              </w:rPr>
            </w:pPr>
            <w:r>
              <w:rPr>
                <w:rFonts w:ascii="Times New Roman" w:hAnsi="Times New Roman" w:cs="Times New Roman"/>
                <w:noProof/>
                <w:sz w:val="12"/>
              </w:rPr>
              <w:t>1.1.2014</w:t>
            </w:r>
          </w:p>
          <w:p>
            <w:pPr>
              <w:widowControl w:val="0"/>
              <w:spacing w:after="0" w:line="240" w:lineRule="auto"/>
              <w:ind w:left="385"/>
              <w:rPr>
                <w:rFonts w:ascii="Times New Roman" w:eastAsia="Times New Roman" w:hAnsi="Times New Roman" w:cs="Times New Roman"/>
                <w:noProof/>
                <w:sz w:val="12"/>
                <w:szCs w:val="12"/>
              </w:rPr>
            </w:pPr>
          </w:p>
        </w:tc>
        <w:tc>
          <w:tcPr>
            <w:tcW w:w="1687" w:type="dxa"/>
            <w:tcBorders>
              <w:top w:val="single" w:sz="4" w:space="0" w:color="000000"/>
              <w:left w:val="single" w:sz="4" w:space="0" w:color="000000"/>
              <w:bottom w:val="single" w:sz="4" w:space="0" w:color="auto"/>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r>
              <w:rPr>
                <w:rFonts w:ascii="Times New Roman" w:hAnsi="Times New Roman" w:cs="Times New Roman"/>
                <w:noProof/>
                <w:sz w:val="12"/>
              </w:rPr>
              <w:t>4.9.2015</w:t>
            </w:r>
          </w:p>
        </w:tc>
        <w:tc>
          <w:tcPr>
            <w:tcW w:w="914" w:type="dxa"/>
            <w:vMerge w:val="restart"/>
            <w:tcBorders>
              <w:top w:val="single" w:sz="4" w:space="0" w:color="000000"/>
              <w:left w:val="single" w:sz="4" w:space="0" w:color="000000"/>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30"/>
        </w:trPr>
        <w:tc>
          <w:tcPr>
            <w:tcW w:w="1156" w:type="dxa"/>
            <w:vMerge/>
            <w:tcBorders>
              <w:left w:val="single" w:sz="4" w:space="0" w:color="000000"/>
              <w:bottom w:val="single" w:sz="4" w:space="0" w:color="auto"/>
              <w:right w:val="single" w:sz="3" w:space="0" w:color="000000"/>
            </w:tcBorders>
            <w:shd w:val="clear" w:color="auto" w:fill="DA9694"/>
          </w:tcPr>
          <w:p>
            <w:pPr>
              <w:widowControl w:val="0"/>
              <w:spacing w:after="0" w:line="240" w:lineRule="auto"/>
              <w:ind w:right="2"/>
              <w:jc w:val="center"/>
              <w:rPr>
                <w:rFonts w:ascii="Times New Roman" w:eastAsia="Times New Roman" w:hAnsi="Times New Roman" w:cs="Times New Roman"/>
                <w:noProof/>
                <w:sz w:val="12"/>
                <w:szCs w:val="12"/>
              </w:rPr>
            </w:pPr>
          </w:p>
        </w:tc>
        <w:tc>
          <w:tcPr>
            <w:tcW w:w="2551" w:type="dxa"/>
            <w:vMerge/>
            <w:tcBorders>
              <w:left w:val="single" w:sz="3" w:space="0" w:color="000000"/>
              <w:bottom w:val="single" w:sz="4" w:space="0" w:color="auto"/>
              <w:right w:val="single" w:sz="3" w:space="0" w:color="000000"/>
            </w:tcBorders>
            <w:shd w:val="clear" w:color="auto" w:fill="DA9694"/>
          </w:tcPr>
          <w:p>
            <w:pPr>
              <w:widowControl w:val="0"/>
              <w:spacing w:before="109" w:after="0" w:line="240" w:lineRule="auto"/>
              <w:jc w:val="center"/>
              <w:rPr>
                <w:rFonts w:ascii="Times New Roman" w:eastAsia="Times New Roman" w:hAnsi="Times New Roman" w:cs="Times New Roman"/>
                <w:noProof/>
                <w:sz w:val="16"/>
                <w:szCs w:val="16"/>
              </w:rPr>
            </w:pPr>
          </w:p>
        </w:tc>
        <w:tc>
          <w:tcPr>
            <w:tcW w:w="3334" w:type="dxa"/>
            <w:tcBorders>
              <w:top w:val="single" w:sz="3" w:space="0" w:color="000000"/>
              <w:left w:val="single" w:sz="3" w:space="0" w:color="000000"/>
              <w:bottom w:val="single" w:sz="3" w:space="0" w:color="000000"/>
              <w:right w:val="single" w:sz="4" w:space="0" w:color="000000"/>
            </w:tcBorders>
            <w:shd w:val="clear" w:color="auto" w:fill="DA9694"/>
            <w:vAlign w:val="center"/>
          </w:tcPr>
          <w:p>
            <w:pPr>
              <w:widowControl w:val="0"/>
              <w:spacing w:before="55" w:after="0" w:line="254" w:lineRule="auto"/>
              <w:ind w:right="46"/>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29-2015 relative à l’exercice des pouvoirs dévolus à l’autorité investie du pouvoir de nomination par le statut et à l’autorité habilitée à conclure des contrats par le RAA</w:t>
            </w:r>
          </w:p>
        </w:tc>
        <w:tc>
          <w:tcPr>
            <w:tcW w:w="1322" w:type="dxa"/>
            <w:tcBorders>
              <w:top w:val="single" w:sz="4" w:space="0" w:color="auto"/>
              <w:left w:val="single" w:sz="4" w:space="0" w:color="000000"/>
              <w:bottom w:val="single" w:sz="4" w:space="0" w:color="auto"/>
              <w:right w:val="single" w:sz="4" w:space="0" w:color="000000"/>
            </w:tcBorders>
            <w:shd w:val="clear" w:color="auto" w:fill="DA9694"/>
          </w:tcPr>
          <w:p>
            <w:pPr>
              <w:widowControl w:val="0"/>
              <w:spacing w:after="0" w:line="240" w:lineRule="auto"/>
              <w:ind w:left="385"/>
              <w:rPr>
                <w:rFonts w:ascii="Times New Roman" w:eastAsia="Times New Roman" w:hAnsi="Times New Roman" w:cs="Times New Roman"/>
                <w:noProof/>
                <w:sz w:val="12"/>
                <w:szCs w:val="12"/>
              </w:rPr>
            </w:pPr>
            <w:r>
              <w:rPr>
                <w:rFonts w:ascii="Times New Roman" w:hAnsi="Times New Roman" w:cs="Times New Roman"/>
                <w:noProof/>
                <w:sz w:val="12"/>
              </w:rPr>
              <w:t>4.9.2015</w:t>
            </w:r>
          </w:p>
          <w:p>
            <w:pPr>
              <w:widowControl w:val="0"/>
              <w:spacing w:after="0" w:line="240" w:lineRule="auto"/>
              <w:jc w:val="center"/>
              <w:rPr>
                <w:rFonts w:ascii="Times New Roman" w:eastAsia="Times New Roman" w:hAnsi="Times New Roman" w:cs="Times New Roman"/>
                <w:noProof/>
                <w:sz w:val="12"/>
                <w:szCs w:val="12"/>
              </w:rPr>
            </w:pPr>
          </w:p>
        </w:tc>
        <w:tc>
          <w:tcPr>
            <w:tcW w:w="1687" w:type="dxa"/>
            <w:tcBorders>
              <w:top w:val="single" w:sz="4" w:space="0" w:color="auto"/>
              <w:left w:val="single" w:sz="4" w:space="0" w:color="000000"/>
              <w:bottom w:val="single" w:sz="4" w:space="0" w:color="auto"/>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vMerge/>
            <w:tcBorders>
              <w:top w:val="single" w:sz="4" w:space="0" w:color="auto"/>
              <w:left w:val="single" w:sz="4" w:space="0" w:color="000000"/>
              <w:bottom w:val="single" w:sz="4" w:space="0" w:color="auto"/>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478"/>
        </w:trPr>
        <w:tc>
          <w:tcPr>
            <w:tcW w:w="1156" w:type="dxa"/>
            <w:vMerge w:val="restart"/>
            <w:tcBorders>
              <w:top w:val="single" w:sz="4" w:space="0" w:color="auto"/>
              <w:left w:val="single" w:sz="4" w:space="0" w:color="000000"/>
              <w:bottom w:val="single" w:sz="4" w:space="0" w:color="000000"/>
              <w:right w:val="single" w:sz="4" w:space="0" w:color="000000"/>
            </w:tcBorders>
            <w:shd w:val="clear" w:color="auto" w:fill="DA9694"/>
          </w:tcPr>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position w:val="1"/>
                <w:sz w:val="12"/>
              </w:rPr>
              <w:t>5 + annexe I</w:t>
            </w:r>
          </w:p>
        </w:tc>
        <w:tc>
          <w:tcPr>
            <w:tcW w:w="2551" w:type="dxa"/>
            <w:vMerge w:val="restart"/>
            <w:tcBorders>
              <w:top w:val="single" w:sz="4" w:space="0" w:color="auto"/>
              <w:left w:val="single" w:sz="4" w:space="0" w:color="000000"/>
              <w:bottom w:val="single" w:sz="4" w:space="0" w:color="000000"/>
              <w:right w:val="single" w:sz="4" w:space="0" w:color="000000"/>
            </w:tcBorders>
            <w:shd w:val="clear" w:color="auto" w:fill="DA9694"/>
          </w:tcPr>
          <w:p>
            <w:pPr>
              <w:widowControl w:val="0"/>
              <w:spacing w:before="10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Emplois types et intitulés d'emploi</w:t>
            </w:r>
          </w:p>
        </w:tc>
        <w:tc>
          <w:tcPr>
            <w:tcW w:w="3334" w:type="dxa"/>
            <w:tcBorders>
              <w:top w:val="single" w:sz="3" w:space="0" w:color="000000"/>
              <w:left w:val="single" w:sz="4" w:space="0" w:color="000000"/>
              <w:bottom w:val="single" w:sz="3" w:space="0" w:color="000000"/>
              <w:right w:val="single" w:sz="4" w:space="0" w:color="000000"/>
            </w:tcBorders>
            <w:shd w:val="clear" w:color="auto" w:fill="DA9694"/>
          </w:tcPr>
          <w:p>
            <w:pPr>
              <w:widowControl w:val="0"/>
              <w:spacing w:before="55" w:after="0" w:line="254" w:lineRule="auto"/>
              <w:ind w:right="46"/>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20/2015 sur la délégation des pouvoirs de l’AIPN/AHCC en ce qui concerne la mise en œuvre de l’accord conclu entre la Cour des comptes et le PMO</w:t>
            </w:r>
          </w:p>
        </w:tc>
        <w:tc>
          <w:tcPr>
            <w:tcW w:w="1322" w:type="dxa"/>
            <w:tcBorders>
              <w:top w:val="single" w:sz="4" w:space="0" w:color="auto"/>
              <w:left w:val="single" w:sz="4" w:space="0" w:color="000000"/>
              <w:bottom w:val="single" w:sz="4" w:space="0" w:color="auto"/>
              <w:right w:val="single" w:sz="4" w:space="0" w:color="000000"/>
            </w:tcBorders>
            <w:shd w:val="clear" w:color="auto" w:fill="DA9694"/>
          </w:tcPr>
          <w:p>
            <w:pPr>
              <w:widowControl w:val="0"/>
              <w:spacing w:after="0" w:line="240" w:lineRule="auto"/>
              <w:ind w:left="385"/>
              <w:rPr>
                <w:rFonts w:ascii="Times New Roman" w:eastAsia="Times New Roman" w:hAnsi="Times New Roman" w:cs="Times New Roman"/>
                <w:noProof/>
                <w:sz w:val="12"/>
                <w:szCs w:val="12"/>
              </w:rPr>
            </w:pPr>
            <w:r>
              <w:rPr>
                <w:rFonts w:ascii="Times New Roman" w:hAnsi="Times New Roman" w:cs="Times New Roman"/>
                <w:noProof/>
                <w:sz w:val="12"/>
              </w:rPr>
              <w:t>1.1.2005</w:t>
            </w:r>
          </w:p>
          <w:p>
            <w:pPr>
              <w:widowControl w:val="0"/>
              <w:spacing w:after="0" w:line="240" w:lineRule="auto"/>
              <w:jc w:val="center"/>
              <w:rPr>
                <w:rFonts w:ascii="Times New Roman" w:eastAsia="Times New Roman" w:hAnsi="Times New Roman" w:cs="Times New Roman"/>
                <w:noProof/>
                <w:sz w:val="12"/>
                <w:szCs w:val="12"/>
              </w:rPr>
            </w:pPr>
          </w:p>
        </w:tc>
        <w:tc>
          <w:tcPr>
            <w:tcW w:w="1687" w:type="dxa"/>
            <w:tcBorders>
              <w:top w:val="single" w:sz="4" w:space="0" w:color="auto"/>
              <w:left w:val="single" w:sz="4" w:space="0" w:color="000000"/>
              <w:bottom w:val="single" w:sz="4" w:space="0" w:color="auto"/>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r>
              <w:rPr>
                <w:rFonts w:ascii="Times New Roman" w:hAnsi="Times New Roman" w:cs="Times New Roman"/>
                <w:noProof/>
                <w:sz w:val="12"/>
              </w:rPr>
              <w:t>1.1.2016</w:t>
            </w:r>
          </w:p>
        </w:tc>
        <w:tc>
          <w:tcPr>
            <w:tcW w:w="914" w:type="dxa"/>
            <w:vMerge w:val="restart"/>
            <w:tcBorders>
              <w:top w:val="single" w:sz="4" w:space="0" w:color="auto"/>
              <w:left w:val="single" w:sz="4"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50"/>
        </w:trPr>
        <w:tc>
          <w:tcPr>
            <w:tcW w:w="1156" w:type="dxa"/>
            <w:vMerge/>
            <w:tcBorders>
              <w:left w:val="single" w:sz="4" w:space="0" w:color="000000"/>
              <w:bottom w:val="single" w:sz="4" w:space="0" w:color="000000"/>
              <w:right w:val="single" w:sz="4" w:space="0" w:color="000000"/>
            </w:tcBorders>
            <w:shd w:val="clear" w:color="auto" w:fill="DA9694"/>
          </w:tcPr>
          <w:p>
            <w:pPr>
              <w:widowControl w:val="0"/>
              <w:spacing w:after="0" w:line="240" w:lineRule="auto"/>
              <w:ind w:right="2"/>
              <w:jc w:val="center"/>
              <w:rPr>
                <w:rFonts w:ascii="Times New Roman" w:eastAsia="Times New Roman" w:hAnsi="Times New Roman" w:cs="Times New Roman"/>
                <w:noProof/>
                <w:sz w:val="12"/>
                <w:szCs w:val="12"/>
              </w:rPr>
            </w:pPr>
          </w:p>
        </w:tc>
        <w:tc>
          <w:tcPr>
            <w:tcW w:w="2551" w:type="dxa"/>
            <w:vMerge/>
            <w:tcBorders>
              <w:left w:val="single" w:sz="4" w:space="0" w:color="000000"/>
              <w:bottom w:val="single" w:sz="4" w:space="0" w:color="000000"/>
              <w:right w:val="single" w:sz="4" w:space="0" w:color="000000"/>
            </w:tcBorders>
            <w:shd w:val="clear" w:color="auto" w:fill="DA9694"/>
          </w:tcPr>
          <w:p>
            <w:pPr>
              <w:widowControl w:val="0"/>
              <w:spacing w:before="109" w:after="0" w:line="240" w:lineRule="auto"/>
              <w:jc w:val="center"/>
              <w:rPr>
                <w:rFonts w:ascii="Times New Roman" w:eastAsia="Times New Roman" w:hAnsi="Times New Roman" w:cs="Times New Roman"/>
                <w:noProof/>
                <w:sz w:val="16"/>
                <w:szCs w:val="16"/>
              </w:rPr>
            </w:pPr>
          </w:p>
        </w:tc>
        <w:tc>
          <w:tcPr>
            <w:tcW w:w="3334" w:type="dxa"/>
            <w:tcBorders>
              <w:top w:val="single" w:sz="3" w:space="0" w:color="000000"/>
              <w:left w:val="single" w:sz="4" w:space="0" w:color="000000"/>
              <w:bottom w:val="single" w:sz="3" w:space="0" w:color="000000"/>
              <w:right w:val="single" w:sz="4" w:space="0" w:color="000000"/>
            </w:tcBorders>
            <w:shd w:val="clear" w:color="auto" w:fill="DA9694"/>
          </w:tcPr>
          <w:p>
            <w:pPr>
              <w:widowControl w:val="0"/>
              <w:spacing w:before="55" w:after="0" w:line="254" w:lineRule="auto"/>
              <w:ind w:right="46"/>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51/2015 sur la délégation des pouvoirs de l’AIPN/AHCC en ce qui concerne la mise en œuvre de l’accord conclu entre la Cour des comptes et le PMO</w:t>
            </w:r>
          </w:p>
        </w:tc>
        <w:tc>
          <w:tcPr>
            <w:tcW w:w="1322" w:type="dxa"/>
            <w:tcBorders>
              <w:top w:val="single" w:sz="4" w:space="0" w:color="auto"/>
              <w:left w:val="single" w:sz="4" w:space="0" w:color="000000"/>
              <w:bottom w:val="single" w:sz="4" w:space="0" w:color="auto"/>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1.1.2016</w:t>
            </w:r>
          </w:p>
        </w:tc>
        <w:tc>
          <w:tcPr>
            <w:tcW w:w="1687" w:type="dxa"/>
            <w:tcBorders>
              <w:top w:val="single" w:sz="4" w:space="0" w:color="auto"/>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vMerge/>
            <w:tcBorders>
              <w:left w:val="single" w:sz="3" w:space="0" w:color="000000"/>
              <w:bottom w:val="single" w:sz="4"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370"/>
        </w:trPr>
        <w:tc>
          <w:tcPr>
            <w:tcW w:w="1156" w:type="dxa"/>
            <w:vMerge w:val="restart"/>
            <w:tcBorders>
              <w:top w:val="single" w:sz="4" w:space="0" w:color="000000"/>
              <w:left w:val="single" w:sz="4" w:space="0" w:color="000000"/>
              <w:right w:val="single" w:sz="3" w:space="0" w:color="000000"/>
            </w:tcBorders>
            <w:shd w:val="clear" w:color="auto" w:fill="DA9694"/>
            <w:vAlign w:val="center"/>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 w:after="0" w:line="240" w:lineRule="auto"/>
              <w:jc w:val="center"/>
              <w:rPr>
                <w:rFonts w:ascii="Times New Roman" w:eastAsia="Times New Roman" w:hAnsi="Times New Roman" w:cs="Times New Roman"/>
                <w:b/>
                <w:bCs/>
                <w:noProof/>
                <w:sz w:val="10"/>
                <w:szCs w:val="10"/>
              </w:rPr>
            </w:pPr>
          </w:p>
          <w:p>
            <w:pPr>
              <w:widowControl w:val="0"/>
              <w:spacing w:after="0" w:line="112" w:lineRule="exact"/>
              <w:ind w:left="162"/>
              <w:jc w:val="center"/>
              <w:rPr>
                <w:rFonts w:ascii="Times New Roman" w:eastAsia="Times New Roman" w:hAnsi="Times New Roman" w:cs="Times New Roman"/>
                <w:noProof/>
                <w:sz w:val="12"/>
                <w:szCs w:val="12"/>
              </w:rPr>
            </w:pPr>
            <w:r>
              <w:rPr>
                <w:rFonts w:ascii="Times New Roman" w:hAnsi="Times New Roman" w:cs="Times New Roman"/>
                <w:b/>
                <w:noProof/>
                <w:sz w:val="12"/>
              </w:rPr>
              <w:t>5 + annexe I et</w:t>
            </w:r>
          </w:p>
          <w:p>
            <w:pPr>
              <w:widowControl w:val="0"/>
              <w:spacing w:after="0" w:line="112" w:lineRule="exact"/>
              <w:ind w:left="162"/>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annexe XIII (art. 30 - 31)</w:t>
            </w:r>
          </w:p>
          <w:p>
            <w:pPr>
              <w:widowControl w:val="0"/>
              <w:spacing w:after="0" w:line="240" w:lineRule="auto"/>
              <w:jc w:val="center"/>
              <w:rPr>
                <w:rFonts w:ascii="Times New Roman" w:hAnsi="Times New Roman" w:cs="Times New Roman"/>
                <w:b/>
                <w:noProof/>
                <w:sz w:val="12"/>
              </w:rPr>
            </w:pPr>
          </w:p>
          <w:p>
            <w:pPr>
              <w:widowControl w:val="0"/>
              <w:spacing w:after="0" w:line="240" w:lineRule="auto"/>
              <w:jc w:val="center"/>
              <w:rPr>
                <w:rFonts w:ascii="Times New Roman" w:eastAsia="Times New Roman" w:hAnsi="Times New Roman" w:cs="Times New Roman"/>
                <w:noProof/>
                <w:sz w:val="12"/>
                <w:szCs w:val="12"/>
              </w:rPr>
            </w:pPr>
          </w:p>
        </w:tc>
        <w:tc>
          <w:tcPr>
            <w:tcW w:w="2551" w:type="dxa"/>
            <w:vMerge w:val="restart"/>
            <w:tcBorders>
              <w:top w:val="single" w:sz="4" w:space="0" w:color="000000"/>
              <w:left w:val="single" w:sz="3" w:space="0" w:color="000000"/>
              <w:right w:val="single" w:sz="3" w:space="0" w:color="000000"/>
            </w:tcBorders>
            <w:shd w:val="clear" w:color="auto" w:fill="DA9694"/>
            <w:vAlign w:val="center"/>
          </w:tcPr>
          <w:p>
            <w:pPr>
              <w:widowControl w:val="0"/>
              <w:spacing w:after="0" w:line="247" w:lineRule="auto"/>
              <w:ind w:left="99" w:right="100" w:firstLine="129"/>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Classement des fonctionnaires investis de responsabilités particulières en tant que «chef</w:t>
            </w:r>
          </w:p>
          <w:p>
            <w:pPr>
              <w:widowControl w:val="0"/>
              <w:spacing w:after="0" w:line="247" w:lineRule="auto"/>
              <w:ind w:left="99" w:right="100" w:firstLine="129"/>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d'unité ou équivalent» ou «conseiller ou équivalent» avant le 31 décembre 2015</w:t>
            </w:r>
          </w:p>
        </w:tc>
        <w:tc>
          <w:tcPr>
            <w:tcW w:w="3334" w:type="dxa"/>
            <w:tcBorders>
              <w:top w:val="single" w:sz="3" w:space="0" w:color="000000"/>
              <w:left w:val="single" w:sz="3" w:space="0" w:color="000000"/>
              <w:bottom w:val="single" w:sz="3" w:space="0" w:color="000000"/>
              <w:right w:val="single" w:sz="3" w:space="0" w:color="000000"/>
            </w:tcBorders>
            <w:shd w:val="clear" w:color="auto" w:fill="FFFF66"/>
          </w:tcPr>
          <w:p>
            <w:pPr>
              <w:widowControl w:val="0"/>
              <w:spacing w:before="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84-2007 portant dispositions générales d’exécution de l’article 5, paragraphe 4</w:t>
            </w:r>
          </w:p>
        </w:tc>
        <w:tc>
          <w:tcPr>
            <w:tcW w:w="1322" w:type="dxa"/>
            <w:tcBorders>
              <w:top w:val="single" w:sz="4" w:space="0" w:color="auto"/>
              <w:left w:val="single" w:sz="3" w:space="0" w:color="000000"/>
              <w:bottom w:val="single" w:sz="3" w:space="0" w:color="000000"/>
              <w:right w:val="single" w:sz="3" w:space="0" w:color="000000"/>
            </w:tcBorders>
            <w:shd w:val="clear" w:color="auto" w:fill="FFFF66"/>
          </w:tcPr>
          <w:p>
            <w:pPr>
              <w:widowControl w:val="0"/>
              <w:spacing w:before="7" w:after="0" w:line="240" w:lineRule="auto"/>
              <w:rPr>
                <w:rFonts w:ascii="Times New Roman" w:eastAsia="Times New Roman" w:hAnsi="Times New Roman" w:cs="Times New Roman"/>
                <w:b/>
                <w:bCs/>
                <w:noProof/>
                <w:sz w:val="9"/>
                <w:szCs w:val="9"/>
              </w:rPr>
            </w:pPr>
          </w:p>
          <w:p>
            <w:pPr>
              <w:widowControl w:val="0"/>
              <w:spacing w:after="0" w:line="240" w:lineRule="auto"/>
              <w:ind w:left="385"/>
              <w:rPr>
                <w:rFonts w:ascii="Times New Roman" w:eastAsia="Times New Roman" w:hAnsi="Times New Roman" w:cs="Times New Roman"/>
                <w:noProof/>
                <w:sz w:val="12"/>
                <w:szCs w:val="12"/>
              </w:rPr>
            </w:pPr>
            <w:r>
              <w:rPr>
                <w:rFonts w:ascii="Times New Roman" w:hAnsi="Times New Roman" w:cs="Times New Roman"/>
                <w:noProof/>
                <w:sz w:val="12"/>
              </w:rPr>
              <w:t>16.10.2007</w:t>
            </w:r>
          </w:p>
        </w:tc>
        <w:tc>
          <w:tcPr>
            <w:tcW w:w="1687" w:type="dxa"/>
            <w:tcBorders>
              <w:top w:val="single" w:sz="3" w:space="0" w:color="000000"/>
              <w:left w:val="single" w:sz="3" w:space="0" w:color="000000"/>
              <w:bottom w:val="single" w:sz="3" w:space="0" w:color="000000"/>
              <w:right w:val="single" w:sz="4" w:space="0" w:color="000000"/>
            </w:tcBorders>
            <w:shd w:val="clear" w:color="auto" w:fill="FFFF66"/>
          </w:tcPr>
          <w:p>
            <w:pPr>
              <w:widowControl w:val="0"/>
              <w:spacing w:before="7" w:after="0" w:line="240" w:lineRule="auto"/>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1.1.2016</w:t>
            </w:r>
          </w:p>
        </w:tc>
        <w:tc>
          <w:tcPr>
            <w:tcW w:w="914" w:type="dxa"/>
            <w:vMerge w:val="restart"/>
            <w:tcBorders>
              <w:top w:val="single" w:sz="4" w:space="0" w:color="000000"/>
              <w:left w:val="single" w:sz="4" w:space="0" w:color="000000"/>
              <w:right w:val="single" w:sz="4" w:space="0" w:color="auto"/>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70"/>
        </w:trPr>
        <w:tc>
          <w:tcPr>
            <w:tcW w:w="1156"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tc>
        <w:tc>
          <w:tcPr>
            <w:tcW w:w="2551"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ind w:left="26"/>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21-2015 relative aux emplois types et aux intitulés d'emploi</w:t>
            </w:r>
          </w:p>
        </w:tc>
        <w:tc>
          <w:tcPr>
            <w:tcW w:w="1322" w:type="dxa"/>
            <w:tcBorders>
              <w:top w:val="single" w:sz="4" w:space="0" w:color="auto"/>
              <w:left w:val="single" w:sz="3" w:space="0" w:color="000000"/>
              <w:bottom w:val="single" w:sz="3" w:space="0" w:color="000000"/>
              <w:right w:val="single" w:sz="3" w:space="0" w:color="000000"/>
            </w:tcBorders>
            <w:shd w:val="clear" w:color="auto" w:fill="DA9694"/>
          </w:tcPr>
          <w:p>
            <w:pPr>
              <w:widowControl w:val="0"/>
              <w:spacing w:before="7" w:after="0" w:line="240" w:lineRule="auto"/>
              <w:rPr>
                <w:rFonts w:ascii="Times New Roman" w:eastAsia="Times New Roman" w:hAnsi="Times New Roman" w:cs="Times New Roman"/>
                <w:b/>
                <w:bCs/>
                <w:noProof/>
                <w:sz w:val="9"/>
                <w:szCs w:val="9"/>
              </w:rPr>
            </w:pPr>
          </w:p>
          <w:p>
            <w:pPr>
              <w:widowControl w:val="0"/>
              <w:spacing w:after="0" w:line="240" w:lineRule="auto"/>
              <w:ind w:left="386"/>
              <w:rPr>
                <w:rFonts w:ascii="Times New Roman" w:eastAsia="Times New Roman" w:hAnsi="Times New Roman" w:cs="Times New Roman"/>
                <w:noProof/>
                <w:sz w:val="12"/>
                <w:szCs w:val="12"/>
              </w:rPr>
            </w:pPr>
            <w:r>
              <w:rPr>
                <w:rFonts w:ascii="Times New Roman" w:hAnsi="Times New Roman" w:cs="Times New Roman"/>
                <w:noProof/>
                <w:spacing w:val="-1"/>
                <w:sz w:val="12"/>
              </w:rPr>
              <w:t>1.1.2016</w:t>
            </w:r>
          </w:p>
        </w:tc>
        <w:tc>
          <w:tcPr>
            <w:tcW w:w="1687" w:type="dxa"/>
            <w:tcBorders>
              <w:top w:val="single" w:sz="3" w:space="0" w:color="000000"/>
              <w:left w:val="single" w:sz="3" w:space="0" w:color="000000"/>
              <w:bottom w:val="single" w:sz="3" w:space="0" w:color="000000"/>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tc>
        <w:tc>
          <w:tcPr>
            <w:tcW w:w="914" w:type="dxa"/>
            <w:vMerge/>
            <w:tcBorders>
              <w:left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331"/>
        </w:trPr>
        <w:tc>
          <w:tcPr>
            <w:tcW w:w="1156"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334" w:type="dxa"/>
            <w:tcBorders>
              <w:top w:val="single" w:sz="3" w:space="0" w:color="000000"/>
              <w:left w:val="single" w:sz="3" w:space="0" w:color="000000"/>
              <w:bottom w:val="single" w:sz="3" w:space="0" w:color="000000"/>
              <w:right w:val="single" w:sz="3" w:space="0" w:color="000000"/>
            </w:tcBorders>
            <w:shd w:val="clear" w:color="auto" w:fill="FFFF66"/>
          </w:tcPr>
          <w:p>
            <w:pPr>
              <w:widowControl w:val="0"/>
              <w:spacing w:before="38" w:after="0" w:line="254" w:lineRule="auto"/>
              <w:ind w:left="1335" w:right="35" w:hanging="1299"/>
              <w:rPr>
                <w:rFonts w:ascii="Times New Roman" w:eastAsia="Times New Roman" w:hAnsi="Times New Roman" w:cs="Times New Roman"/>
                <w:noProof/>
                <w:sz w:val="12"/>
                <w:szCs w:val="12"/>
              </w:rPr>
            </w:pPr>
            <w:r>
              <w:rPr>
                <w:rFonts w:ascii="Times New Roman" w:hAnsi="Times New Roman" w:cs="Times New Roman"/>
                <w:noProof/>
                <w:spacing w:val="-2"/>
                <w:sz w:val="12"/>
              </w:rPr>
              <w:t>Décision 84-2007 portant dispositions générales d’exécution de l’article 5, paragraphe 4</w:t>
            </w:r>
          </w:p>
        </w:tc>
        <w:tc>
          <w:tcPr>
            <w:tcW w:w="1322" w:type="dxa"/>
            <w:tcBorders>
              <w:top w:val="single" w:sz="3" w:space="0" w:color="000000"/>
              <w:left w:val="single" w:sz="3" w:space="0" w:color="000000"/>
              <w:bottom w:val="single" w:sz="3" w:space="0" w:color="000000"/>
              <w:right w:val="single" w:sz="3" w:space="0" w:color="000000"/>
            </w:tcBorders>
            <w:shd w:val="clear" w:color="auto" w:fill="FFFF66"/>
          </w:tcPr>
          <w:p>
            <w:pPr>
              <w:widowControl w:val="0"/>
              <w:spacing w:before="7" w:after="0" w:line="240" w:lineRule="auto"/>
              <w:rPr>
                <w:rFonts w:ascii="Times New Roman" w:eastAsia="Times New Roman" w:hAnsi="Times New Roman" w:cs="Times New Roman"/>
                <w:b/>
                <w:bCs/>
                <w:noProof/>
                <w:sz w:val="9"/>
                <w:szCs w:val="9"/>
              </w:rPr>
            </w:pPr>
          </w:p>
          <w:p>
            <w:pPr>
              <w:widowControl w:val="0"/>
              <w:spacing w:after="0" w:line="240" w:lineRule="auto"/>
              <w:ind w:left="385"/>
              <w:rPr>
                <w:rFonts w:ascii="Times New Roman" w:eastAsia="Times New Roman" w:hAnsi="Times New Roman" w:cs="Times New Roman"/>
                <w:noProof/>
                <w:sz w:val="12"/>
                <w:szCs w:val="12"/>
              </w:rPr>
            </w:pPr>
            <w:r>
              <w:rPr>
                <w:rFonts w:ascii="Times New Roman" w:hAnsi="Times New Roman" w:cs="Times New Roman"/>
                <w:noProof/>
                <w:sz w:val="12"/>
              </w:rPr>
              <w:t>16.10.2007</w:t>
            </w:r>
          </w:p>
        </w:tc>
        <w:tc>
          <w:tcPr>
            <w:tcW w:w="1687" w:type="dxa"/>
            <w:tcBorders>
              <w:top w:val="single" w:sz="3" w:space="0" w:color="000000"/>
              <w:left w:val="single" w:sz="3" w:space="0" w:color="000000"/>
              <w:bottom w:val="single" w:sz="3" w:space="0" w:color="000000"/>
              <w:right w:val="single" w:sz="4" w:space="0" w:color="000000"/>
            </w:tcBorders>
            <w:shd w:val="clear" w:color="auto" w:fill="FFFF66"/>
          </w:tcPr>
          <w:p>
            <w:pPr>
              <w:widowControl w:val="0"/>
              <w:spacing w:before="7" w:after="0" w:line="240" w:lineRule="auto"/>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1.1.2016</w:t>
            </w:r>
          </w:p>
        </w:tc>
        <w:tc>
          <w:tcPr>
            <w:tcW w:w="914" w:type="dxa"/>
            <w:vMerge/>
            <w:tcBorders>
              <w:left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430"/>
        </w:trPr>
        <w:tc>
          <w:tcPr>
            <w:tcW w:w="1156" w:type="dxa"/>
            <w:vMerge/>
            <w:tcBorders>
              <w:left w:val="single" w:sz="4" w:space="0" w:color="000000"/>
              <w:bottom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4" w:space="0" w:color="auto"/>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7" w:after="0" w:line="240" w:lineRule="auto"/>
              <w:ind w:left="26"/>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21-2015 relative aux emplois types et aux intitulés d'emploi</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Times New Roman" w:hAnsi="Times New Roman" w:cs="Times New Roman"/>
                <w:b/>
                <w:bCs/>
                <w:noProof/>
                <w:sz w:val="12"/>
                <w:szCs w:val="12"/>
              </w:rPr>
            </w:pPr>
          </w:p>
          <w:p>
            <w:pPr>
              <w:widowControl w:val="0"/>
              <w:spacing w:before="77" w:after="0" w:line="240" w:lineRule="auto"/>
              <w:ind w:left="386"/>
              <w:rPr>
                <w:rFonts w:ascii="Times New Roman" w:eastAsia="Times New Roman" w:hAnsi="Times New Roman" w:cs="Times New Roman"/>
                <w:noProof/>
                <w:sz w:val="12"/>
                <w:szCs w:val="12"/>
              </w:rPr>
            </w:pPr>
            <w:r>
              <w:rPr>
                <w:rFonts w:ascii="Times New Roman" w:hAnsi="Times New Roman" w:cs="Times New Roman"/>
                <w:noProof/>
                <w:spacing w:val="-1"/>
                <w:sz w:val="12"/>
              </w:rPr>
              <w:t>1.1.2016</w:t>
            </w:r>
          </w:p>
        </w:tc>
        <w:tc>
          <w:tcPr>
            <w:tcW w:w="1687" w:type="dxa"/>
            <w:tcBorders>
              <w:top w:val="single" w:sz="3" w:space="0" w:color="000000"/>
              <w:left w:val="single" w:sz="3" w:space="0" w:color="000000"/>
              <w:bottom w:val="single" w:sz="3" w:space="0" w:color="000000"/>
              <w:right w:val="single" w:sz="4" w:space="0" w:color="000000"/>
            </w:tcBorders>
            <w:shd w:val="clear" w:color="auto" w:fill="DA9694"/>
          </w:tcPr>
          <w:p>
            <w:pPr>
              <w:rPr>
                <w:rFonts w:ascii="Times New Roman" w:hAnsi="Times New Roman" w:cs="Times New Roman"/>
                <w:noProof/>
              </w:rPr>
            </w:pPr>
          </w:p>
        </w:tc>
        <w:tc>
          <w:tcPr>
            <w:tcW w:w="914" w:type="dxa"/>
            <w:vMerge/>
            <w:tcBorders>
              <w:left w:val="single" w:sz="4" w:space="0" w:color="000000"/>
              <w:bottom w:val="single" w:sz="4" w:space="0" w:color="auto"/>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331"/>
        </w:trPr>
        <w:tc>
          <w:tcPr>
            <w:tcW w:w="1156" w:type="dxa"/>
            <w:tcBorders>
              <w:left w:val="single" w:sz="4" w:space="0" w:color="000000"/>
              <w:bottom w:val="single" w:sz="4" w:space="0" w:color="000000"/>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r>
              <w:rPr>
                <w:rFonts w:ascii="Times New Roman" w:hAnsi="Times New Roman" w:cs="Times New Roman"/>
                <w:b/>
                <w:noProof/>
                <w:sz w:val="12"/>
              </w:rPr>
              <w:t>9 + annexe II</w:t>
            </w:r>
          </w:p>
        </w:tc>
        <w:tc>
          <w:tcPr>
            <w:tcW w:w="2551" w:type="dxa"/>
            <w:tcBorders>
              <w:top w:val="single" w:sz="4" w:space="0" w:color="auto"/>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r>
              <w:rPr>
                <w:rFonts w:ascii="Times New Roman" w:hAnsi="Times New Roman" w:cs="Times New Roman"/>
                <w:b/>
                <w:noProof/>
                <w:spacing w:val="-1"/>
                <w:sz w:val="16"/>
              </w:rPr>
              <w:t>Comités</w:t>
            </w: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5" w:after="0" w:line="240" w:lineRule="auto"/>
              <w:ind w:left="308"/>
              <w:rPr>
                <w:rFonts w:ascii="Times New Roman" w:eastAsia="Times New Roman" w:hAnsi="Times New Roman" w:cs="Times New Roman"/>
                <w:noProof/>
                <w:sz w:val="12"/>
                <w:szCs w:val="12"/>
              </w:rPr>
            </w:pPr>
            <w:r>
              <w:rPr>
                <w:rFonts w:ascii="Times New Roman" w:hAnsi="Times New Roman" w:cs="Times New Roman"/>
                <w:noProof/>
                <w:spacing w:val="-2"/>
                <w:sz w:val="12"/>
              </w:rPr>
              <w:t>Décision 17-2016 relative à l'institution d’un comité mixte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5" w:after="0" w:line="240" w:lineRule="auto"/>
              <w:ind w:left="386"/>
              <w:rPr>
                <w:rFonts w:ascii="Times New Roman" w:eastAsia="Times New Roman" w:hAnsi="Times New Roman" w:cs="Times New Roman"/>
                <w:noProof/>
                <w:sz w:val="12"/>
                <w:szCs w:val="12"/>
              </w:rPr>
            </w:pPr>
            <w:r>
              <w:rPr>
                <w:rFonts w:ascii="Times New Roman" w:hAnsi="Times New Roman" w:cs="Times New Roman"/>
                <w:noProof/>
                <w:spacing w:val="-1"/>
                <w:sz w:val="12"/>
              </w:rPr>
              <w:t>1.5.2016</w:t>
            </w:r>
          </w:p>
        </w:tc>
        <w:tc>
          <w:tcPr>
            <w:tcW w:w="1687" w:type="dxa"/>
            <w:tcBorders>
              <w:top w:val="single" w:sz="3" w:space="0" w:color="000000"/>
              <w:left w:val="single" w:sz="3" w:space="0" w:color="000000"/>
              <w:bottom w:val="single" w:sz="3" w:space="0" w:color="000000"/>
              <w:right w:val="single" w:sz="4" w:space="0" w:color="000000"/>
            </w:tcBorders>
            <w:shd w:val="clear" w:color="auto" w:fill="DA9694"/>
          </w:tcPr>
          <w:p>
            <w:pPr>
              <w:rPr>
                <w:rFonts w:ascii="Times New Roman" w:hAnsi="Times New Roman" w:cs="Times New Roman"/>
                <w:noProof/>
              </w:rPr>
            </w:pPr>
          </w:p>
        </w:tc>
        <w:tc>
          <w:tcPr>
            <w:tcW w:w="914" w:type="dxa"/>
            <w:tcBorders>
              <w:top w:val="single" w:sz="4" w:space="0" w:color="auto"/>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54"/>
        </w:trPr>
        <w:tc>
          <w:tcPr>
            <w:tcW w:w="10964"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91"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II - Droits et obligations du fonctionnaire</w:t>
            </w:r>
          </w:p>
        </w:tc>
      </w:tr>
      <w:tr>
        <w:trPr>
          <w:trHeight w:hRule="exact" w:val="454"/>
        </w:trPr>
        <w:tc>
          <w:tcPr>
            <w:tcW w:w="1156"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12 </w:t>
            </w:r>
            <w:r>
              <w:rPr>
                <w:rFonts w:ascii="Times New Roman" w:hAnsi="Times New Roman" w:cs="Times New Roman"/>
                <w:b/>
                <w:i/>
                <w:noProof/>
                <w:sz w:val="12"/>
              </w:rPr>
              <w:t>ter</w:t>
            </w:r>
            <w:r>
              <w:rPr>
                <w:rFonts w:ascii="Times New Roman" w:hAnsi="Times New Roman" w:cs="Times New Roman"/>
                <w:b/>
                <w:noProof/>
                <w:sz w:val="12"/>
              </w:rPr>
              <w:t xml:space="preserve"> - 16 - 17</w:t>
            </w:r>
          </w:p>
        </w:tc>
        <w:tc>
          <w:tcPr>
            <w:tcW w:w="2551"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30"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Activités extérieures</w:t>
            </w:r>
          </w:p>
        </w:tc>
        <w:tc>
          <w:tcPr>
            <w:tcW w:w="3334"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Communication au personnel 13/2015 relative aux activités extérieures</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21.10.2015</w:t>
            </w:r>
          </w:p>
        </w:tc>
        <w:tc>
          <w:tcPr>
            <w:tcW w:w="1687"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5"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06"/>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1"/>
                <w:szCs w:val="11"/>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22 </w:t>
            </w:r>
            <w:r>
              <w:rPr>
                <w:rFonts w:ascii="Times New Roman" w:hAnsi="Times New Roman" w:cs="Times New Roman"/>
                <w:b/>
                <w:i/>
                <w:noProof/>
                <w:sz w:val="12"/>
              </w:rPr>
              <w:t>bis</w:t>
            </w:r>
            <w:r>
              <w:rPr>
                <w:rFonts w:ascii="Times New Roman" w:hAnsi="Times New Roman" w:cs="Times New Roman"/>
                <w:b/>
                <w:noProof/>
                <w:sz w:val="12"/>
              </w:rPr>
              <w:t xml:space="preserve"> - </w:t>
            </w:r>
            <w:r>
              <w:rPr>
                <w:rFonts w:ascii="Times New Roman" w:hAnsi="Times New Roman" w:cs="Times New Roman"/>
                <w:b/>
                <w:i/>
                <w:noProof/>
                <w:sz w:val="12"/>
              </w:rPr>
              <w:t>quater</w:t>
            </w:r>
          </w:p>
        </w:tc>
        <w:tc>
          <w:tcPr>
            <w:tcW w:w="255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Dénonciation des dysfonctionnements</w:t>
            </w: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5" w:after="0" w:line="254" w:lineRule="auto"/>
              <w:ind w:right="46"/>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Règles de la procédure d'information en cas d'irrégularités graves («dénonciation des dysfonctionnements»)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b/>
                <w:bCs/>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31.10.2014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4"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70"/>
        </w:trPr>
        <w:tc>
          <w:tcPr>
            <w:tcW w:w="1156"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1" w:after="0" w:line="240" w:lineRule="auto"/>
              <w:jc w:val="center"/>
              <w:rPr>
                <w:rFonts w:ascii="Times New Roman" w:eastAsia="Times New Roman" w:hAnsi="Times New Roman" w:cs="Times New Roman"/>
                <w:b/>
                <w:bCs/>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24 </w:t>
            </w:r>
            <w:r>
              <w:rPr>
                <w:rFonts w:ascii="Times New Roman" w:hAnsi="Times New Roman" w:cs="Times New Roman"/>
                <w:b/>
                <w:i/>
                <w:noProof/>
                <w:sz w:val="12"/>
              </w:rPr>
              <w:t>bis</w:t>
            </w:r>
          </w:p>
        </w:tc>
        <w:tc>
          <w:tcPr>
            <w:tcW w:w="2551" w:type="dxa"/>
            <w:vMerge w:val="restart"/>
            <w:tcBorders>
              <w:top w:val="single" w:sz="3" w:space="0" w:color="000000"/>
              <w:left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b/>
                <w:bCs/>
                <w:noProof/>
                <w:sz w:val="21"/>
                <w:szCs w:val="21"/>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Formation</w:t>
            </w: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7-2006, décision du 23 février 2006 et décision du 6</w:t>
            </w:r>
          </w:p>
          <w:p>
            <w:pPr>
              <w:widowControl w:val="0"/>
              <w:spacing w:before="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décembre 2007</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2006-2007</w:t>
            </w:r>
          </w:p>
        </w:tc>
        <w:tc>
          <w:tcPr>
            <w:tcW w:w="1687" w:type="dxa"/>
            <w:tcBorders>
              <w:top w:val="single" w:sz="3" w:space="0" w:color="000000"/>
              <w:left w:val="single" w:sz="3" w:space="0" w:color="000000"/>
              <w:bottom w:val="single" w:sz="3" w:space="0" w:color="000000"/>
              <w:right w:val="single" w:sz="4"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15.11.2016</w:t>
            </w:r>
          </w:p>
        </w:tc>
        <w:tc>
          <w:tcPr>
            <w:tcW w:w="914" w:type="dxa"/>
            <w:vMerge w:val="restart"/>
            <w:tcBorders>
              <w:top w:val="single" w:sz="4" w:space="0" w:color="000000"/>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1"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30"/>
        </w:trPr>
        <w:tc>
          <w:tcPr>
            <w:tcW w:w="1156"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71-2016 portant règles internes relatives à la formation professionnelle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15.11.2016</w:t>
            </w:r>
          </w:p>
        </w:tc>
        <w:tc>
          <w:tcPr>
            <w:tcW w:w="1687" w:type="dxa"/>
            <w:tcBorders>
              <w:top w:val="single" w:sz="3" w:space="0" w:color="000000"/>
              <w:left w:val="single" w:sz="3" w:space="0" w:color="000000"/>
              <w:bottom w:val="single" w:sz="3" w:space="0" w:color="000000"/>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vMerge/>
            <w:tcBorders>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91"/>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60"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III - De la carrière du fonctionnaire</w:t>
            </w:r>
          </w:p>
        </w:tc>
      </w:tr>
      <w:tr>
        <w:trPr>
          <w:trHeight w:hRule="exact" w:val="391"/>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5" w:after="0" w:line="240" w:lineRule="auto"/>
              <w:ind w:right="915"/>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1 - Recrutement</w:t>
            </w:r>
          </w:p>
        </w:tc>
      </w:tr>
      <w:tr>
        <w:trPr>
          <w:trHeight w:hRule="exact" w:val="509"/>
        </w:trPr>
        <w:tc>
          <w:tcPr>
            <w:tcW w:w="1156" w:type="dxa"/>
            <w:tcBorders>
              <w:top w:val="single" w:sz="5" w:space="0" w:color="000000"/>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6"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27 - 34</w:t>
            </w:r>
          </w:p>
        </w:tc>
        <w:tc>
          <w:tcPr>
            <w:tcW w:w="2551" w:type="dxa"/>
            <w:tcBorders>
              <w:top w:val="single" w:sz="5" w:space="0" w:color="000000"/>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6" w:after="0" w:line="240" w:lineRule="auto"/>
              <w:jc w:val="center"/>
              <w:rPr>
                <w:rFonts w:ascii="Times New Roman" w:eastAsia="Times New Roman" w:hAnsi="Times New Roman" w:cs="Times New Roman"/>
                <w:b/>
                <w:bCs/>
                <w:noProof/>
                <w:sz w:val="13"/>
                <w:szCs w:val="13"/>
              </w:rPr>
            </w:pPr>
          </w:p>
          <w:p>
            <w:pPr>
              <w:widowControl w:val="0"/>
              <w:spacing w:after="0" w:line="164" w:lineRule="exact"/>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Recrutement</w:t>
            </w:r>
          </w:p>
        </w:tc>
        <w:tc>
          <w:tcPr>
            <w:tcW w:w="3334"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1" w:after="0" w:line="254" w:lineRule="auto"/>
              <w:ind w:right="175"/>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6-2014 portant dispositions générales d'exécution relatives aux critères applicables au classement en échelon lors de la nomination ou de l'engagement</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370"/>
        </w:trPr>
        <w:tc>
          <w:tcPr>
            <w:tcW w:w="1156" w:type="dxa"/>
            <w:tcBorders>
              <w:top w:val="nil"/>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551" w:type="dxa"/>
            <w:tcBorders>
              <w:top w:val="nil"/>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8" w:after="0" w:line="254" w:lineRule="auto"/>
              <w:ind w:right="102"/>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Communication au personnel 17/2016 relative à la période de stage des fonctionnaires, agents temporaires et agents contractuels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1.3.2016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70"/>
        </w:trPr>
        <w:tc>
          <w:tcPr>
            <w:tcW w:w="1156"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29 (2) - 34 - 46</w:t>
            </w:r>
          </w:p>
        </w:tc>
        <w:tc>
          <w:tcPr>
            <w:tcW w:w="2551"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11" w:after="0" w:line="240" w:lineRule="auto"/>
              <w:jc w:val="center"/>
              <w:rPr>
                <w:rFonts w:ascii="Times New Roman" w:eastAsia="Times New Roman" w:hAnsi="Times New Roman" w:cs="Times New Roman"/>
                <w:b/>
                <w:bCs/>
                <w:noProof/>
                <w:sz w:val="14"/>
                <w:szCs w:val="14"/>
              </w:rPr>
            </w:pPr>
          </w:p>
          <w:p>
            <w:pPr>
              <w:widowControl w:val="0"/>
              <w:spacing w:after="0" w:line="247" w:lineRule="auto"/>
              <w:ind w:right="89"/>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Recrutement de personnel d'encadrement supérieur (AD et AST)</w:t>
            </w: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30-2015 relative à la nomination d’administrateurs confirmés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3.9.2015</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70"/>
        </w:trPr>
        <w:tc>
          <w:tcPr>
            <w:tcW w:w="1156"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32-2015 relative à la nomination d’assistants confirmés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3.9.2015</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55"/>
        </w:trPr>
        <w:tc>
          <w:tcPr>
            <w:tcW w:w="1156"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1" w:after="0" w:line="254" w:lineRule="auto"/>
              <w:ind w:right="105"/>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31-2015 relative aux procédures de sélection des managers principaux et des directeurs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4.9.2015</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before="10" w:after="0" w:line="240" w:lineRule="auto"/>
        <w:jc w:val="center"/>
        <w:rPr>
          <w:rFonts w:ascii="Times New Roman" w:eastAsia="Times New Roman" w:hAnsi="Times New Roman" w:cs="Times New Roman"/>
          <w:b/>
          <w:bCs/>
          <w:noProof/>
          <w:sz w:val="18"/>
          <w:szCs w:val="18"/>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after="0" w:line="240" w:lineRule="auto"/>
              <w:ind w:right="911"/>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2 - Positions</w:t>
            </w:r>
          </w:p>
        </w:tc>
      </w:tr>
      <w:tr>
        <w:trPr>
          <w:trHeight w:hRule="exact" w:val="379"/>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89" w:after="0" w:line="240" w:lineRule="auto"/>
              <w:ind w:right="911"/>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Section 6 - Congé parental ou familial</w:t>
            </w:r>
          </w:p>
        </w:tc>
      </w:tr>
      <w:tr>
        <w:trPr>
          <w:trHeight w:hRule="exact" w:val="444"/>
        </w:trPr>
        <w:tc>
          <w:tcPr>
            <w:tcW w:w="1156" w:type="dxa"/>
            <w:vMerge w:val="restart"/>
            <w:tcBorders>
              <w:top w:val="single" w:sz="5" w:space="0" w:color="000000"/>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91"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42 </w:t>
            </w:r>
            <w:r>
              <w:rPr>
                <w:rFonts w:ascii="Times New Roman" w:hAnsi="Times New Roman" w:cs="Times New Roman"/>
                <w:b/>
                <w:i/>
                <w:noProof/>
                <w:sz w:val="12"/>
              </w:rPr>
              <w:t>bis</w:t>
            </w:r>
          </w:p>
        </w:tc>
        <w:tc>
          <w:tcPr>
            <w:tcW w:w="2551" w:type="dxa"/>
            <w:vMerge w:val="restart"/>
            <w:tcBorders>
              <w:top w:val="single" w:sz="5"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11"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Congé parental</w:t>
            </w:r>
          </w:p>
        </w:tc>
        <w:tc>
          <w:tcPr>
            <w:tcW w:w="3334"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71" w:after="0" w:line="254" w:lineRule="auto"/>
              <w:ind w:right="62"/>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40-2004 portant dispositions générales d'exécution de l’article 42 </w:t>
            </w:r>
            <w:r>
              <w:rPr>
                <w:rFonts w:ascii="Times New Roman" w:hAnsi="Times New Roman" w:cs="Times New Roman"/>
                <w:i/>
                <w:noProof/>
                <w:spacing w:val="-2"/>
                <w:sz w:val="12"/>
              </w:rPr>
              <w:t>bis</w:t>
            </w:r>
            <w:r>
              <w:rPr>
                <w:rFonts w:ascii="Times New Roman" w:hAnsi="Times New Roman" w:cs="Times New Roman"/>
                <w:noProof/>
                <w:spacing w:val="-2"/>
                <w:sz w:val="12"/>
              </w:rPr>
              <w:t xml:space="preserve"> relatif au congé parental</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2004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3.6.2016</w:t>
            </w:r>
          </w:p>
        </w:tc>
        <w:tc>
          <w:tcPr>
            <w:tcW w:w="914" w:type="dxa"/>
            <w:vMerge w:val="restart"/>
            <w:tcBorders>
              <w:top w:val="single" w:sz="5"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79"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44"/>
        </w:trPr>
        <w:tc>
          <w:tcPr>
            <w:tcW w:w="1156"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334"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4" w:after="0" w:line="254" w:lineRule="auto"/>
              <w:ind w:right="62"/>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31-2016 portant dispositions générales d'exécution de l’article 42 </w:t>
            </w:r>
            <w:r>
              <w:rPr>
                <w:rFonts w:ascii="Times New Roman" w:hAnsi="Times New Roman" w:cs="Times New Roman"/>
                <w:i/>
                <w:noProof/>
                <w:spacing w:val="-2"/>
                <w:sz w:val="12"/>
              </w:rPr>
              <w:t>bis</w:t>
            </w:r>
            <w:r>
              <w:rPr>
                <w:rFonts w:ascii="Times New Roman" w:hAnsi="Times New Roman" w:cs="Times New Roman"/>
                <w:noProof/>
                <w:spacing w:val="-2"/>
                <w:sz w:val="12"/>
              </w:rPr>
              <w:t xml:space="preserve"> relatif au congé parental</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3.6.2016</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r>
    </w:tbl>
    <w:p>
      <w:pPr>
        <w:widowControl w:val="0"/>
        <w:spacing w:before="10" w:after="0" w:line="240" w:lineRule="auto"/>
        <w:jc w:val="center"/>
        <w:rPr>
          <w:rFonts w:ascii="Times New Roman" w:eastAsia="Times New Roman" w:hAnsi="Times New Roman" w:cs="Times New Roman"/>
          <w:b/>
          <w:bCs/>
          <w:noProof/>
          <w:sz w:val="18"/>
          <w:szCs w:val="18"/>
        </w:rPr>
      </w:pPr>
    </w:p>
    <w:p>
      <w:pPr>
        <w:jc w:val="center"/>
        <w:rPr>
          <w:rFonts w:ascii="Times New Roman" w:eastAsia="Times New Roman" w:hAnsi="Times New Roman" w:cs="Times New Roman"/>
          <w:b/>
          <w:bCs/>
          <w:noProof/>
          <w:sz w:val="18"/>
          <w:szCs w:val="18"/>
        </w:rPr>
      </w:pPr>
      <w:r>
        <w:rPr>
          <w:rFonts w:ascii="Times New Roman" w:hAnsi="Times New Roman" w:cs="Times New Roman"/>
          <w:noProof/>
        </w:rPr>
        <w:br w:type="page"/>
      </w:r>
    </w:p>
    <w:tbl>
      <w:tblPr>
        <w:tblW w:w="0" w:type="auto"/>
        <w:tblInd w:w="97" w:type="dxa"/>
        <w:tblLayout w:type="fixed"/>
        <w:tblCellMar>
          <w:left w:w="0" w:type="dxa"/>
          <w:right w:w="0" w:type="dxa"/>
        </w:tblCellMar>
        <w:tblLook w:val="01E0" w:firstRow="1" w:lastRow="1" w:firstColumn="1" w:lastColumn="1" w:noHBand="0" w:noVBand="0"/>
      </w:tblPr>
      <w:tblGrid>
        <w:gridCol w:w="827"/>
        <w:gridCol w:w="2729"/>
        <w:gridCol w:w="3432"/>
        <w:gridCol w:w="1498"/>
        <w:gridCol w:w="1562"/>
        <w:gridCol w:w="1007"/>
      </w:tblGrid>
      <w:tr>
        <w:trPr>
          <w:trHeight w:hRule="exact" w:val="490"/>
        </w:trPr>
        <w:tc>
          <w:tcPr>
            <w:tcW w:w="827" w:type="dxa"/>
            <w:tcBorders>
              <w:top w:val="single" w:sz="7" w:space="0" w:color="000000"/>
              <w:left w:val="single" w:sz="5" w:space="0" w:color="000000"/>
              <w:bottom w:val="single" w:sz="7"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z w:val="19"/>
              </w:rPr>
              <w:t>Article</w:t>
            </w:r>
          </w:p>
        </w:tc>
        <w:tc>
          <w:tcPr>
            <w:tcW w:w="2729" w:type="dxa"/>
            <w:tcBorders>
              <w:top w:val="single" w:sz="7" w:space="0" w:color="000000"/>
              <w:left w:val="single" w:sz="4" w:space="0" w:color="000000"/>
              <w:bottom w:val="single" w:sz="7"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Objet</w:t>
            </w:r>
          </w:p>
        </w:tc>
        <w:tc>
          <w:tcPr>
            <w:tcW w:w="3432" w:type="dxa"/>
            <w:tcBorders>
              <w:top w:val="single" w:sz="7" w:space="0" w:color="000000"/>
              <w:left w:val="single" w:sz="4" w:space="0" w:color="000000"/>
              <w:bottom w:val="single" w:sz="7"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2"/>
                <w:sz w:val="19"/>
              </w:rPr>
              <w:t>Règle d'exécution</w:t>
            </w:r>
          </w:p>
        </w:tc>
        <w:tc>
          <w:tcPr>
            <w:tcW w:w="1498" w:type="dxa"/>
            <w:tcBorders>
              <w:top w:val="single" w:sz="7" w:space="0" w:color="000000"/>
              <w:left w:val="single" w:sz="4" w:space="0" w:color="000000"/>
              <w:bottom w:val="single" w:sz="7"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Entrée en vigueur</w:t>
            </w:r>
          </w:p>
        </w:tc>
        <w:tc>
          <w:tcPr>
            <w:tcW w:w="1562" w:type="dxa"/>
            <w:tcBorders>
              <w:top w:val="single" w:sz="7" w:space="0" w:color="000000"/>
              <w:left w:val="single" w:sz="4" w:space="0" w:color="000000"/>
              <w:bottom w:val="single" w:sz="7" w:space="0" w:color="000000"/>
              <w:right w:val="single" w:sz="4" w:space="0" w:color="000000"/>
            </w:tcBorders>
            <w:shd w:val="clear" w:color="auto" w:fill="DAEEF3"/>
          </w:tcPr>
          <w:p>
            <w:pPr>
              <w:widowControl w:val="0"/>
              <w:spacing w:before="13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z w:val="19"/>
              </w:rPr>
              <w:t>Date d’expiration</w:t>
            </w:r>
          </w:p>
        </w:tc>
        <w:tc>
          <w:tcPr>
            <w:tcW w:w="1007" w:type="dxa"/>
            <w:tcBorders>
              <w:top w:val="single" w:sz="7" w:space="0" w:color="000000"/>
              <w:left w:val="single" w:sz="4" w:space="0" w:color="000000"/>
              <w:bottom w:val="single" w:sz="7" w:space="0" w:color="000000"/>
              <w:right w:val="single" w:sz="7" w:space="0" w:color="000000"/>
            </w:tcBorders>
            <w:shd w:val="clear" w:color="auto" w:fill="DAEEF3"/>
          </w:tcPr>
          <w:p>
            <w:pPr>
              <w:widowControl w:val="0"/>
              <w:spacing w:before="126"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7"/>
        <w:gridCol w:w="2551"/>
        <w:gridCol w:w="3334"/>
        <w:gridCol w:w="1322"/>
        <w:gridCol w:w="1687"/>
        <w:gridCol w:w="914"/>
      </w:tblGrid>
      <w:tr>
        <w:trPr>
          <w:trHeight w:hRule="exact" w:val="370"/>
        </w:trPr>
        <w:tc>
          <w:tcPr>
            <w:tcW w:w="1157"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42 </w:t>
            </w:r>
            <w:r>
              <w:rPr>
                <w:rFonts w:ascii="Times New Roman" w:hAnsi="Times New Roman" w:cs="Times New Roman"/>
                <w:b/>
                <w:i/>
                <w:noProof/>
                <w:sz w:val="12"/>
              </w:rPr>
              <w:t>ter</w:t>
            </w:r>
          </w:p>
        </w:tc>
        <w:tc>
          <w:tcPr>
            <w:tcW w:w="2551" w:type="dxa"/>
            <w:vMerge w:val="restart"/>
            <w:tcBorders>
              <w:top w:val="single" w:sz="3" w:space="0" w:color="000000"/>
              <w:left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b/>
                <w:bCs/>
                <w:noProof/>
                <w:sz w:val="19"/>
                <w:szCs w:val="19"/>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Congé familial</w:t>
            </w: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56-2004 sur l’article 42 </w:t>
            </w:r>
            <w:r>
              <w:rPr>
                <w:rFonts w:ascii="Times New Roman" w:hAnsi="Times New Roman" w:cs="Times New Roman"/>
                <w:i/>
                <w:noProof/>
                <w:spacing w:val="-2"/>
                <w:sz w:val="12"/>
              </w:rPr>
              <w:t>ter</w:t>
            </w:r>
            <w:r>
              <w:rPr>
                <w:rFonts w:ascii="Times New Roman" w:hAnsi="Times New Roman" w:cs="Times New Roman"/>
                <w:noProof/>
                <w:spacing w:val="-2"/>
                <w:sz w:val="12"/>
              </w:rPr>
              <w:t xml:space="preserve"> relatif au congé familial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2004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3.6.2016</w:t>
            </w:r>
          </w:p>
        </w:tc>
        <w:tc>
          <w:tcPr>
            <w:tcW w:w="914"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2"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262"/>
        </w:trPr>
        <w:tc>
          <w:tcPr>
            <w:tcW w:w="1157"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32-2016 sur l’article 42 </w:t>
            </w:r>
            <w:r>
              <w:rPr>
                <w:rFonts w:ascii="Times New Roman" w:hAnsi="Times New Roman" w:cs="Times New Roman"/>
                <w:i/>
                <w:noProof/>
                <w:spacing w:val="-2"/>
                <w:sz w:val="12"/>
              </w:rPr>
              <w:t>ter</w:t>
            </w:r>
            <w:r>
              <w:rPr>
                <w:rFonts w:ascii="Times New Roman" w:hAnsi="Times New Roman" w:cs="Times New Roman"/>
                <w:noProof/>
                <w:spacing w:val="-2"/>
                <w:sz w:val="12"/>
              </w:rPr>
              <w:t xml:space="preserve"> relatif au congé familial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3.6.2016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44"/>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1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3 - Notation, avancement d'échelon et promotion</w:t>
            </w:r>
          </w:p>
        </w:tc>
      </w:tr>
      <w:tr>
        <w:trPr>
          <w:trHeight w:hRule="exact" w:val="761"/>
        </w:trPr>
        <w:tc>
          <w:tcPr>
            <w:tcW w:w="1156" w:type="dxa"/>
            <w:tcBorders>
              <w:top w:val="single" w:sz="5" w:space="0" w:color="000000"/>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551" w:type="dxa"/>
            <w:tcBorders>
              <w:top w:val="single" w:sz="5" w:space="0" w:color="000000"/>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334"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92" w:after="0" w:line="254" w:lineRule="auto"/>
              <w:ind w:right="24"/>
              <w:jc w:val="center"/>
              <w:rPr>
                <w:rFonts w:ascii="Times New Roman" w:eastAsia="Times New Roman" w:hAnsi="Times New Roman" w:cs="Times New Roman"/>
                <w:noProof/>
                <w:sz w:val="12"/>
                <w:szCs w:val="12"/>
              </w:rPr>
            </w:pPr>
            <w:r>
              <w:rPr>
                <w:rFonts w:ascii="Times New Roman" w:hAnsi="Times New Roman" w:cs="Times New Roman"/>
                <w:noProof/>
                <w:sz w:val="12"/>
              </w:rPr>
              <w:t>Décision 23-2011 de la Cour relative aux rapports d'évaluation des compétences de gestion des chefs d’unité et des directeurs qui sont des fonctionnaires titulaires</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6"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28.3.2011</w:t>
            </w:r>
          </w:p>
        </w:tc>
        <w:tc>
          <w:tcPr>
            <w:tcW w:w="1687"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41"/>
        </w:trPr>
        <w:tc>
          <w:tcPr>
            <w:tcW w:w="1156" w:type="dxa"/>
            <w:vMerge w:val="restart"/>
            <w:tcBorders>
              <w:top w:val="nil"/>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0"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2"/>
                <w:sz w:val="12"/>
              </w:rPr>
              <w:t>Art. 43</w:t>
            </w:r>
          </w:p>
        </w:tc>
        <w:tc>
          <w:tcPr>
            <w:tcW w:w="2551" w:type="dxa"/>
            <w:vMerge w:val="restart"/>
            <w:tcBorders>
              <w:top w:val="nil"/>
              <w:left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b/>
                <w:bCs/>
                <w:noProof/>
                <w:sz w:val="18"/>
                <w:szCs w:val="18"/>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Rapport annuel</w:t>
            </w:r>
          </w:p>
        </w:tc>
        <w:tc>
          <w:tcPr>
            <w:tcW w:w="3334"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5"/>
                <w:szCs w:val="15"/>
              </w:rPr>
            </w:pPr>
          </w:p>
          <w:p>
            <w:pPr>
              <w:widowControl w:val="0"/>
              <w:spacing w:after="0" w:line="254" w:lineRule="auto"/>
              <w:ind w:right="62"/>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12-2012 portant dispositions générales d’exécution de l’article 43</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5"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9.2.2012</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5"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9.10.2014</w:t>
            </w:r>
          </w:p>
        </w:tc>
        <w:tc>
          <w:tcPr>
            <w:tcW w:w="914" w:type="dxa"/>
            <w:vMerge w:val="restart"/>
            <w:tcBorders>
              <w:top w:val="single" w:sz="3"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811"/>
        </w:trPr>
        <w:tc>
          <w:tcPr>
            <w:tcW w:w="1156"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334"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6" w:after="0" w:line="254" w:lineRule="auto"/>
              <w:ind w:right="62"/>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39-2014 portant dispositions générales d’exécution des articles 43, 44, premier alinéa, et 52 - Procédure d'évaluation périodique du personnel - COMPASS - «</w:t>
            </w:r>
            <w:r>
              <w:rPr>
                <w:rFonts w:ascii="Times New Roman" w:hAnsi="Times New Roman" w:cs="Times New Roman"/>
                <w:i/>
                <w:noProof/>
                <w:spacing w:val="-2"/>
                <w:sz w:val="12"/>
              </w:rPr>
              <w:t>Competence and performance appraisal system</w:t>
            </w:r>
            <w:r>
              <w:rPr>
                <w:rFonts w:ascii="Times New Roman" w:hAnsi="Times New Roman" w:cs="Times New Roman"/>
                <w:noProof/>
                <w:spacing w:val="-2"/>
                <w:sz w:val="12"/>
              </w:rPr>
              <w:t>» - Procédures de traitement de l'insuffisance professionnelle</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7"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9.10.2014</w:t>
            </w:r>
          </w:p>
        </w:tc>
        <w:tc>
          <w:tcPr>
            <w:tcW w:w="1687"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vMerge/>
            <w:tcBorders>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r>
      <w:tr>
        <w:trPr>
          <w:trHeight w:hRule="exact" w:val="847"/>
        </w:trPr>
        <w:tc>
          <w:tcPr>
            <w:tcW w:w="1156"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3"/>
                <w:szCs w:val="13"/>
              </w:rPr>
            </w:pPr>
          </w:p>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cs="Times New Roman"/>
                <w:b/>
                <w:noProof/>
                <w:sz w:val="12"/>
              </w:rPr>
              <w:t>44 (1)</w:t>
            </w:r>
          </w:p>
        </w:tc>
        <w:tc>
          <w:tcPr>
            <w:tcW w:w="2551"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23"/>
                <w:szCs w:val="2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Avancement d'échelon</w:t>
            </w:r>
          </w:p>
        </w:tc>
        <w:tc>
          <w:tcPr>
            <w:tcW w:w="3334"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7" w:after="0" w:line="254" w:lineRule="auto"/>
              <w:ind w:right="62"/>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39-2014 portant dispositions générales d’exécution des articles 43, 44, premier alinéa, et 52 - Procédure d'évaluation périodique du personnel - COMPASS - «</w:t>
            </w:r>
            <w:r>
              <w:rPr>
                <w:rFonts w:ascii="Times New Roman" w:hAnsi="Times New Roman" w:cs="Times New Roman"/>
                <w:i/>
                <w:noProof/>
                <w:spacing w:val="-2"/>
                <w:sz w:val="12"/>
              </w:rPr>
              <w:t>Competence and performance appraisal system</w:t>
            </w:r>
            <w:r>
              <w:rPr>
                <w:rFonts w:ascii="Times New Roman" w:hAnsi="Times New Roman" w:cs="Times New Roman"/>
                <w:noProof/>
                <w:spacing w:val="-2"/>
                <w:sz w:val="12"/>
              </w:rPr>
              <w:t>» - Procédures de traitement de l'insuffisance professionnelle</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9"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9.10.2014</w:t>
            </w:r>
          </w:p>
        </w:tc>
        <w:tc>
          <w:tcPr>
            <w:tcW w:w="1687"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r>
      <w:tr>
        <w:trPr>
          <w:trHeight w:hRule="exact" w:val="391"/>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45</w:t>
            </w:r>
          </w:p>
        </w:tc>
        <w:tc>
          <w:tcPr>
            <w:tcW w:w="255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1"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Promotions</w:t>
            </w: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53-2014 relative aux promotions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11.12.2014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50"/>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2"/>
                <w:sz w:val="12"/>
              </w:rPr>
              <w:t>Art. 45</w:t>
            </w:r>
            <w:r>
              <w:rPr>
                <w:rFonts w:ascii="Times New Roman" w:hAnsi="Times New Roman" w:cs="Times New Roman"/>
                <w:b/>
                <w:i/>
                <w:noProof/>
                <w:spacing w:val="-2"/>
                <w:sz w:val="12"/>
              </w:rPr>
              <w:t xml:space="preserve"> bis</w:t>
            </w:r>
          </w:p>
        </w:tc>
        <w:tc>
          <w:tcPr>
            <w:tcW w:w="255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Certification</w:t>
            </w: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5" w:after="0" w:line="254" w:lineRule="auto"/>
              <w:ind w:right="64"/>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30-2016 portant modalités d’exécution de l’article 45 </w:t>
            </w:r>
            <w:r>
              <w:rPr>
                <w:rFonts w:ascii="Times New Roman" w:hAnsi="Times New Roman" w:cs="Times New Roman"/>
                <w:i/>
                <w:noProof/>
                <w:spacing w:val="-2"/>
                <w:sz w:val="12"/>
              </w:rPr>
              <w:t>bis</w:t>
            </w:r>
            <w:r>
              <w:rPr>
                <w:rFonts w:ascii="Times New Roman" w:hAnsi="Times New Roman" w:cs="Times New Roman"/>
                <w:noProof/>
                <w:spacing w:val="-2"/>
                <w:sz w:val="12"/>
              </w:rPr>
              <w:t xml:space="preserve"> (procédure de certification pour le passage d'un groupe de fonctions à un autre)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30.6.2016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4"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4 - Cessation définitive des fonctions</w:t>
            </w:r>
          </w:p>
        </w:tc>
      </w:tr>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Section 4 - Procédures de traitement de l’insuffisance professionnelle</w:t>
            </w:r>
          </w:p>
        </w:tc>
      </w:tr>
      <w:tr>
        <w:trPr>
          <w:trHeight w:hRule="exact" w:val="370"/>
        </w:trPr>
        <w:tc>
          <w:tcPr>
            <w:tcW w:w="1156" w:type="dxa"/>
            <w:tcBorders>
              <w:top w:val="single" w:sz="5" w:space="0" w:color="000000"/>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551" w:type="dxa"/>
            <w:tcBorders>
              <w:top w:val="single" w:sz="5" w:space="0" w:color="000000"/>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334"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40-2007 sur le maintien du niveau des prestations professionnelles</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5.7.2007</w:t>
            </w:r>
          </w:p>
        </w:tc>
        <w:tc>
          <w:tcPr>
            <w:tcW w:w="1687"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7"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9.10.2014</w:t>
            </w:r>
          </w:p>
        </w:tc>
        <w:tc>
          <w:tcPr>
            <w:tcW w:w="914" w:type="dxa"/>
            <w:tcBorders>
              <w:top w:val="single" w:sz="5" w:space="0" w:color="000000"/>
              <w:left w:val="single" w:sz="3" w:space="0" w:color="000000"/>
              <w:bottom w:val="nil"/>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r>
      <w:tr>
        <w:trPr>
          <w:trHeight w:hRule="exact" w:val="814"/>
        </w:trPr>
        <w:tc>
          <w:tcPr>
            <w:tcW w:w="1156" w:type="dxa"/>
            <w:tcBorders>
              <w:top w:val="nil"/>
              <w:left w:val="single" w:sz="4"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b/>
                <w:bCs/>
                <w:noProof/>
                <w:sz w:val="13"/>
                <w:szCs w:val="13"/>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2"/>
                <w:sz w:val="12"/>
              </w:rPr>
              <w:t>Art. 51</w:t>
            </w:r>
          </w:p>
        </w:tc>
        <w:tc>
          <w:tcPr>
            <w:tcW w:w="2551" w:type="dxa"/>
            <w:tcBorders>
              <w:top w:val="nil"/>
              <w:left w:val="single" w:sz="3" w:space="0" w:color="000000"/>
              <w:bottom w:val="single" w:sz="3" w:space="0" w:color="000000"/>
              <w:right w:val="single" w:sz="3" w:space="0" w:color="000000"/>
            </w:tcBorders>
            <w:shd w:val="clear" w:color="auto" w:fill="FFFF65"/>
          </w:tcPr>
          <w:p>
            <w:pPr>
              <w:widowControl w:val="0"/>
              <w:spacing w:before="12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95"/>
                <w:sz w:val="16"/>
              </w:rPr>
              <w:t>Insuffisance professionnelle</w:t>
            </w:r>
          </w:p>
        </w:tc>
        <w:tc>
          <w:tcPr>
            <w:tcW w:w="3334"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54" w:lineRule="auto"/>
              <w:ind w:right="62"/>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39-2014 portant dispositions générales d’exécution des articles 43, 44, premier alinéa, et 52 - Procédure d'évaluation périodique du personnel - COMPASS - «</w:t>
            </w:r>
            <w:r>
              <w:rPr>
                <w:rFonts w:ascii="Times New Roman" w:hAnsi="Times New Roman" w:cs="Times New Roman"/>
                <w:i/>
                <w:noProof/>
                <w:spacing w:val="-2"/>
                <w:sz w:val="12"/>
              </w:rPr>
              <w:t>Competence and performance appraisal system</w:t>
            </w:r>
            <w:r>
              <w:rPr>
                <w:rFonts w:ascii="Times New Roman" w:hAnsi="Times New Roman" w:cs="Times New Roman"/>
                <w:noProof/>
                <w:spacing w:val="-2"/>
                <w:sz w:val="12"/>
              </w:rPr>
              <w:t>» - Procédures de traitement de l'insuffisance professionnelle</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1"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9.10.2014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tcBorders>
              <w:top w:val="nil"/>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9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108"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IV - Des conditions de travail du fonctionnaire</w:t>
            </w:r>
          </w:p>
        </w:tc>
      </w:tr>
      <w:tr>
        <w:trPr>
          <w:trHeight w:hRule="exact" w:val="43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04" w:after="0" w:line="240" w:lineRule="auto"/>
              <w:ind w:right="912"/>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1 - Durée du travail</w:t>
            </w:r>
          </w:p>
        </w:tc>
      </w:tr>
      <w:tr>
        <w:trPr>
          <w:trHeight w:hRule="exact" w:val="396"/>
        </w:trPr>
        <w:tc>
          <w:tcPr>
            <w:tcW w:w="1156"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55 </w:t>
            </w:r>
            <w:r>
              <w:rPr>
                <w:rFonts w:ascii="Times New Roman" w:hAnsi="Times New Roman" w:cs="Times New Roman"/>
                <w:b/>
                <w:i/>
                <w:noProof/>
                <w:sz w:val="12"/>
              </w:rPr>
              <w:t>bis</w:t>
            </w:r>
            <w:r>
              <w:rPr>
                <w:rFonts w:ascii="Times New Roman" w:hAnsi="Times New Roman" w:cs="Times New Roman"/>
                <w:b/>
                <w:noProof/>
                <w:sz w:val="12"/>
              </w:rPr>
              <w:t xml:space="preserve"> + annexe IV </w:t>
            </w:r>
            <w:r>
              <w:rPr>
                <w:rFonts w:ascii="Times New Roman" w:hAnsi="Times New Roman" w:cs="Times New Roman"/>
                <w:b/>
                <w:i/>
                <w:noProof/>
                <w:sz w:val="12"/>
              </w:rPr>
              <w:t>bis</w:t>
            </w:r>
          </w:p>
        </w:tc>
        <w:tc>
          <w:tcPr>
            <w:tcW w:w="2551"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1"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Travail à temps partiel</w:t>
            </w:r>
          </w:p>
        </w:tc>
        <w:tc>
          <w:tcPr>
            <w:tcW w:w="3334"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7" w:after="0" w:line="254" w:lineRule="auto"/>
              <w:ind w:right="103"/>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23-2014 portant modalités d’exécution de l’article 55 </w:t>
            </w:r>
            <w:r>
              <w:rPr>
                <w:rFonts w:ascii="Times New Roman" w:hAnsi="Times New Roman" w:cs="Times New Roman"/>
                <w:i/>
                <w:noProof/>
                <w:spacing w:val="-2"/>
                <w:sz w:val="12"/>
              </w:rPr>
              <w:t>bis</w:t>
            </w:r>
            <w:r>
              <w:rPr>
                <w:rFonts w:ascii="Times New Roman" w:hAnsi="Times New Roman" w:cs="Times New Roman"/>
                <w:noProof/>
                <w:spacing w:val="-2"/>
                <w:sz w:val="12"/>
              </w:rPr>
              <w:t xml:space="preserve"> et de l’annexe IV </w:t>
            </w:r>
            <w:r>
              <w:rPr>
                <w:rFonts w:ascii="Times New Roman" w:hAnsi="Times New Roman" w:cs="Times New Roman"/>
                <w:i/>
                <w:noProof/>
                <w:spacing w:val="-2"/>
                <w:sz w:val="12"/>
              </w:rPr>
              <w:t>bis</w:t>
            </w:r>
            <w:r>
              <w:rPr>
                <w:rFonts w:ascii="Times New Roman" w:hAnsi="Times New Roman" w:cs="Times New Roman"/>
                <w:noProof/>
                <w:spacing w:val="-2"/>
                <w:sz w:val="12"/>
              </w:rPr>
              <w:t xml:space="preserve"> du statut relatifs au travail à temps partiel</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55"/>
        </w:trPr>
        <w:tc>
          <w:tcPr>
            <w:tcW w:w="1156"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2"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Télétravail</w:t>
            </w: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1" w:after="0" w:line="254" w:lineRule="auto"/>
              <w:ind w:right="72"/>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2-2015 relative à la mise en œuvre du télétravail pour les auditeurs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15.1.2015</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60"/>
        </w:trPr>
        <w:tc>
          <w:tcPr>
            <w:tcW w:w="1156"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1"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56 + annexe VI</w:t>
            </w:r>
          </w:p>
        </w:tc>
        <w:tc>
          <w:tcPr>
            <w:tcW w:w="2551"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3"/>
                <w:sz w:val="16"/>
              </w:rPr>
              <w:t>Heures supplémentaires</w:t>
            </w: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3" w:after="0" w:line="254" w:lineRule="auto"/>
              <w:ind w:right="120"/>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27-2015 relative aux prestations pour les secrétaires travaillant directement pour les membres de la Cour des comptes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4"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242"/>
        </w:trPr>
        <w:tc>
          <w:tcPr>
            <w:tcW w:w="1156"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48-2009 relative aux heures prestées par les chauffeurs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20.4.2009</w:t>
            </w:r>
          </w:p>
        </w:tc>
        <w:tc>
          <w:tcPr>
            <w:tcW w:w="1687" w:type="dxa"/>
            <w:tcBorders>
              <w:top w:val="single" w:sz="3" w:space="0" w:color="000000"/>
              <w:left w:val="single" w:sz="3" w:space="0" w:color="000000"/>
              <w:bottom w:val="single" w:sz="3" w:space="0" w:color="000000"/>
              <w:right w:val="single" w:sz="4" w:space="0" w:color="000000"/>
            </w:tcBorders>
            <w:shd w:val="clear" w:color="auto" w:fill="DA9694"/>
          </w:tcPr>
          <w:p>
            <w:pPr>
              <w:widowControl w:val="0"/>
              <w:spacing w:before="47"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1.9.2016</w:t>
            </w:r>
          </w:p>
        </w:tc>
        <w:tc>
          <w:tcPr>
            <w:tcW w:w="914" w:type="dxa"/>
            <w:vMerge w:val="restart"/>
            <w:tcBorders>
              <w:top w:val="single" w:sz="4" w:space="0" w:color="000000"/>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26"/>
        </w:trPr>
        <w:tc>
          <w:tcPr>
            <w:tcW w:w="1156"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6" w:after="0" w:line="254" w:lineRule="auto"/>
              <w:ind w:right="268"/>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46-2016 relative au paiement pour les conditions de travail particulières (article 3 de l’annexe VI)</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1.9.2016</w:t>
            </w:r>
          </w:p>
        </w:tc>
        <w:tc>
          <w:tcPr>
            <w:tcW w:w="1687" w:type="dxa"/>
            <w:tcBorders>
              <w:top w:val="single" w:sz="3" w:space="0" w:color="000000"/>
              <w:left w:val="single" w:sz="3" w:space="0" w:color="000000"/>
              <w:bottom w:val="single" w:sz="3" w:space="0" w:color="000000"/>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vMerge/>
            <w:tcBorders>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01"/>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0" w:after="0" w:line="240" w:lineRule="auto"/>
              <w:ind w:right="914"/>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2 - Congés</w:t>
            </w:r>
          </w:p>
        </w:tc>
      </w:tr>
      <w:tr>
        <w:trPr>
          <w:trHeight w:hRule="exact" w:val="252"/>
        </w:trPr>
        <w:tc>
          <w:tcPr>
            <w:tcW w:w="1156"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52"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57 + annexe V</w:t>
            </w:r>
          </w:p>
        </w:tc>
        <w:tc>
          <w:tcPr>
            <w:tcW w:w="2551"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2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Congés annuels et congés spéciaux</w:t>
            </w:r>
          </w:p>
        </w:tc>
        <w:tc>
          <w:tcPr>
            <w:tcW w:w="3334"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Communication au personnel 44/2014 - Guide des congés</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16.10.2014</w:t>
            </w:r>
          </w:p>
        </w:tc>
        <w:tc>
          <w:tcPr>
            <w:tcW w:w="1687"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14"/>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b/>
                <w:bCs/>
                <w:noProof/>
                <w:sz w:val="16"/>
                <w:szCs w:val="16"/>
              </w:rPr>
            </w:pPr>
          </w:p>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cs="Times New Roman"/>
                <w:b/>
                <w:noProof/>
                <w:sz w:val="12"/>
              </w:rPr>
              <w:t>59 (6)</w:t>
            </w:r>
          </w:p>
        </w:tc>
        <w:tc>
          <w:tcPr>
            <w:tcW w:w="255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Visite médicale annuelle</w:t>
            </w: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9"/>
                <w:szCs w:val="9"/>
              </w:rPr>
            </w:pPr>
          </w:p>
          <w:p>
            <w:pPr>
              <w:widowControl w:val="0"/>
              <w:spacing w:after="0" w:line="254" w:lineRule="auto"/>
              <w:ind w:right="28"/>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53-2016 relative aux examens ophtalmologiques effectués dans le cadre d’une politique de médecine préventive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28.6.2016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Calibri" w:hAnsi="Times New Roman" w:cs="Times New Roman"/>
          <w:noProof/>
          <w:sz w:val="13"/>
          <w:szCs w:val="13"/>
        </w:rPr>
        <w:sectPr>
          <w:headerReference w:type="even" r:id="rId75"/>
          <w:headerReference w:type="default" r:id="rId76"/>
          <w:footerReference w:type="even" r:id="rId77"/>
          <w:footerReference w:type="default" r:id="rId78"/>
          <w:headerReference w:type="first" r:id="rId79"/>
          <w:footerReference w:type="first" r:id="rId80"/>
          <w:pgSz w:w="11900" w:h="16840" w:code="9"/>
          <w:pgMar w:top="960" w:right="480" w:bottom="280" w:left="220" w:header="777" w:footer="0" w:gutter="0"/>
          <w:cols w:space="720"/>
        </w:sectPr>
      </w:pPr>
    </w:p>
    <w:tbl>
      <w:tblPr>
        <w:tblW w:w="0" w:type="auto"/>
        <w:tblInd w:w="112" w:type="dxa"/>
        <w:tblLayout w:type="fixed"/>
        <w:tblCellMar>
          <w:left w:w="0" w:type="dxa"/>
          <w:right w:w="0" w:type="dxa"/>
        </w:tblCellMar>
        <w:tblLook w:val="01E0" w:firstRow="1" w:lastRow="1" w:firstColumn="1" w:lastColumn="1" w:noHBand="0" w:noVBand="0"/>
      </w:tblPr>
      <w:tblGrid>
        <w:gridCol w:w="1157"/>
        <w:gridCol w:w="2551"/>
        <w:gridCol w:w="3334"/>
        <w:gridCol w:w="1322"/>
        <w:gridCol w:w="1687"/>
        <w:gridCol w:w="914"/>
      </w:tblGrid>
      <w:tr>
        <w:trPr>
          <w:trHeight w:hRule="exact" w:val="425"/>
        </w:trPr>
        <w:tc>
          <w:tcPr>
            <w:tcW w:w="1157"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Article</w:t>
            </w:r>
          </w:p>
        </w:tc>
        <w:tc>
          <w:tcPr>
            <w:tcW w:w="2551"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Objet</w:t>
            </w:r>
          </w:p>
        </w:tc>
        <w:tc>
          <w:tcPr>
            <w:tcW w:w="3334"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Règle d'exécution</w:t>
            </w:r>
          </w:p>
        </w:tc>
        <w:tc>
          <w:tcPr>
            <w:tcW w:w="13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Entrée en vigueur</w:t>
            </w:r>
          </w:p>
        </w:tc>
        <w:tc>
          <w:tcPr>
            <w:tcW w:w="1687"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Date d’expiration</w:t>
            </w:r>
          </w:p>
        </w:tc>
        <w:tc>
          <w:tcPr>
            <w:tcW w:w="914"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44"/>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86"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V + annexe VII - Du régime pécuniaire et des avantages sociaux du fonctionnaire</w:t>
            </w:r>
          </w:p>
        </w:tc>
      </w:tr>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z w:val="18"/>
              </w:rPr>
              <w:t>Chapitre 1 - Rémunération et remboursement de frais</w:t>
            </w:r>
          </w:p>
        </w:tc>
      </w:tr>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5"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Annexe VII - Règles relatives à la rémunération et aux remboursements de frais</w:t>
            </w:r>
          </w:p>
        </w:tc>
      </w:tr>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5" w:after="0" w:line="240" w:lineRule="auto"/>
              <w:ind w:right="916"/>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Section 1 - Allocations familiales</w:t>
            </w:r>
          </w:p>
        </w:tc>
      </w:tr>
      <w:tr>
        <w:trPr>
          <w:trHeight w:hRule="exact" w:val="490"/>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98"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z w:val="12"/>
              </w:rPr>
              <w:t>67 - 68 + annexe VII</w:t>
            </w:r>
          </w:p>
          <w:p>
            <w:pPr>
              <w:widowControl w:val="0"/>
              <w:spacing w:before="8"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(art. 3)</w:t>
            </w:r>
          </w:p>
        </w:tc>
        <w:tc>
          <w:tcPr>
            <w:tcW w:w="255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95"/>
                <w:sz w:val="16"/>
              </w:rPr>
              <w:t>Allocation scolaire</w:t>
            </w:r>
          </w:p>
        </w:tc>
        <w:tc>
          <w:tcPr>
            <w:tcW w:w="3334"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5" w:after="0" w:line="254" w:lineRule="auto"/>
              <w:ind w:right="30"/>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4-2014 portant dispositions générales d'exécution relatives à l'octroi de l'allocation scolaire</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5" w:after="0" w:line="240" w:lineRule="auto"/>
              <w:ind w:right="912"/>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Section 2 - Remboursement de frais</w:t>
            </w:r>
          </w:p>
        </w:tc>
      </w:tr>
      <w:tr>
        <w:trPr>
          <w:trHeight w:hRule="exact" w:val="370"/>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38" w:after="0" w:line="254" w:lineRule="auto"/>
              <w:ind w:right="55"/>
              <w:jc w:val="center"/>
              <w:rPr>
                <w:rFonts w:ascii="Times New Roman" w:eastAsia="Times New Roman" w:hAnsi="Times New Roman" w:cs="Times New Roman"/>
                <w:noProof/>
                <w:sz w:val="12"/>
                <w:szCs w:val="12"/>
              </w:rPr>
            </w:pPr>
            <w:r>
              <w:rPr>
                <w:rFonts w:ascii="Times New Roman" w:hAnsi="Times New Roman" w:cs="Times New Roman"/>
                <w:b/>
                <w:noProof/>
                <w:sz w:val="12"/>
              </w:rPr>
              <w:t>71 + annexe VII (art. 7 - 8)</w:t>
            </w:r>
          </w:p>
        </w:tc>
        <w:tc>
          <w:tcPr>
            <w:tcW w:w="255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Frais de voyage</w:t>
            </w:r>
          </w:p>
        </w:tc>
        <w:tc>
          <w:tcPr>
            <w:tcW w:w="3334"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5" w:after="0" w:line="254" w:lineRule="auto"/>
              <w:ind w:right="16"/>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2-2014 portant dispositions générales d’exécution de l’article 8 de l'annexe VII</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71"/>
        </w:trPr>
        <w:tc>
          <w:tcPr>
            <w:tcW w:w="1156"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81" w:after="0" w:line="254" w:lineRule="auto"/>
              <w:ind w:right="55"/>
              <w:jc w:val="center"/>
              <w:rPr>
                <w:rFonts w:ascii="Times New Roman" w:eastAsia="Times New Roman" w:hAnsi="Times New Roman" w:cs="Times New Roman"/>
                <w:noProof/>
                <w:sz w:val="12"/>
                <w:szCs w:val="12"/>
              </w:rPr>
            </w:pPr>
            <w:r>
              <w:rPr>
                <w:rFonts w:ascii="Times New Roman" w:hAnsi="Times New Roman" w:cs="Times New Roman"/>
                <w:b/>
                <w:noProof/>
                <w:sz w:val="12"/>
              </w:rPr>
              <w:t>71 + annexe VII (art. 8)</w:t>
            </w:r>
          </w:p>
        </w:tc>
        <w:tc>
          <w:tcPr>
            <w:tcW w:w="2551"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33"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Lieu d’origine</w:t>
            </w:r>
          </w:p>
        </w:tc>
        <w:tc>
          <w:tcPr>
            <w:tcW w:w="3334"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9" w:after="0" w:line="254" w:lineRule="auto"/>
              <w:ind w:right="11"/>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3-2014 portant dispositions générales d’exécution de l’article 7, paragraphe 4, de l'annexe VII relatif à la fixation du lieu d'origine</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379"/>
        </w:trPr>
        <w:tc>
          <w:tcPr>
            <w:tcW w:w="1156"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45" w:after="0" w:line="254" w:lineRule="auto"/>
              <w:ind w:right="55"/>
              <w:jc w:val="center"/>
              <w:rPr>
                <w:rFonts w:ascii="Times New Roman" w:eastAsia="Times New Roman" w:hAnsi="Times New Roman" w:cs="Times New Roman"/>
                <w:noProof/>
                <w:sz w:val="12"/>
                <w:szCs w:val="12"/>
              </w:rPr>
            </w:pPr>
            <w:r>
              <w:rPr>
                <w:rFonts w:ascii="Times New Roman" w:hAnsi="Times New Roman" w:cs="Times New Roman"/>
                <w:b/>
                <w:noProof/>
                <w:sz w:val="12"/>
              </w:rPr>
              <w:t>71 + annexe VII (art. 9)</w:t>
            </w:r>
          </w:p>
        </w:tc>
        <w:tc>
          <w:tcPr>
            <w:tcW w:w="2551"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4"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Frais de déménagement</w:t>
            </w:r>
          </w:p>
        </w:tc>
        <w:tc>
          <w:tcPr>
            <w:tcW w:w="3334"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3" w:after="0" w:line="254" w:lineRule="auto"/>
              <w:ind w:right="119"/>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5-2014 portant dispositions générales d’exécution relatives aux frais de déménagement</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370"/>
        </w:trPr>
        <w:tc>
          <w:tcPr>
            <w:tcW w:w="1156"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40" w:after="0" w:line="254" w:lineRule="auto"/>
              <w:ind w:right="38"/>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 xml:space="preserve">71 + annexe VII (art. 11 - 13 </w:t>
            </w:r>
            <w:r>
              <w:rPr>
                <w:rFonts w:ascii="Times New Roman" w:hAnsi="Times New Roman" w:cs="Times New Roman"/>
                <w:b/>
                <w:i/>
                <w:noProof/>
                <w:spacing w:val="-1"/>
                <w:sz w:val="12"/>
              </w:rPr>
              <w:t>bis</w:t>
            </w:r>
            <w:r>
              <w:rPr>
                <w:rFonts w:ascii="Times New Roman" w:hAnsi="Times New Roman" w:cs="Times New Roman"/>
                <w:b/>
                <w:noProof/>
                <w:spacing w:val="-1"/>
                <w:sz w:val="12"/>
              </w:rPr>
              <w:t>)</w:t>
            </w:r>
          </w:p>
        </w:tc>
        <w:tc>
          <w:tcPr>
            <w:tcW w:w="2551"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Frais de mission et de déplacement</w:t>
            </w:r>
          </w:p>
        </w:tc>
        <w:tc>
          <w:tcPr>
            <w:tcW w:w="3334"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38" w:after="0" w:line="254" w:lineRule="auto"/>
              <w:ind w:right="62"/>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60-2004 portant dispositions générales d'exécution relatives au remboursement des frais médicaux</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1.9.2004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p>
      <w:pPr>
        <w:widowControl w:val="0"/>
        <w:spacing w:before="4" w:after="0" w:line="240" w:lineRule="auto"/>
        <w:jc w:val="center"/>
        <w:rPr>
          <w:rFonts w:ascii="Times New Roman" w:eastAsia="Times New Roman" w:hAnsi="Times New Roman" w:cs="Times New Roman"/>
          <w:b/>
          <w:bCs/>
          <w:noProof/>
          <w:sz w:val="11"/>
          <w:szCs w:val="11"/>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z w:val="18"/>
              </w:rPr>
              <w:t>Chapitre 3 + annexe VIII - Pensions et allocation d’invalidité</w:t>
            </w:r>
          </w:p>
        </w:tc>
      </w:tr>
      <w:tr>
        <w:trPr>
          <w:trHeight w:hRule="exact" w:val="564"/>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88" w:after="0" w:line="254" w:lineRule="auto"/>
              <w:ind w:right="62"/>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77 + annexe VIII (art. 11 - 12)</w:t>
            </w:r>
          </w:p>
        </w:tc>
        <w:tc>
          <w:tcPr>
            <w:tcW w:w="255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40"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Transfert des droits à pension</w:t>
            </w:r>
          </w:p>
        </w:tc>
        <w:tc>
          <w:tcPr>
            <w:tcW w:w="3334"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6" w:after="0" w:line="254" w:lineRule="auto"/>
              <w:ind w:right="93"/>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69-2011 portant dispositions générales d'exécution des articles 11 et 12 de l'annexe VIII du statut relatifs au transfert de droits à pension</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30.11.2011</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Calibri" w:hAnsi="Times New Roman" w:cs="Times New Roman"/>
          <w:noProof/>
          <w:sz w:val="13"/>
          <w:szCs w:val="13"/>
        </w:rPr>
        <w:sectPr>
          <w:headerReference w:type="even" r:id="rId81"/>
          <w:headerReference w:type="default" r:id="rId82"/>
          <w:footerReference w:type="even" r:id="rId83"/>
          <w:footerReference w:type="default" r:id="rId84"/>
          <w:headerReference w:type="first" r:id="rId85"/>
          <w:footerReference w:type="first" r:id="rId86"/>
          <w:pgSz w:w="11900" w:h="16840" w:code="9"/>
          <w:pgMar w:top="960" w:right="480" w:bottom="280" w:left="220" w:header="777" w:footer="0" w:gutter="0"/>
          <w:cols w:space="720"/>
        </w:sect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739"/>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141" w:after="0" w:line="240" w:lineRule="auto"/>
              <w:jc w:val="center"/>
              <w:rPr>
                <w:rFonts w:ascii="Times New Roman" w:eastAsia="Times New Roman" w:hAnsi="Times New Roman" w:cs="Times New Roman"/>
                <w:noProof/>
                <w:sz w:val="39"/>
                <w:szCs w:val="39"/>
              </w:rPr>
            </w:pPr>
            <w:r>
              <w:rPr>
                <w:rFonts w:ascii="Times New Roman" w:hAnsi="Times New Roman" w:cs="Times New Roman"/>
                <w:b/>
                <w:noProof/>
                <w:sz w:val="39"/>
              </w:rPr>
              <w:t>Régime applicable aux autres agents</w:t>
            </w:r>
          </w:p>
        </w:tc>
      </w:tr>
      <w:tr>
        <w:trPr>
          <w:trHeight w:hRule="exact" w:val="370"/>
        </w:trPr>
        <w:tc>
          <w:tcPr>
            <w:tcW w:w="1156"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82"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Article</w:t>
            </w:r>
          </w:p>
        </w:tc>
        <w:tc>
          <w:tcPr>
            <w:tcW w:w="2551"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2"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Objet</w:t>
            </w:r>
          </w:p>
        </w:tc>
        <w:tc>
          <w:tcPr>
            <w:tcW w:w="3334"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2"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Règle d'exécution</w:t>
            </w:r>
          </w:p>
        </w:tc>
        <w:tc>
          <w:tcPr>
            <w:tcW w:w="13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2"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Entrée en vigueur</w:t>
            </w:r>
          </w:p>
        </w:tc>
        <w:tc>
          <w:tcPr>
            <w:tcW w:w="1687"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2"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Date d’expiration</w:t>
            </w:r>
          </w:p>
        </w:tc>
        <w:tc>
          <w:tcPr>
            <w:tcW w:w="914"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8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8" w:after="0" w:line="240" w:lineRule="auto"/>
              <w:ind w:right="917"/>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II - Agents temporaires</w:t>
            </w:r>
          </w:p>
        </w:tc>
      </w:tr>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after="0" w:line="240" w:lineRule="auto"/>
              <w:ind w:right="914"/>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1 - Dispositions générales</w:t>
            </w:r>
          </w:p>
        </w:tc>
      </w:tr>
      <w:tr>
        <w:trPr>
          <w:trHeight w:hRule="exact" w:val="370"/>
        </w:trPr>
        <w:tc>
          <w:tcPr>
            <w:tcW w:w="1156"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5" w:after="0" w:line="240" w:lineRule="auto"/>
              <w:jc w:val="center"/>
              <w:rPr>
                <w:rFonts w:ascii="Times New Roman" w:eastAsia="Times New Roman" w:hAnsi="Times New Roman" w:cs="Times New Roman"/>
                <w:b/>
                <w:bCs/>
                <w:noProof/>
                <w:sz w:val="13"/>
                <w:szCs w:val="13"/>
              </w:rPr>
            </w:pPr>
          </w:p>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cs="Times New Roman"/>
                <w:b/>
                <w:noProof/>
                <w:sz w:val="12"/>
              </w:rPr>
              <w:t>12 (5)</w:t>
            </w:r>
          </w:p>
        </w:tc>
        <w:tc>
          <w:tcPr>
            <w:tcW w:w="2551" w:type="dxa"/>
            <w:vMerge w:val="restart"/>
            <w:tcBorders>
              <w:top w:val="single" w:sz="5" w:space="0" w:color="000000"/>
              <w:left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b/>
                <w:bCs/>
                <w:noProof/>
                <w:sz w:val="15"/>
                <w:szCs w:val="15"/>
              </w:rPr>
            </w:pPr>
          </w:p>
          <w:p>
            <w:pPr>
              <w:widowControl w:val="0"/>
              <w:spacing w:after="0" w:line="247" w:lineRule="auto"/>
              <w:ind w:right="240"/>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Procédures de recrutement des agents temporaires</w:t>
            </w:r>
          </w:p>
        </w:tc>
        <w:tc>
          <w:tcPr>
            <w:tcW w:w="3334"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35" w:after="0" w:line="254" w:lineRule="auto"/>
              <w:ind w:right="95"/>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36-2010 instituant les règles applicables à la sélection et au recrutement des agents temporaires et des agents contractuels</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2010</w:t>
            </w:r>
          </w:p>
        </w:tc>
        <w:tc>
          <w:tcPr>
            <w:tcW w:w="1687" w:type="dxa"/>
            <w:tcBorders>
              <w:top w:val="single" w:sz="5" w:space="0" w:color="000000"/>
              <w:left w:val="single" w:sz="3" w:space="0" w:color="000000"/>
              <w:bottom w:val="single" w:sz="3" w:space="0" w:color="000000"/>
              <w:right w:val="single" w:sz="4" w:space="0" w:color="000000"/>
            </w:tcBorders>
            <w:shd w:val="clear" w:color="auto" w:fill="DA9694"/>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18.9.2014</w:t>
            </w:r>
          </w:p>
        </w:tc>
        <w:tc>
          <w:tcPr>
            <w:tcW w:w="914" w:type="dxa"/>
            <w:vMerge w:val="restart"/>
            <w:tcBorders>
              <w:top w:val="single" w:sz="6" w:space="0" w:color="000000"/>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5"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70"/>
        </w:trPr>
        <w:tc>
          <w:tcPr>
            <w:tcW w:w="1156"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334"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8" w:after="0" w:line="254" w:lineRule="auto"/>
              <w:ind w:right="95"/>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34-2014 instituant les règles applicables à la sélection et au recrutement des agents temporaires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18.9.2014</w:t>
            </w:r>
          </w:p>
        </w:tc>
        <w:tc>
          <w:tcPr>
            <w:tcW w:w="1687" w:type="dxa"/>
            <w:tcBorders>
              <w:top w:val="single" w:sz="3" w:space="0" w:color="000000"/>
              <w:left w:val="single" w:sz="3" w:space="0" w:color="000000"/>
              <w:bottom w:val="single" w:sz="3" w:space="0" w:color="000000"/>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14" w:type="dxa"/>
            <w:vMerge/>
            <w:tcBorders>
              <w:left w:val="single" w:sz="4" w:space="0" w:color="000000"/>
              <w:bottom w:val="single" w:sz="4" w:space="0" w:color="000000"/>
              <w:right w:val="single" w:sz="4" w:space="0" w:color="auto"/>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10964" w:type="dxa"/>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8" w:after="0" w:line="240" w:lineRule="auto"/>
              <w:ind w:right="917"/>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IV - Agents contractuels</w:t>
            </w:r>
          </w:p>
        </w:tc>
      </w:tr>
      <w:tr>
        <w:trPr>
          <w:trHeight w:hRule="exact" w:val="370"/>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after="0" w:line="240" w:lineRule="auto"/>
              <w:ind w:right="914"/>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1 - Dispositions générales</w:t>
            </w:r>
          </w:p>
        </w:tc>
      </w:tr>
      <w:tr>
        <w:trPr>
          <w:trHeight w:hRule="exact" w:val="580"/>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5"/>
                <w:szCs w:val="15"/>
              </w:rPr>
            </w:pPr>
          </w:p>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cs="Times New Roman"/>
                <w:b/>
                <w:noProof/>
                <w:sz w:val="12"/>
              </w:rPr>
              <w:t>79 (2)</w:t>
            </w:r>
          </w:p>
        </w:tc>
        <w:tc>
          <w:tcPr>
            <w:tcW w:w="255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Recours aux agents contractuels</w:t>
            </w:r>
          </w:p>
        </w:tc>
        <w:tc>
          <w:tcPr>
            <w:tcW w:w="3334"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8" w:after="0" w:line="254" w:lineRule="auto"/>
              <w:ind w:right="33"/>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9-2014 portant dispositions générales d’exécution relatives à l'engagement d'agents contractuels (modifiée en dernier lieu par la décision du 24 mars 2014)</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15.6.2005</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334"/>
        <w:gridCol w:w="1322"/>
        <w:gridCol w:w="1687"/>
        <w:gridCol w:w="914"/>
      </w:tblGrid>
      <w:tr>
        <w:trPr>
          <w:trHeight w:hRule="exact" w:val="473"/>
        </w:trPr>
        <w:tc>
          <w:tcPr>
            <w:tcW w:w="10964"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126"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3 - Conditions d'engagement</w:t>
            </w:r>
          </w:p>
        </w:tc>
      </w:tr>
      <w:tr>
        <w:trPr>
          <w:trHeight w:hRule="exact" w:val="616"/>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82</w:t>
            </w:r>
          </w:p>
        </w:tc>
        <w:tc>
          <w:tcPr>
            <w:tcW w:w="255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6" w:after="0" w:line="247" w:lineRule="auto"/>
              <w:ind w:right="326"/>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Procédures de recrutement des agents contractuels</w:t>
            </w:r>
          </w:p>
        </w:tc>
        <w:tc>
          <w:tcPr>
            <w:tcW w:w="3334"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8" w:after="0" w:line="254" w:lineRule="auto"/>
              <w:ind w:right="33"/>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9-2014 portant dispositions générales d’exécution relatives à l'engagement d'agents contractuels (modifiée en dernier lieu par la décision du 24 mars 2014)</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15.6.2005</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599"/>
        </w:trPr>
        <w:tc>
          <w:tcPr>
            <w:tcW w:w="1156"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86</w:t>
            </w:r>
          </w:p>
        </w:tc>
        <w:tc>
          <w:tcPr>
            <w:tcW w:w="2551"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3"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Grades au recrutement</w:t>
            </w:r>
          </w:p>
        </w:tc>
        <w:tc>
          <w:tcPr>
            <w:tcW w:w="3334"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0" w:after="0" w:line="254" w:lineRule="auto"/>
              <w:ind w:right="33"/>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9-2014 portant dispositions générales d’exécution relatives à l'engagement d'agents contractuels (modifiée en dernier lieu par la décision du 24 mars 2014)</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15.6.2005</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14"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bl>
    <w:p>
      <w:pPr>
        <w:widowControl w:val="0"/>
        <w:spacing w:after="0" w:line="240" w:lineRule="auto"/>
        <w:jc w:val="center"/>
        <w:rPr>
          <w:rFonts w:ascii="Times New Roman" w:eastAsia="Times New Roman" w:hAnsi="Times New Roman" w:cs="Times New Roman"/>
          <w:b/>
          <w:bCs/>
          <w:noProof/>
          <w:sz w:val="20"/>
          <w:szCs w:val="20"/>
        </w:rPr>
      </w:pPr>
    </w:p>
    <w:p>
      <w:pPr>
        <w:jc w:val="center"/>
        <w:rPr>
          <w:rFonts w:ascii="Times New Roman" w:hAnsi="Times New Roman" w:cs="Times New Roman"/>
          <w:noProof/>
        </w:rPr>
      </w:pPr>
      <w:r>
        <w:rPr>
          <w:rFonts w:ascii="Times New Roman" w:hAnsi="Times New Roman" w:cs="Times New Roman"/>
          <w:noProof/>
        </w:rPr>
        <w:br w:type="page"/>
      </w: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1090"/>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after="0" w:line="527" w:lineRule="exact"/>
              <w:ind w:right="888"/>
              <w:jc w:val="center"/>
              <w:rPr>
                <w:rFonts w:ascii="Times New Roman" w:eastAsia="Times New Roman" w:hAnsi="Times New Roman" w:cs="Times New Roman"/>
                <w:noProof/>
                <w:sz w:val="50"/>
                <w:szCs w:val="50"/>
              </w:rPr>
            </w:pPr>
            <w:r>
              <w:rPr>
                <w:rFonts w:ascii="Times New Roman" w:hAnsi="Times New Roman" w:cs="Times New Roman"/>
                <w:b/>
                <w:noProof/>
                <w:sz w:val="50"/>
              </w:rPr>
              <w:t>SERVICE EUROPÉEN POUR L’ACTION</w:t>
            </w:r>
          </w:p>
          <w:p>
            <w:pPr>
              <w:widowControl w:val="0"/>
              <w:spacing w:before="27" w:after="0" w:line="523" w:lineRule="exact"/>
              <w:ind w:right="887"/>
              <w:jc w:val="center"/>
              <w:rPr>
                <w:rFonts w:ascii="Times New Roman" w:eastAsia="Times New Roman" w:hAnsi="Times New Roman" w:cs="Times New Roman"/>
                <w:noProof/>
                <w:sz w:val="50"/>
                <w:szCs w:val="50"/>
              </w:rPr>
            </w:pPr>
            <w:r>
              <w:rPr>
                <w:rFonts w:ascii="Times New Roman" w:hAnsi="Times New Roman" w:cs="Times New Roman"/>
                <w:b/>
                <w:noProof/>
                <w:sz w:val="50"/>
              </w:rPr>
              <w:t>EXTÉRIEURE</w:t>
            </w:r>
          </w:p>
        </w:tc>
      </w:tr>
      <w:tr>
        <w:trPr>
          <w:trHeight w:hRule="exact" w:val="912"/>
        </w:trPr>
        <w:tc>
          <w:tcPr>
            <w:tcW w:w="10832" w:type="dxa"/>
            <w:gridSpan w:val="6"/>
            <w:tcBorders>
              <w:top w:val="single" w:sz="5" w:space="0" w:color="000000"/>
              <w:left w:val="single" w:sz="4" w:space="0" w:color="000000"/>
              <w:bottom w:val="single" w:sz="3" w:space="0" w:color="000000"/>
              <w:right w:val="single" w:sz="5" w:space="0" w:color="000000"/>
            </w:tcBorders>
            <w:shd w:val="clear" w:color="auto" w:fill="B8CCE4"/>
          </w:tcPr>
          <w:p>
            <w:pPr>
              <w:widowControl w:val="0"/>
              <w:spacing w:before="89" w:after="0" w:line="240" w:lineRule="auto"/>
              <w:ind w:right="893"/>
              <w:jc w:val="center"/>
              <w:rPr>
                <w:rFonts w:ascii="Times New Roman" w:eastAsia="Times New Roman" w:hAnsi="Times New Roman" w:cs="Times New Roman"/>
                <w:noProof/>
                <w:sz w:val="42"/>
                <w:szCs w:val="42"/>
              </w:rPr>
            </w:pPr>
            <w:r>
              <w:rPr>
                <w:rFonts w:ascii="Times New Roman" w:hAnsi="Times New Roman" w:cs="Times New Roman"/>
                <w:b/>
                <w:noProof/>
                <w:sz w:val="42"/>
              </w:rPr>
              <w:t>Statut</w:t>
            </w:r>
          </w:p>
          <w:p>
            <w:pPr>
              <w:widowControl w:val="0"/>
              <w:spacing w:before="19" w:after="0" w:line="240" w:lineRule="auto"/>
              <w:ind w:right="892"/>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(applicable par analogie aux autres agents lorsque le RAA le prévoit expressément)</w:t>
            </w:r>
          </w:p>
        </w:tc>
      </w:tr>
      <w:tr>
        <w:trPr>
          <w:trHeight w:hRule="exact" w:val="456"/>
        </w:trPr>
        <w:tc>
          <w:tcPr>
            <w:tcW w:w="779" w:type="dxa"/>
            <w:tcBorders>
              <w:top w:val="single" w:sz="3" w:space="0" w:color="000000"/>
              <w:left w:val="single" w:sz="4"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893" w:type="dxa"/>
            <w:tcBorders>
              <w:top w:val="single" w:sz="3" w:space="0" w:color="000000"/>
              <w:left w:val="single" w:sz="3" w:space="0" w:color="000000"/>
              <w:bottom w:val="single" w:sz="3" w:space="0" w:color="000000"/>
              <w:right w:val="single" w:sz="5"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413"/>
        </w:trPr>
        <w:tc>
          <w:tcPr>
            <w:tcW w:w="10832"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56"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 - Dispositions générales</w:t>
            </w:r>
          </w:p>
        </w:tc>
      </w:tr>
      <w:tr>
        <w:trPr>
          <w:trHeight w:hRule="exact" w:val="446"/>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1</w:t>
            </w:r>
            <w:r>
              <w:rPr>
                <w:rFonts w:ascii="Times New Roman" w:hAnsi="Times New Roman" w:cs="Times New Roman"/>
                <w:b/>
                <w:noProof/>
                <w:w w:val="105"/>
                <w:sz w:val="12"/>
                <w:vertAlign w:val="superscript"/>
              </w:rPr>
              <w:t>er</w:t>
            </w:r>
            <w:r>
              <w:rPr>
                <w:rFonts w:ascii="Times New Roman" w:hAnsi="Times New Roman" w:cs="Times New Roman"/>
                <w:b/>
                <w:noProof/>
                <w:w w:val="105"/>
                <w:sz w:val="12"/>
              </w:rPr>
              <w:t xml:space="preserve"> </w:t>
            </w:r>
            <w:r>
              <w:rPr>
                <w:rFonts w:ascii="Times New Roman" w:hAnsi="Times New Roman" w:cs="Times New Roman"/>
                <w:b/>
                <w:i/>
                <w:noProof/>
                <w:w w:val="105"/>
                <w:sz w:val="12"/>
              </w:rPr>
              <w:t>quinquies</w:t>
            </w:r>
            <w:r>
              <w:rPr>
                <w:rFonts w:ascii="Times New Roman" w:hAnsi="Times New Roman" w:cs="Times New Roman"/>
                <w:b/>
                <w:noProof/>
                <w:w w:val="105"/>
                <w:sz w:val="12"/>
              </w:rPr>
              <w:t xml:space="preserve"> (4)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21" w:after="0" w:line="240" w:lineRule="auto"/>
              <w:ind w:right="3"/>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Handicap</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71" w:lineRule="auto"/>
              <w:ind w:right="61"/>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EEAS(2011)013 - Décision du Conseil du 29 avril 2004 portant adoption des dispositions générales d’exécution relatives à l’article 1 </w:t>
            </w:r>
            <w:r>
              <w:rPr>
                <w:rFonts w:ascii="Times New Roman" w:hAnsi="Times New Roman" w:cs="Times New Roman"/>
                <w:i/>
                <w:noProof/>
                <w:spacing w:val="-1"/>
                <w:w w:val="105"/>
                <w:sz w:val="12"/>
              </w:rPr>
              <w:t>quinquies</w:t>
            </w:r>
            <w:r>
              <w:rPr>
                <w:rFonts w:ascii="Times New Roman" w:hAnsi="Times New Roman" w:cs="Times New Roman"/>
                <w:noProof/>
                <w:spacing w:val="-1"/>
                <w:w w:val="105"/>
                <w:sz w:val="12"/>
              </w:rPr>
              <w:t>, paragraphe 4</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64"/>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5"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w:t>
            </w:r>
            <w:r>
              <w:rPr>
                <w:rFonts w:ascii="Times New Roman" w:hAnsi="Times New Roman" w:cs="Times New Roman"/>
                <w:b/>
                <w:noProof/>
                <w:spacing w:val="1"/>
                <w:w w:val="105"/>
                <w:sz w:val="12"/>
                <w:vertAlign w:val="superscript"/>
              </w:rPr>
              <w:t>er</w:t>
            </w:r>
            <w:r>
              <w:rPr>
                <w:rFonts w:ascii="Times New Roman" w:hAnsi="Times New Roman" w:cs="Times New Roman"/>
                <w:b/>
                <w:noProof/>
                <w:spacing w:val="1"/>
                <w:w w:val="105"/>
                <w:sz w:val="12"/>
              </w:rPr>
              <w:t xml:space="preserve"> </w:t>
            </w:r>
            <w:r>
              <w:rPr>
                <w:rFonts w:ascii="Times New Roman" w:hAnsi="Times New Roman" w:cs="Times New Roman"/>
                <w:b/>
                <w:i/>
                <w:noProof/>
                <w:spacing w:val="1"/>
                <w:w w:val="105"/>
                <w:sz w:val="12"/>
              </w:rPr>
              <w:t>sexies</w:t>
            </w:r>
            <w:r>
              <w:rPr>
                <w:rFonts w:ascii="Times New Roman" w:hAnsi="Times New Roman" w:cs="Times New Roman"/>
                <w:b/>
                <w:noProof/>
                <w:spacing w:val="1"/>
                <w:w w:val="105"/>
                <w:sz w:val="12"/>
              </w:rPr>
              <w:t xml:space="preserve"> (1)</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Mesures à caractère social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5" w:after="0" w:line="271" w:lineRule="auto"/>
              <w:ind w:right="28"/>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EEAS(2011)002 - Décision de la Commission C(2008) 6195 relative à la modification des orientations «aide familiale et garde d'enfant malade»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50"/>
        </w:trPr>
        <w:tc>
          <w:tcPr>
            <w:tcW w:w="779"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9" w:after="0" w:line="240" w:lineRule="auto"/>
              <w:jc w:val="center"/>
              <w:rPr>
                <w:rFonts w:ascii="Times New Roman" w:eastAsia="Times New Roman" w:hAnsi="Times New Roman" w:cs="Times New Roman"/>
                <w:noProof/>
                <w:sz w:val="14"/>
                <w:szCs w:val="14"/>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2</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21"/>
                <w:szCs w:val="21"/>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Pouvoirs de l'AIPN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71" w:lineRule="auto"/>
              <w:ind w:right="111"/>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HR DEC(2012)012 - Décision relative à la délégation et à la subdélégation des pouvoirs de l’AIPN/AHCC au sein du SEAE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18.10.2012</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87"/>
        </w:trPr>
        <w:tc>
          <w:tcPr>
            <w:tcW w:w="779"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3" w:after="0" w:line="271" w:lineRule="auto"/>
              <w:ind w:right="50"/>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EEAS DEC(2014)001 - Décision relative à la subdélégation des pouvoirs de l’AIPN/AHCC au sein du SEAE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7.1.2014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791"/>
        </w:trPr>
        <w:tc>
          <w:tcPr>
            <w:tcW w:w="779"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7" w:after="0" w:line="271" w:lineRule="auto"/>
              <w:ind w:right="67"/>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ADMIN (2015)33 - Décision relative à l’exercice, à la délégation et à la subdélégation des pouvoirs concernant les questions de personnel et les affaires financières et administratives au sein du SEAE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1"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14.9.2015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4"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87"/>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6" w:after="0" w:line="271" w:lineRule="auto"/>
              <w:ind w:right="120"/>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ADMIN (2015)35 - Décision relative à l’exercice et à la subdélégation des pouvoirs dévolus par le statut et par le RAA à l’AIPN et à l’AHCC</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15.9.2015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87"/>
        </w:trPr>
        <w:tc>
          <w:tcPr>
            <w:tcW w:w="779"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5 + annexe I</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31"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Emplois types et intitulés d'emploi</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4" w:after="0" w:line="271" w:lineRule="auto"/>
              <w:ind w:right="28"/>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EEAS(2011)002 - Décision C(2008) 5028 de la Commission concernant le personnel d’encadrement intermédiaire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89"/>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5" w:after="0" w:line="271" w:lineRule="auto"/>
              <w:ind w:right="28"/>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EEAS(2011)002 - Décision C(2008) 5029 de la Commission relative à la fonction de conseiller</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66"/>
        </w:trPr>
        <w:tc>
          <w:tcPr>
            <w:tcW w:w="779"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00"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7</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9" w:after="0" w:line="240" w:lineRule="auto"/>
              <w:jc w:val="center"/>
              <w:rPr>
                <w:rFonts w:ascii="Times New Roman" w:eastAsia="Times New Roman" w:hAnsi="Times New Roman" w:cs="Times New Roman"/>
                <w:noProof/>
                <w:sz w:val="14"/>
                <w:szCs w:val="14"/>
              </w:rPr>
            </w:pPr>
          </w:p>
          <w:p>
            <w:pPr>
              <w:widowControl w:val="0"/>
              <w:spacing w:after="0" w:line="240" w:lineRule="auto"/>
              <w:ind w:right="1"/>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Transfert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3" w:after="0" w:line="271" w:lineRule="auto"/>
              <w:ind w:right="89"/>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EEAS(2011)002 - Décision C(94) 3895 final de la Commission relative à la mobilité</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29.11.2011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708"/>
        </w:trPr>
        <w:tc>
          <w:tcPr>
            <w:tcW w:w="779"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1"/>
                <w:szCs w:val="11"/>
              </w:rPr>
            </w:pPr>
          </w:p>
          <w:p>
            <w:pPr>
              <w:widowControl w:val="0"/>
              <w:spacing w:after="0" w:line="271" w:lineRule="auto"/>
              <w:ind w:right="28"/>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EEAS(2011)002 - Décision C(2009) 7839 final de la Commission relative aux modalités de mise en œuvre de l’occupation par intérim de postes d’encadrement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before="103"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826"/>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7" w:after="0" w:line="271" w:lineRule="auto"/>
              <w:ind w:right="19"/>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ADMIN (2015)14 - Décision du directeur général administratif ad interim du SEAE relative à l’organisation d’un exercice annuel de mobilité interne du personnel dans les groupes de fonctions AD et AST au siège du SEAE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1.4.2015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38"/>
        </w:trPr>
        <w:tc>
          <w:tcPr>
            <w:tcW w:w="10833"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17"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II - Droits et obligations du fonctionnaire</w:t>
            </w:r>
          </w:p>
        </w:tc>
      </w:tr>
      <w:tr>
        <w:trPr>
          <w:trHeight w:hRule="exact" w:val="446"/>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12 </w:t>
            </w:r>
            <w:r>
              <w:rPr>
                <w:rFonts w:ascii="Times New Roman" w:hAnsi="Times New Roman" w:cs="Times New Roman"/>
                <w:b/>
                <w:i/>
                <w:noProof/>
                <w:spacing w:val="1"/>
                <w:w w:val="105"/>
                <w:sz w:val="12"/>
              </w:rPr>
              <w:t>bis</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30"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Harcèlement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1" w:after="0" w:line="271" w:lineRule="auto"/>
              <w:ind w:right="172"/>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EEAS(2011)002 - C(2006) 1624/3 relative à la politique en matière de lutte contre le harcèlement</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29.11.2011</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97"/>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12 </w:t>
            </w:r>
            <w:r>
              <w:rPr>
                <w:rFonts w:ascii="Times New Roman" w:hAnsi="Times New Roman" w:cs="Times New Roman"/>
                <w:b/>
                <w:i/>
                <w:noProof/>
                <w:w w:val="105"/>
                <w:sz w:val="12"/>
              </w:rPr>
              <w:t>ter</w:t>
            </w:r>
            <w:r>
              <w:rPr>
                <w:rFonts w:ascii="Times New Roman" w:hAnsi="Times New Roman" w:cs="Times New Roman"/>
                <w:b/>
                <w:noProof/>
                <w:w w:val="105"/>
                <w:sz w:val="12"/>
              </w:rPr>
              <w:t xml:space="preserve"> - 16 - 17</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Activités extérieures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8" w:after="0" w:line="271" w:lineRule="auto"/>
              <w:ind w:right="63"/>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PROC EEAS(2014)009 - Décision C(2013) 9037 de la Commission relative aux activités extérieures et aux mandats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16.12.2013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24"/>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4"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22 </w:t>
            </w:r>
            <w:r>
              <w:rPr>
                <w:rFonts w:ascii="Times New Roman" w:hAnsi="Times New Roman" w:cs="Times New Roman"/>
                <w:b/>
                <w:i/>
                <w:noProof/>
                <w:w w:val="105"/>
                <w:sz w:val="12"/>
              </w:rPr>
              <w:t>bis</w:t>
            </w:r>
            <w:r>
              <w:rPr>
                <w:rFonts w:ascii="Times New Roman" w:hAnsi="Times New Roman" w:cs="Times New Roman"/>
                <w:b/>
                <w:noProof/>
                <w:w w:val="105"/>
                <w:sz w:val="12"/>
              </w:rPr>
              <w:t xml:space="preserve"> - </w:t>
            </w:r>
            <w:r>
              <w:rPr>
                <w:rFonts w:ascii="Times New Roman" w:hAnsi="Times New Roman" w:cs="Times New Roman"/>
                <w:b/>
                <w:i/>
                <w:noProof/>
                <w:w w:val="105"/>
                <w:sz w:val="12"/>
              </w:rPr>
              <w:t>quater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Dénonciation des dysfonctionnements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71" w:lineRule="auto"/>
              <w:ind w:right="54"/>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EEAS(2011)008 - Décision relative aux conditions et modalités des enquêtes internes en matière de lutte contre la fraude, la corruption et toute activité illégale préjudiciable aux intérêts de l’Union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274"/>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after="0" w:line="262" w:lineRule="exact"/>
              <w:jc w:val="center"/>
              <w:rPr>
                <w:rFonts w:ascii="Times New Roman" w:eastAsia="Times New Roman" w:hAnsi="Times New Roman" w:cs="Times New Roman"/>
                <w:noProof/>
                <w:sz w:val="25"/>
                <w:szCs w:val="25"/>
              </w:rPr>
            </w:pPr>
            <w:r>
              <w:rPr>
                <w:rFonts w:ascii="Times New Roman" w:hAnsi="Times New Roman" w:cs="Times New Roman"/>
                <w:b/>
                <w:noProof/>
                <w:sz w:val="25"/>
              </w:rPr>
              <w:t>Titre III - De la carrière du fonctionnaire</w:t>
            </w:r>
          </w:p>
        </w:tc>
      </w:tr>
      <w:tr>
        <w:trPr>
          <w:trHeight w:hRule="exact" w:val="274"/>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23" w:after="0" w:line="240" w:lineRule="auto"/>
              <w:ind w:right="891"/>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Recrutement</w:t>
            </w:r>
          </w:p>
        </w:tc>
      </w:tr>
      <w:tr>
        <w:trPr>
          <w:trHeight w:hRule="exact" w:val="737"/>
        </w:trPr>
        <w:tc>
          <w:tcPr>
            <w:tcW w:w="779" w:type="dxa"/>
            <w:vMerge w:val="restart"/>
            <w:tcBorders>
              <w:top w:val="single" w:sz="5" w:space="0" w:color="000000"/>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27 - 34</w:t>
            </w:r>
          </w:p>
        </w:tc>
        <w:tc>
          <w:tcPr>
            <w:tcW w:w="2722" w:type="dxa"/>
            <w:vMerge w:val="restart"/>
            <w:tcBorders>
              <w:top w:val="single" w:sz="5"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99" w:after="0" w:line="240" w:lineRule="auto"/>
              <w:ind w:right="1"/>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Recrutement</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9" w:after="0" w:line="271" w:lineRule="auto"/>
              <w:ind w:right="125"/>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EEAS(2011)013 - Décision C(2004)1313 final/1 portant dispositions générales d'exécution relatives aux critères applicables au classement en échelon lors de la nomination ou de l'engagement</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1.3.2014</w:t>
            </w:r>
          </w:p>
        </w:tc>
        <w:tc>
          <w:tcPr>
            <w:tcW w:w="893" w:type="dxa"/>
            <w:vMerge w:val="restart"/>
            <w:tcBorders>
              <w:top w:val="single" w:sz="5"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7"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756"/>
        </w:trPr>
        <w:tc>
          <w:tcPr>
            <w:tcW w:w="779"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noProof/>
                <w:sz w:val="13"/>
                <w:szCs w:val="13"/>
              </w:rPr>
            </w:pPr>
          </w:p>
          <w:p>
            <w:pPr>
              <w:widowControl w:val="0"/>
              <w:spacing w:after="0" w:line="271" w:lineRule="auto"/>
              <w:ind w:right="77"/>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 xml:space="preserve">HR DEC(2014)02 - Décision C(2013)8970 final portant dispositions générales d'exécution relatives aux critères applicables au classement en échelon lors de la nomination ou de l'engagement </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1.3.2014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Calibri" w:hAnsi="Times New Roman" w:cs="Times New Roman"/>
          <w:noProof/>
        </w:rPr>
        <w:sectPr>
          <w:headerReference w:type="even" r:id="rId87"/>
          <w:headerReference w:type="default" r:id="rId88"/>
          <w:footerReference w:type="even" r:id="rId89"/>
          <w:footerReference w:type="default" r:id="rId90"/>
          <w:headerReference w:type="first" r:id="rId91"/>
          <w:footerReference w:type="first" r:id="rId92"/>
          <w:pgSz w:w="11900" w:h="16840" w:code="9"/>
          <w:pgMar w:top="1040" w:right="620" w:bottom="280" w:left="220" w:header="854" w:footer="72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93"/>
      </w:tblGrid>
      <w:tr>
        <w:trPr>
          <w:trHeight w:hRule="exact" w:val="456"/>
        </w:trPr>
        <w:tc>
          <w:tcPr>
            <w:tcW w:w="78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893" w:type="dxa"/>
            <w:tcBorders>
              <w:top w:val="single" w:sz="3" w:space="0" w:color="000000"/>
              <w:left w:val="single" w:sz="3" w:space="0" w:color="000000"/>
              <w:bottom w:val="single" w:sz="3" w:space="0" w:color="000000"/>
              <w:right w:val="single" w:sz="5"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62"/>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66"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2 - Positions</w:t>
            </w:r>
          </w:p>
        </w:tc>
      </w:tr>
      <w:tr>
        <w:trPr>
          <w:trHeight w:hRule="exact" w:val="362"/>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75"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3 - Le congé de convenance personnelle</w:t>
            </w:r>
          </w:p>
        </w:tc>
      </w:tr>
      <w:tr>
        <w:trPr>
          <w:trHeight w:hRule="exact" w:val="545"/>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7"/>
                <w:szCs w:val="17"/>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40</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Congés de convenance personnelle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3" w:after="0" w:line="271" w:lineRule="auto"/>
              <w:ind w:right="49"/>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EEAS DEC (2014)009 -  Décision C(2013) 9054 de la Commission relative aux mesures concernant le congé de convenance personnelle des fonctionnaires et le congé sans rémunération des agents temporaires et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461"/>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126" w:after="0" w:line="240" w:lineRule="auto"/>
              <w:ind w:right="894"/>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6 - Congé parental ou familial</w:t>
            </w:r>
          </w:p>
        </w:tc>
      </w:tr>
      <w:tr>
        <w:trPr>
          <w:trHeight w:hRule="exact" w:val="526"/>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42 </w:t>
            </w:r>
            <w:r>
              <w:rPr>
                <w:rFonts w:ascii="Times New Roman" w:hAnsi="Times New Roman" w:cs="Times New Roman"/>
                <w:b/>
                <w:i/>
                <w:noProof/>
                <w:spacing w:val="1"/>
                <w:w w:val="105"/>
                <w:sz w:val="12"/>
              </w:rPr>
              <w:t>bis</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Congé parental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3" w:after="0" w:line="271" w:lineRule="auto"/>
              <w:ind w:right="60"/>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 xml:space="preserve">PROC EEAS (2011)013 - Décision C(2010) 7572 final relative aux dispositions générales d'exécution de l'article 42 </w:t>
            </w:r>
            <w:r>
              <w:rPr>
                <w:rFonts w:ascii="Times New Roman" w:hAnsi="Times New Roman" w:cs="Times New Roman"/>
                <w:i/>
                <w:noProof/>
                <w:spacing w:val="-1"/>
                <w:w w:val="105"/>
                <w:sz w:val="12"/>
              </w:rPr>
              <w:t>bis</w:t>
            </w:r>
            <w:r>
              <w:rPr>
                <w:rFonts w:ascii="Times New Roman" w:hAnsi="Times New Roman" w:cs="Times New Roman"/>
                <w:noProof/>
                <w:spacing w:val="-1"/>
                <w:w w:val="105"/>
                <w:sz w:val="12"/>
              </w:rPr>
              <w:t xml:space="preserve"> du statut relatif au congé parental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51"/>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 xml:space="preserve">42 </w:t>
            </w:r>
            <w:r>
              <w:rPr>
                <w:rFonts w:ascii="Times New Roman" w:hAnsi="Times New Roman" w:cs="Times New Roman"/>
                <w:b/>
                <w:i/>
                <w:noProof/>
                <w:spacing w:val="1"/>
                <w:w w:val="105"/>
                <w:sz w:val="12"/>
              </w:rPr>
              <w:t>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2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Congé familial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6" w:after="0" w:line="271" w:lineRule="auto"/>
              <w:ind w:right="58"/>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 xml:space="preserve">PROC EEAS (2011)002 - Décision C(2010) 7494 final relative à l'article 42 </w:t>
            </w:r>
            <w:r>
              <w:rPr>
                <w:rFonts w:ascii="Times New Roman" w:hAnsi="Times New Roman" w:cs="Times New Roman"/>
                <w:i/>
                <w:noProof/>
                <w:spacing w:val="-1"/>
                <w:w w:val="105"/>
                <w:sz w:val="12"/>
              </w:rPr>
              <w:t>ter</w:t>
            </w:r>
            <w:r>
              <w:rPr>
                <w:rFonts w:ascii="Times New Roman" w:hAnsi="Times New Roman" w:cs="Times New Roman"/>
                <w:noProof/>
                <w:spacing w:val="-1"/>
                <w:w w:val="105"/>
                <w:sz w:val="12"/>
              </w:rPr>
              <w:t xml:space="preserve"> du statut relatif au congé familial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p>
      <w:pPr>
        <w:widowControl w:val="0"/>
        <w:spacing w:before="5" w:after="0" w:line="240" w:lineRule="auto"/>
        <w:jc w:val="center"/>
        <w:rPr>
          <w:rFonts w:ascii="Times New Roman" w:eastAsia="Times New Roman" w:hAnsi="Times New Roman" w:cs="Times New Roman"/>
          <w:noProof/>
          <w:sz w:val="13"/>
          <w:szCs w:val="13"/>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427"/>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00"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Notation, avancement d'échelon et promotion</w:t>
            </w:r>
          </w:p>
        </w:tc>
      </w:tr>
      <w:tr>
        <w:trPr>
          <w:trHeight w:hRule="exact" w:val="571"/>
        </w:trPr>
        <w:tc>
          <w:tcPr>
            <w:tcW w:w="779" w:type="dxa"/>
            <w:vMerge w:val="restart"/>
            <w:tcBorders>
              <w:top w:val="single" w:sz="5" w:space="0" w:color="000000"/>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79"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Art. 43</w:t>
            </w:r>
          </w:p>
        </w:tc>
        <w:tc>
          <w:tcPr>
            <w:tcW w:w="2722" w:type="dxa"/>
            <w:vMerge w:val="restart"/>
            <w:tcBorders>
              <w:top w:val="single" w:sz="5"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10"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Rapport annuel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71" w:lineRule="auto"/>
              <w:ind w:right="81"/>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HR DEC (2012)005 portant adoption des dispositions d’application de l’article 43</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4"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16.5.2012</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4"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3.3.2014</w:t>
            </w:r>
          </w:p>
        </w:tc>
        <w:tc>
          <w:tcPr>
            <w:tcW w:w="893"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8"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48"/>
        </w:trPr>
        <w:tc>
          <w:tcPr>
            <w:tcW w:w="779" w:type="dxa"/>
            <w:vMerge/>
            <w:tcBorders>
              <w:left w:val="single" w:sz="4"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71" w:lineRule="auto"/>
              <w:ind w:right="115"/>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HR DEC (2014)04 portant adoption des dispositions d’application des articles 43 et 44</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3.3.2014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15.1.2015</w:t>
            </w:r>
          </w:p>
        </w:tc>
        <w:tc>
          <w:tcPr>
            <w:tcW w:w="893" w:type="dxa"/>
            <w:vMerge w:val="restart"/>
            <w:tcBorders>
              <w:top w:val="single" w:sz="3"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906"/>
        </w:trPr>
        <w:tc>
          <w:tcPr>
            <w:tcW w:w="779"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noProof/>
                <w:sz w:val="12"/>
                <w:szCs w:val="12"/>
              </w:rPr>
            </w:pPr>
          </w:p>
          <w:p>
            <w:pPr>
              <w:widowControl w:val="0"/>
              <w:spacing w:after="0" w:line="271" w:lineRule="auto"/>
              <w:ind w:right="42"/>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ADMIN (2015) 1 portant adoption des dispositions générales d’exécution de l’article 43 et de l’article 44, premier alinéa [modifié en dernier lieu par la décision ADMIN (2015) 1 REV 1 du 16 décembre 2015]</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15.1.2015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638"/>
        </w:trPr>
        <w:tc>
          <w:tcPr>
            <w:tcW w:w="779" w:type="dxa"/>
            <w:vMerge w:val="restart"/>
            <w:tcBorders>
              <w:top w:val="single" w:sz="3" w:space="0" w:color="000000"/>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3" w:after="0" w:line="240" w:lineRule="auto"/>
              <w:jc w:val="center"/>
              <w:rPr>
                <w:rFonts w:ascii="Times New Roman" w:eastAsia="Times New Roman" w:hAnsi="Times New Roman" w:cs="Times New Roman"/>
                <w:noProof/>
                <w:sz w:val="13"/>
                <w:szCs w:val="13"/>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44</w:t>
            </w:r>
          </w:p>
        </w:tc>
        <w:tc>
          <w:tcPr>
            <w:tcW w:w="2722"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5"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Avancement d’échelon et de grade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14"/>
                <w:szCs w:val="14"/>
              </w:rPr>
            </w:pPr>
          </w:p>
          <w:p>
            <w:pPr>
              <w:widowControl w:val="0"/>
              <w:spacing w:after="0" w:line="271" w:lineRule="auto"/>
              <w:ind w:right="115"/>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HR DEC (2014)04 portant adoption des dispositions d’application des articles 43 et 44</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3.3.2014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15.1.2015</w:t>
            </w:r>
          </w:p>
        </w:tc>
        <w:tc>
          <w:tcPr>
            <w:tcW w:w="893" w:type="dxa"/>
            <w:vMerge w:val="restart"/>
            <w:tcBorders>
              <w:top w:val="single" w:sz="3"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767"/>
        </w:trPr>
        <w:tc>
          <w:tcPr>
            <w:tcW w:w="779"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1" w:after="0" w:line="271" w:lineRule="auto"/>
              <w:ind w:right="36"/>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ADMIN (2015)1 portant adoption des dispositions d’exécution des article 43 et 44 [modifié en dernier lieu par la décision ADMIN (2015) 1 REV 1</w:t>
            </w: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du 16 décembre 2015]</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15.1.2015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726"/>
        </w:trPr>
        <w:tc>
          <w:tcPr>
            <w:tcW w:w="779" w:type="dxa"/>
            <w:tcBorders>
              <w:top w:val="single" w:sz="3" w:space="0" w:color="000000"/>
              <w:left w:val="single" w:sz="4" w:space="0" w:color="000000"/>
              <w:bottom w:val="nil"/>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tcBorders>
              <w:top w:val="single" w:sz="3" w:space="0" w:color="000000"/>
              <w:left w:val="single" w:sz="3" w:space="0" w:color="000000"/>
              <w:bottom w:val="nil"/>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4" w:after="0" w:line="271" w:lineRule="auto"/>
              <w:ind w:right="43"/>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HR(2011)013 - Décision du Conseil du 13 juillet 1970 fixant les dispositions générales d’exécution relatives à la date à laquelle l'ancienneté dans le grade prend effet et à la date d’effet des promotions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21"/>
        </w:trPr>
        <w:tc>
          <w:tcPr>
            <w:tcW w:w="779" w:type="dxa"/>
            <w:vMerge w:val="restart"/>
            <w:tcBorders>
              <w:top w:val="nil"/>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07"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45</w:t>
            </w:r>
          </w:p>
        </w:tc>
        <w:tc>
          <w:tcPr>
            <w:tcW w:w="2722" w:type="dxa"/>
            <w:vMerge w:val="restart"/>
            <w:tcBorders>
              <w:top w:val="nil"/>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121"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Promotions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71" w:lineRule="auto"/>
              <w:ind w:right="202"/>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HR DEC(2014)03 portant adoption d’une procédure de promotion en exécution de l’article 45</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3.3.2014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28.5.2015</w:t>
            </w:r>
          </w:p>
        </w:tc>
        <w:tc>
          <w:tcPr>
            <w:tcW w:w="893"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38"/>
        </w:trPr>
        <w:tc>
          <w:tcPr>
            <w:tcW w:w="779"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14"/>
                <w:szCs w:val="14"/>
              </w:rPr>
            </w:pPr>
          </w:p>
          <w:p>
            <w:pPr>
              <w:widowControl w:val="0"/>
              <w:spacing w:after="0" w:line="271" w:lineRule="auto"/>
              <w:ind w:right="109"/>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ADMIN(2015)17 relative à une procédure de promotion en exécution de l’article 45</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28.5.2015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731"/>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0" w:after="0" w:line="271" w:lineRule="auto"/>
              <w:ind w:right="133"/>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ADMIN(2016)14 - Décision portant adoption d’une procédure pour la promotion et le reclassement des fonctionnaires d’encadrement supérieur et équivalents aux grades AD 14 et AD 15</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4"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29.8.2016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38"/>
        </w:trPr>
        <w:tc>
          <w:tcPr>
            <w:tcW w:w="779" w:type="dxa"/>
            <w:vMerge w:val="restart"/>
            <w:tcBorders>
              <w:top w:val="single" w:sz="3" w:space="0" w:color="000000"/>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3"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Art. 45</w:t>
            </w:r>
            <w:r>
              <w:rPr>
                <w:rFonts w:ascii="Times New Roman" w:hAnsi="Times New Roman" w:cs="Times New Roman"/>
                <w:b/>
                <w:i/>
                <w:noProof/>
                <w:spacing w:val="-1"/>
                <w:w w:val="105"/>
                <w:sz w:val="12"/>
              </w:rPr>
              <w:t xml:space="preserve"> bis</w:t>
            </w:r>
          </w:p>
        </w:tc>
        <w:tc>
          <w:tcPr>
            <w:tcW w:w="2722"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5"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Certification</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1" w:after="0" w:line="271" w:lineRule="auto"/>
              <w:ind w:right="136"/>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 xml:space="preserve">PROC HR(2011)013 - Décision du Conseil du 20 septembre 2005 relative aux dispositions générales d’exécution de l'article 45 </w:t>
            </w:r>
            <w:r>
              <w:rPr>
                <w:rFonts w:ascii="Times New Roman" w:hAnsi="Times New Roman" w:cs="Times New Roman"/>
                <w:i/>
                <w:noProof/>
                <w:spacing w:val="-1"/>
                <w:w w:val="105"/>
                <w:sz w:val="12"/>
              </w:rPr>
              <w:t>bis</w:t>
            </w:r>
            <w:r>
              <w:rPr>
                <w:rFonts w:ascii="Times New Roman" w:hAnsi="Times New Roman" w:cs="Times New Roman"/>
                <w:noProof/>
                <w:spacing w:val="-1"/>
                <w:w w:val="105"/>
                <w:sz w:val="12"/>
              </w:rPr>
              <w:t xml:space="preserve"> du statut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14.12.2016</w:t>
            </w:r>
          </w:p>
        </w:tc>
        <w:tc>
          <w:tcPr>
            <w:tcW w:w="893" w:type="dxa"/>
            <w:vMerge w:val="restart"/>
            <w:tcBorders>
              <w:top w:val="single" w:sz="3"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638"/>
        </w:trPr>
        <w:tc>
          <w:tcPr>
            <w:tcW w:w="779"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4" w:after="0" w:line="271" w:lineRule="auto"/>
              <w:ind w:right="60"/>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ADMIN (2016)25 - Décision de la haute représentante de l’Union pour les affaires étrangères et la politique de sécurité portant adoption des dispositions générales d’exécution de l’article 45 </w:t>
            </w:r>
            <w:r>
              <w:rPr>
                <w:rFonts w:ascii="Times New Roman" w:hAnsi="Times New Roman" w:cs="Times New Roman"/>
                <w:i/>
                <w:noProof/>
                <w:spacing w:val="-2"/>
                <w:w w:val="105"/>
                <w:sz w:val="12"/>
              </w:rPr>
              <w:t>bis</w:t>
            </w:r>
            <w:r>
              <w:rPr>
                <w:rFonts w:ascii="Times New Roman" w:hAnsi="Times New Roman" w:cs="Times New Roman"/>
                <w:noProof/>
                <w:spacing w:val="-2"/>
                <w:w w:val="105"/>
                <w:sz w:val="12"/>
              </w:rPr>
              <w:t xml:space="preserve"> du statut relatif à la certification</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14.12.2016</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b/>
          <w:bCs/>
          <w:noProof/>
          <w:sz w:val="20"/>
          <w:szCs w:val="20"/>
        </w:rPr>
      </w:pPr>
    </w:p>
    <w:p>
      <w:pPr>
        <w:widowControl w:val="0"/>
        <w:spacing w:before="3" w:after="0" w:line="240" w:lineRule="auto"/>
        <w:jc w:val="center"/>
        <w:rPr>
          <w:rFonts w:ascii="Times New Roman" w:eastAsia="Times New Roman" w:hAnsi="Times New Roman" w:cs="Times New Roman"/>
          <w:noProof/>
          <w:sz w:val="14"/>
          <w:szCs w:val="14"/>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427"/>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63"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IV - Des conditions de travail du fonctionnaire</w:t>
            </w:r>
          </w:p>
        </w:tc>
      </w:tr>
      <w:tr>
        <w:trPr>
          <w:trHeight w:hRule="exact" w:val="334"/>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52" w:after="0" w:line="240" w:lineRule="auto"/>
              <w:ind w:right="890"/>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Durée du travail</w:t>
            </w:r>
          </w:p>
        </w:tc>
      </w:tr>
      <w:tr>
        <w:trPr>
          <w:trHeight w:hRule="exact" w:val="437"/>
        </w:trPr>
        <w:tc>
          <w:tcPr>
            <w:tcW w:w="779"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93"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55</w:t>
            </w:r>
          </w:p>
        </w:tc>
        <w:tc>
          <w:tcPr>
            <w:tcW w:w="2722"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6"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Temps de travail</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7" w:after="0" w:line="271" w:lineRule="auto"/>
              <w:ind w:right="24"/>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EEAS DEC(2014)009 - Décision C(2013) 8995 relative au temps de travail</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1.7.2014</w:t>
            </w:r>
          </w:p>
        </w:tc>
        <w:tc>
          <w:tcPr>
            <w:tcW w:w="893" w:type="dxa"/>
            <w:vMerge w:val="restart"/>
            <w:tcBorders>
              <w:top w:val="single" w:sz="5"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3"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51"/>
        </w:trPr>
        <w:tc>
          <w:tcPr>
            <w:tcW w:w="779" w:type="dxa"/>
            <w:vMerge/>
            <w:tcBorders>
              <w:left w:val="single" w:sz="4" w:space="0" w:color="000000"/>
              <w:bottom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6" w:after="0" w:line="271" w:lineRule="auto"/>
              <w:ind w:right="24"/>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EEAS DEC(2014)032 - Décision C(2014) 2502 relative au temps de 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638"/>
        </w:trPr>
        <w:tc>
          <w:tcPr>
            <w:tcW w:w="779" w:type="dxa"/>
            <w:vMerge w:val="restart"/>
            <w:tcBorders>
              <w:top w:val="single" w:sz="4" w:space="0" w:color="000000"/>
              <w:left w:val="single" w:sz="4" w:space="0" w:color="000000"/>
              <w:bottom w:val="single" w:sz="4" w:space="0" w:color="auto"/>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74" w:after="0" w:line="271" w:lineRule="auto"/>
              <w:ind w:right="46"/>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55 </w:t>
            </w:r>
            <w:r>
              <w:rPr>
                <w:rFonts w:ascii="Times New Roman" w:hAnsi="Times New Roman" w:cs="Times New Roman"/>
                <w:b/>
                <w:i/>
                <w:noProof/>
                <w:w w:val="105"/>
                <w:sz w:val="12"/>
              </w:rPr>
              <w:t>bis</w:t>
            </w:r>
            <w:r>
              <w:rPr>
                <w:rFonts w:ascii="Times New Roman" w:hAnsi="Times New Roman" w:cs="Times New Roman"/>
                <w:b/>
                <w:noProof/>
                <w:w w:val="105"/>
                <w:sz w:val="12"/>
              </w:rPr>
              <w:t xml:space="preserve"> + annexe IV </w:t>
            </w:r>
            <w:r>
              <w:rPr>
                <w:rFonts w:ascii="Times New Roman" w:hAnsi="Times New Roman" w:cs="Times New Roman"/>
                <w:b/>
                <w:i/>
                <w:noProof/>
                <w:w w:val="105"/>
                <w:sz w:val="12"/>
              </w:rPr>
              <w:t>bis</w:t>
            </w:r>
          </w:p>
        </w:tc>
        <w:tc>
          <w:tcPr>
            <w:tcW w:w="2722" w:type="dxa"/>
            <w:vMerge w:val="restart"/>
            <w:tcBorders>
              <w:top w:val="single" w:sz="4" w:space="0" w:color="000000"/>
              <w:left w:val="single" w:sz="4" w:space="0" w:color="000000"/>
              <w:bottom w:val="single" w:sz="4" w:space="0" w:color="auto"/>
              <w:right w:val="single" w:sz="4"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4" w:after="0" w:line="240" w:lineRule="auto"/>
              <w:jc w:val="center"/>
              <w:rPr>
                <w:rFonts w:ascii="Times New Roman" w:eastAsia="Times New Roman" w:hAnsi="Times New Roman" w:cs="Times New Roman"/>
                <w:noProof/>
                <w:sz w:val="19"/>
                <w:szCs w:val="19"/>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Travail à temps partiel</w:t>
            </w:r>
          </w:p>
        </w:tc>
        <w:tc>
          <w:tcPr>
            <w:tcW w:w="3230"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86" w:after="0" w:line="271" w:lineRule="auto"/>
              <w:ind w:right="44"/>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 xml:space="preserve">EEAS(2014)009 - Décision C(2013) 9046 relative à l'article 55 </w:t>
            </w:r>
            <w:r>
              <w:rPr>
                <w:rFonts w:ascii="Times New Roman" w:hAnsi="Times New Roman" w:cs="Times New Roman"/>
                <w:i/>
                <w:noProof/>
                <w:spacing w:val="-1"/>
                <w:w w:val="105"/>
                <w:sz w:val="12"/>
              </w:rPr>
              <w:t>bis</w:t>
            </w:r>
            <w:r>
              <w:rPr>
                <w:rFonts w:ascii="Times New Roman" w:hAnsi="Times New Roman" w:cs="Times New Roman"/>
                <w:noProof/>
                <w:spacing w:val="-1"/>
                <w:w w:val="105"/>
                <w:sz w:val="12"/>
              </w:rPr>
              <w:t xml:space="preserve"> et à l'annexe IV </w:t>
            </w:r>
            <w:r>
              <w:rPr>
                <w:rFonts w:ascii="Times New Roman" w:hAnsi="Times New Roman" w:cs="Times New Roman"/>
                <w:i/>
                <w:noProof/>
                <w:spacing w:val="-1"/>
                <w:w w:val="105"/>
                <w:sz w:val="12"/>
              </w:rPr>
              <w:t>bis</w:t>
            </w:r>
            <w:r>
              <w:rPr>
                <w:rFonts w:ascii="Times New Roman" w:hAnsi="Times New Roman" w:cs="Times New Roman"/>
                <w:noProof/>
                <w:spacing w:val="-1"/>
                <w:w w:val="105"/>
                <w:sz w:val="12"/>
              </w:rPr>
              <w:t xml:space="preserve"> du statut concernant le travail à temps partiel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1.7.2016</w:t>
            </w:r>
          </w:p>
        </w:tc>
        <w:tc>
          <w:tcPr>
            <w:tcW w:w="893"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6"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30"/>
        </w:trPr>
        <w:tc>
          <w:tcPr>
            <w:tcW w:w="779" w:type="dxa"/>
            <w:vMerge/>
            <w:tcBorders>
              <w:left w:val="single" w:sz="4" w:space="0" w:color="000000"/>
              <w:bottom w:val="single" w:sz="4" w:space="0" w:color="auto"/>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4" w:space="0" w:color="000000"/>
              <w:bottom w:val="single" w:sz="4" w:space="0" w:color="auto"/>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71" w:lineRule="auto"/>
              <w:ind w:right="27"/>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ADMIN (2016) 12 - Décision C(2015) 9720 final du 8 janvier 2016 relative au travail à temps partiel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Calibri" w:hAnsi="Times New Roman" w:cs="Times New Roman"/>
          <w:noProof/>
        </w:rPr>
        <w:sectPr>
          <w:headerReference w:type="even" r:id="rId93"/>
          <w:headerReference w:type="default" r:id="rId94"/>
          <w:footerReference w:type="even" r:id="rId95"/>
          <w:footerReference w:type="default" r:id="rId96"/>
          <w:headerReference w:type="first" r:id="rId97"/>
          <w:footerReference w:type="first" r:id="rId98"/>
          <w:pgSz w:w="11900" w:h="16840" w:code="9"/>
          <w:pgMar w:top="1040" w:right="620" w:bottom="280" w:left="220" w:header="854" w:footer="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93"/>
      </w:tblGrid>
      <w:tr>
        <w:trPr>
          <w:trHeight w:hRule="exact" w:val="456"/>
        </w:trPr>
        <w:tc>
          <w:tcPr>
            <w:tcW w:w="78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893" w:type="dxa"/>
            <w:tcBorders>
              <w:top w:val="single" w:sz="3" w:space="0" w:color="000000"/>
              <w:left w:val="single" w:sz="3" w:space="0" w:color="000000"/>
              <w:bottom w:val="single" w:sz="3" w:space="0" w:color="000000"/>
              <w:right w:val="single" w:sz="5"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93"/>
      </w:tblGrid>
      <w:tr>
        <w:trPr>
          <w:trHeight w:hRule="exact" w:val="521"/>
        </w:trPr>
        <w:tc>
          <w:tcPr>
            <w:tcW w:w="780"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83" w:after="0" w:line="271" w:lineRule="auto"/>
              <w:ind w:right="46"/>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55 </w:t>
            </w:r>
            <w:r>
              <w:rPr>
                <w:rFonts w:ascii="Times New Roman" w:hAnsi="Times New Roman" w:cs="Times New Roman"/>
                <w:b/>
                <w:i/>
                <w:noProof/>
                <w:w w:val="105"/>
                <w:sz w:val="12"/>
              </w:rPr>
              <w:t>bis</w:t>
            </w:r>
            <w:r>
              <w:rPr>
                <w:rFonts w:ascii="Times New Roman" w:hAnsi="Times New Roman" w:cs="Times New Roman"/>
                <w:b/>
                <w:noProof/>
                <w:w w:val="105"/>
                <w:sz w:val="12"/>
              </w:rPr>
              <w:t xml:space="preserve"> + annexe IV </w:t>
            </w:r>
            <w:r>
              <w:rPr>
                <w:rFonts w:ascii="Times New Roman" w:hAnsi="Times New Roman" w:cs="Times New Roman"/>
                <w:b/>
                <w:i/>
                <w:noProof/>
                <w:w w:val="105"/>
                <w:sz w:val="12"/>
              </w:rPr>
              <w:t>bis</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4" w:after="0" w:line="240" w:lineRule="auto"/>
              <w:jc w:val="center"/>
              <w:rPr>
                <w:rFonts w:ascii="Times New Roman" w:eastAsia="Times New Roman" w:hAnsi="Times New Roman" w:cs="Times New Roman"/>
                <w:noProof/>
                <w:sz w:val="19"/>
                <w:szCs w:val="19"/>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Télétravail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71" w:lineRule="auto"/>
              <w:ind w:right="390"/>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EEAS(2014)009 - Décision C(2013) 9045 relative à la mise en œuvre du 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1.7.2016</w:t>
            </w:r>
          </w:p>
        </w:tc>
        <w:tc>
          <w:tcPr>
            <w:tcW w:w="893"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3"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97"/>
        </w:trPr>
        <w:tc>
          <w:tcPr>
            <w:tcW w:w="780"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8" w:after="0" w:line="271" w:lineRule="auto"/>
              <w:ind w:right="157"/>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ADMIN (2016) 12 - Décision C(2015) 9151 final du 17 décembre 2015 relative à la mise en œuvre du télétravail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62"/>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66" w:after="0" w:line="240" w:lineRule="auto"/>
              <w:ind w:right="890"/>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2 - Congés</w:t>
            </w:r>
          </w:p>
        </w:tc>
      </w:tr>
      <w:tr>
        <w:trPr>
          <w:trHeight w:hRule="exact" w:val="451"/>
        </w:trPr>
        <w:tc>
          <w:tcPr>
            <w:tcW w:w="779"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1"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57 + annexe V</w:t>
            </w:r>
          </w:p>
        </w:tc>
        <w:tc>
          <w:tcPr>
            <w:tcW w:w="2722"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2"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Congés annuels et congés spéciaux</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4" w:after="0" w:line="271" w:lineRule="auto"/>
              <w:ind w:right="88"/>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EEAS DEC(2014)009 - Décision C(2013) 9051 final du 16 décembre 2013 relative aux congés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35"/>
        </w:trPr>
        <w:tc>
          <w:tcPr>
            <w:tcW w:w="779"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0" w:after="0" w:line="271" w:lineRule="auto"/>
              <w:ind w:right="90"/>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ADMIN (2016) 3 relative au congé spécial accordé en vertu de l’article 57 du statut et de l’article 6 de l’annexe V du statut pour les procédures administratives ou les examens médicaux</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1.3.2016</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79"/>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71" w:lineRule="auto"/>
              <w:ind w:right="112"/>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HR DEC(2013)014 - Décision relative au congé dans le foyer pour les fonctionnaires, les agents temporaires et les agents contractuels affectés dans les pays tiers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4"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8"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56"/>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13"/>
                <w:szCs w:val="13"/>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58</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28"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Congé de maternité</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9" w:after="0" w:line="271" w:lineRule="auto"/>
              <w:ind w:right="88"/>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EEAS DEC(2014)009 - Décision C(2013) 9051 final du 16 décembre 2013 relative aux congés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671"/>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59 - 60</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Congé de maladie</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 xml:space="preserve">PROC EEAS(2011)002 - Décision C(2004) 1597/11 portant création </w:t>
            </w:r>
            <w:r>
              <w:rPr>
                <w:rFonts w:ascii="Times New Roman" w:hAnsi="Times New Roman" w:cs="Times New Roman"/>
                <w:noProof/>
                <w:w w:val="105"/>
                <w:sz w:val="12"/>
              </w:rPr>
              <w:t>des dispositions d’application en matière d’absence pour maladie ou accident</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466"/>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82"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V + annexe VII - Du régime pécuniaire et des avantages sociaux du fonctionnaire</w:t>
            </w:r>
          </w:p>
        </w:tc>
      </w:tr>
      <w:tr>
        <w:trPr>
          <w:trHeight w:hRule="exact" w:val="389"/>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Rémunération et remboursement de frais</w:t>
            </w:r>
          </w:p>
        </w:tc>
      </w:tr>
      <w:tr>
        <w:trPr>
          <w:trHeight w:hRule="exact" w:val="389"/>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Annexe VII - Règles relatives à la rémunération et aux remboursements de frais</w:t>
            </w:r>
          </w:p>
        </w:tc>
      </w:tr>
      <w:tr>
        <w:trPr>
          <w:trHeight w:hRule="exact" w:val="389"/>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0" w:after="0" w:line="240" w:lineRule="auto"/>
              <w:ind w:right="890"/>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1 - Allocations familiales</w:t>
            </w:r>
          </w:p>
        </w:tc>
      </w:tr>
      <w:tr>
        <w:trPr>
          <w:trHeight w:hRule="exact" w:val="787"/>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4"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 1</w:t>
            </w:r>
            <w:r>
              <w:rPr>
                <w:rFonts w:ascii="Times New Roman" w:hAnsi="Times New Roman" w:cs="Times New Roman"/>
                <w:b/>
                <w:noProof/>
                <w:spacing w:val="-2"/>
                <w:w w:val="105"/>
                <w:sz w:val="12"/>
                <w:vertAlign w:val="superscript"/>
              </w:rPr>
              <w:t>er</w:t>
            </w:r>
            <w:r>
              <w:rPr>
                <w:rFonts w:ascii="Times New Roman" w:hAnsi="Times New Roman" w:cs="Times New Roman"/>
                <w:b/>
                <w:noProof/>
                <w:spacing w:val="-2"/>
                <w:w w:val="105"/>
                <w:sz w:val="12"/>
              </w:rPr>
              <w:t xml:space="preserve"> - 3)</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1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Allocations familiales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EEAS(2011)013 - C(2004) 1364/4 - Dispositions</w:t>
            </w:r>
          </w:p>
          <w:p>
            <w:pPr>
              <w:widowControl w:val="0"/>
              <w:spacing w:before="18" w:after="0" w:line="271" w:lineRule="auto"/>
              <w:ind w:right="17"/>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générales d'exécution relatives à l'application des articles 67 et 68 du statut des fonctionnaires et des articles 1</w:t>
            </w:r>
            <w:r>
              <w:rPr>
                <w:rFonts w:ascii="Times New Roman" w:hAnsi="Times New Roman" w:cs="Times New Roman"/>
                <w:noProof/>
                <w:spacing w:val="-1"/>
                <w:w w:val="105"/>
                <w:sz w:val="12"/>
                <w:vertAlign w:val="superscript"/>
              </w:rPr>
              <w:t>er</w:t>
            </w:r>
            <w:r>
              <w:rPr>
                <w:rFonts w:ascii="Times New Roman" w:hAnsi="Times New Roman" w:cs="Times New Roman"/>
                <w:noProof/>
                <w:spacing w:val="-1"/>
                <w:w w:val="105"/>
                <w:sz w:val="12"/>
              </w:rPr>
              <w:t>, 2 et 3 de son annexe VII</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815"/>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91" w:after="0" w:line="240" w:lineRule="auto"/>
              <w:jc w:val="center"/>
              <w:rPr>
                <w:rFonts w:ascii="Times New Roman" w:eastAsia="Times New Roman" w:hAnsi="Times New Roman" w:cs="Times New Roman"/>
                <w:noProof/>
                <w:sz w:val="12"/>
                <w:szCs w:val="12"/>
                <w:lang w:val="da-DK"/>
              </w:rPr>
            </w:pPr>
            <w:r>
              <w:rPr>
                <w:rFonts w:ascii="Times New Roman" w:hAnsi="Times New Roman" w:cs="Times New Roman"/>
                <w:b/>
                <w:noProof/>
                <w:w w:val="105"/>
                <w:sz w:val="12"/>
                <w:lang w:val="da-DK"/>
              </w:rPr>
              <w:t>67 - 68 +</w:t>
            </w:r>
          </w:p>
          <w:p>
            <w:pPr>
              <w:widowControl w:val="0"/>
              <w:spacing w:before="18" w:after="0" w:line="271" w:lineRule="auto"/>
              <w:ind w:right="45"/>
              <w:jc w:val="center"/>
              <w:rPr>
                <w:rFonts w:ascii="Times New Roman" w:eastAsia="Times New Roman" w:hAnsi="Times New Roman" w:cs="Times New Roman"/>
                <w:noProof/>
                <w:sz w:val="12"/>
                <w:szCs w:val="12"/>
                <w:lang w:val="da-DK"/>
              </w:rPr>
            </w:pPr>
            <w:r>
              <w:rPr>
                <w:rFonts w:ascii="Times New Roman" w:hAnsi="Times New Roman" w:cs="Times New Roman"/>
                <w:b/>
                <w:noProof/>
                <w:spacing w:val="-2"/>
                <w:w w:val="105"/>
                <w:sz w:val="12"/>
                <w:lang w:val="da-DK"/>
              </w:rPr>
              <w:t>annexe VII [art. 1</w:t>
            </w:r>
            <w:r>
              <w:rPr>
                <w:rFonts w:ascii="Times New Roman" w:hAnsi="Times New Roman" w:cs="Times New Roman"/>
                <w:b/>
                <w:noProof/>
                <w:spacing w:val="-2"/>
                <w:w w:val="105"/>
                <w:sz w:val="12"/>
                <w:vertAlign w:val="superscript"/>
                <w:lang w:val="da-DK"/>
              </w:rPr>
              <w:t>er</w:t>
            </w:r>
            <w:r>
              <w:rPr>
                <w:rFonts w:ascii="Times New Roman" w:hAnsi="Times New Roman" w:cs="Times New Roman"/>
                <w:b/>
                <w:noProof/>
                <w:spacing w:val="-2"/>
                <w:w w:val="105"/>
                <w:sz w:val="12"/>
                <w:lang w:val="da-DK"/>
              </w:rPr>
              <w:t xml:space="preserve"> (2) point d)]</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6" w:after="0" w:line="258" w:lineRule="auto"/>
              <w:ind w:right="221"/>
              <w:jc w:val="center"/>
              <w:rPr>
                <w:rFonts w:ascii="Times New Roman" w:eastAsia="Times New Roman" w:hAnsi="Times New Roman" w:cs="Times New Roman"/>
                <w:noProof/>
                <w:sz w:val="16"/>
                <w:szCs w:val="16"/>
              </w:rPr>
            </w:pPr>
            <w:r>
              <w:rPr>
                <w:rFonts w:ascii="Times New Roman" w:hAnsi="Times New Roman" w:cs="Times New Roman"/>
                <w:b/>
                <w:noProof/>
                <w:spacing w:val="-1"/>
                <w:sz w:val="17"/>
              </w:rPr>
              <w:t>Allocation de foyer par décision spéciale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EEAS(2011)013 - C(2004) 164/1 - Dispositions</w:t>
            </w:r>
          </w:p>
          <w:p>
            <w:pPr>
              <w:widowControl w:val="0"/>
              <w:spacing w:before="18" w:after="0" w:line="271" w:lineRule="auto"/>
              <w:ind w:right="287"/>
              <w:jc w:val="center"/>
              <w:rPr>
                <w:rFonts w:ascii="Times New Roman" w:eastAsia="Times New Roman" w:hAnsi="Times New Roman" w:cs="Times New Roman"/>
                <w:noProof/>
                <w:sz w:val="12"/>
                <w:szCs w:val="12"/>
              </w:rPr>
            </w:pPr>
            <w:r>
              <w:rPr>
                <w:rFonts w:ascii="Times New Roman" w:hAnsi="Times New Roman" w:cs="Times New Roman"/>
                <w:noProof/>
                <w:w w:val="105"/>
                <w:sz w:val="12"/>
              </w:rPr>
              <w:t>générales d'exécution relatives à l'allocation de foyer par décision spéciale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6"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662"/>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 2 (4)]</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noProof/>
                <w:sz w:val="20"/>
                <w:szCs w:val="20"/>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Personnes assimilées à un enfant à charge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EEAS(2011)013 - C(2004) 1364/2 - Dispositions</w:t>
            </w:r>
          </w:p>
          <w:p>
            <w:pPr>
              <w:widowControl w:val="0"/>
              <w:spacing w:before="18" w:after="0" w:line="271" w:lineRule="auto"/>
              <w:ind w:right="51"/>
              <w:jc w:val="center"/>
              <w:rPr>
                <w:rFonts w:ascii="Times New Roman" w:eastAsia="Times New Roman" w:hAnsi="Times New Roman" w:cs="Times New Roman"/>
                <w:noProof/>
                <w:sz w:val="12"/>
                <w:szCs w:val="12"/>
              </w:rPr>
            </w:pPr>
            <w:r>
              <w:rPr>
                <w:rFonts w:ascii="Times New Roman" w:hAnsi="Times New Roman" w:cs="Times New Roman"/>
                <w:noProof/>
                <w:w w:val="105"/>
                <w:sz w:val="12"/>
              </w:rPr>
              <w:t>générales d'exécution relatives aux personnes assimilées à un enfant à charge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30"/>
        </w:trPr>
        <w:tc>
          <w:tcPr>
            <w:tcW w:w="779" w:type="dxa"/>
            <w:vMerge w:val="restart"/>
            <w:tcBorders>
              <w:top w:val="single" w:sz="3" w:space="0" w:color="000000"/>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4"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 3)</w:t>
            </w:r>
          </w:p>
        </w:tc>
        <w:tc>
          <w:tcPr>
            <w:tcW w:w="2722"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3" w:after="0" w:line="240" w:lineRule="auto"/>
              <w:jc w:val="center"/>
              <w:rPr>
                <w:rFonts w:ascii="Times New Roman" w:eastAsia="Times New Roman" w:hAnsi="Times New Roman" w:cs="Times New Roman"/>
                <w:noProof/>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95"/>
                <w:sz w:val="17"/>
              </w:rPr>
              <w:t>Allocation scolaire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3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EEAS(2011)013 - C(2004) 1313 final/2 - Dispositions</w:t>
            </w:r>
          </w:p>
          <w:p>
            <w:pPr>
              <w:widowControl w:val="0"/>
              <w:spacing w:before="18" w:after="0" w:line="271" w:lineRule="auto"/>
              <w:ind w:right="207"/>
              <w:jc w:val="center"/>
              <w:rPr>
                <w:rFonts w:ascii="Times New Roman" w:eastAsia="Times New Roman" w:hAnsi="Times New Roman" w:cs="Times New Roman"/>
                <w:noProof/>
                <w:sz w:val="12"/>
                <w:szCs w:val="12"/>
              </w:rPr>
            </w:pPr>
            <w:r>
              <w:rPr>
                <w:rFonts w:ascii="Times New Roman" w:hAnsi="Times New Roman" w:cs="Times New Roman"/>
                <w:noProof/>
                <w:w w:val="105"/>
                <w:sz w:val="12"/>
              </w:rPr>
              <w:t>générales d’exécution relatives à l’octroi de l’allocation scolaire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1.3.2014</w:t>
            </w:r>
          </w:p>
        </w:tc>
        <w:tc>
          <w:tcPr>
            <w:tcW w:w="893" w:type="dxa"/>
            <w:vMerge w:val="restart"/>
            <w:tcBorders>
              <w:top w:val="single" w:sz="3"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54"/>
        </w:trPr>
        <w:tc>
          <w:tcPr>
            <w:tcW w:w="779"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1"/>
                <w:szCs w:val="11"/>
              </w:rPr>
            </w:pPr>
          </w:p>
          <w:p>
            <w:pPr>
              <w:widowControl w:val="0"/>
              <w:spacing w:after="0" w:line="271" w:lineRule="auto"/>
              <w:ind w:right="92"/>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HR DEC(2014)02 - C(2013) 8971 - Dispositions générales d'exécution relatives à l'octroi de l'allocation scolaire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1.3.2014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89"/>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Section 3 - Remboursement de frais</w:t>
            </w:r>
          </w:p>
        </w:tc>
      </w:tr>
      <w:tr>
        <w:trPr>
          <w:trHeight w:hRule="exact" w:val="653"/>
        </w:trPr>
        <w:tc>
          <w:tcPr>
            <w:tcW w:w="779" w:type="dxa"/>
            <w:vMerge w:val="restart"/>
            <w:tcBorders>
              <w:top w:val="single" w:sz="5" w:space="0" w:color="000000"/>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3"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71 + annexe</w:t>
            </w:r>
          </w:p>
          <w:p>
            <w:pPr>
              <w:widowControl w:val="0"/>
              <w:spacing w:before="18"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VII (art. 7 - 8)</w:t>
            </w:r>
          </w:p>
        </w:tc>
        <w:tc>
          <w:tcPr>
            <w:tcW w:w="2722" w:type="dxa"/>
            <w:vMerge w:val="restart"/>
            <w:tcBorders>
              <w:top w:val="single" w:sz="5"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9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Frais de voyage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noProof/>
                <w:sz w:val="15"/>
                <w:szCs w:val="15"/>
              </w:rPr>
            </w:pPr>
          </w:p>
          <w:p>
            <w:pPr>
              <w:widowControl w:val="0"/>
              <w:spacing w:after="0" w:line="271" w:lineRule="auto"/>
              <w:ind w:right="137"/>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EEAS(2011)013 - C(2004) 1588 final/3 concernant les dispositions générales d'exécution relatives à l'application de l'article 8 de l'Annexe VII</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1.3.2014</w:t>
            </w:r>
          </w:p>
        </w:tc>
        <w:tc>
          <w:tcPr>
            <w:tcW w:w="893" w:type="dxa"/>
            <w:vMerge w:val="restart"/>
            <w:tcBorders>
              <w:top w:val="single" w:sz="5"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87"/>
        </w:trPr>
        <w:tc>
          <w:tcPr>
            <w:tcW w:w="779" w:type="dxa"/>
            <w:vMerge/>
            <w:tcBorders>
              <w:left w:val="single" w:sz="4" w:space="0" w:color="000000"/>
              <w:bottom w:val="single" w:sz="5"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5"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5" w:space="0" w:color="000000"/>
              <w:right w:val="single" w:sz="3" w:space="0" w:color="000000"/>
            </w:tcBorders>
            <w:shd w:val="clear" w:color="auto" w:fill="FFFF65"/>
          </w:tcPr>
          <w:p>
            <w:pPr>
              <w:widowControl w:val="0"/>
              <w:spacing w:before="93" w:after="0" w:line="271" w:lineRule="auto"/>
              <w:ind w:right="77"/>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PROC EEAS(2014)02 - C(2013) 8987 final portant dispositions générales d’exécution de l’article 8 de l’annexe VII du statut</w:t>
            </w:r>
          </w:p>
        </w:tc>
        <w:tc>
          <w:tcPr>
            <w:tcW w:w="1409" w:type="dxa"/>
            <w:tcBorders>
              <w:top w:val="single" w:sz="3" w:space="0" w:color="000000"/>
              <w:left w:val="single" w:sz="3" w:space="0" w:color="000000"/>
              <w:bottom w:val="single" w:sz="5"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1.3.2014</w:t>
            </w:r>
          </w:p>
        </w:tc>
        <w:tc>
          <w:tcPr>
            <w:tcW w:w="1800" w:type="dxa"/>
            <w:tcBorders>
              <w:top w:val="single" w:sz="3" w:space="0" w:color="000000"/>
              <w:left w:val="single" w:sz="3" w:space="0" w:color="000000"/>
              <w:bottom w:val="single" w:sz="5"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vMerge/>
            <w:tcBorders>
              <w:left w:val="single" w:sz="3" w:space="0" w:color="000000"/>
              <w:bottom w:val="single" w:sz="5"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648"/>
        </w:trPr>
        <w:tc>
          <w:tcPr>
            <w:tcW w:w="779" w:type="dxa"/>
            <w:vMerge w:val="restart"/>
            <w:tcBorders>
              <w:top w:val="single" w:sz="5" w:space="0" w:color="000000"/>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71 + annexe</w:t>
            </w:r>
          </w:p>
          <w:p>
            <w:pPr>
              <w:widowControl w:val="0"/>
              <w:spacing w:before="18"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VII (art. 8)</w:t>
            </w:r>
          </w:p>
        </w:tc>
        <w:tc>
          <w:tcPr>
            <w:tcW w:w="2722" w:type="dxa"/>
            <w:vMerge w:val="restart"/>
            <w:tcBorders>
              <w:top w:val="single" w:sz="5"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120"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Lieu d’origine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EEAS(2011)013 - C(2004) 1364/3 - Dispositions</w:t>
            </w:r>
          </w:p>
          <w:p>
            <w:pPr>
              <w:widowControl w:val="0"/>
              <w:spacing w:before="18" w:after="0" w:line="271" w:lineRule="auto"/>
              <w:ind w:right="92"/>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générales d'exécution de l’article 7, paragraphe 3, de l’annexe VII concernant la fixation du lieu d’origine</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1.3.2014</w:t>
            </w:r>
          </w:p>
        </w:tc>
        <w:tc>
          <w:tcPr>
            <w:tcW w:w="893" w:type="dxa"/>
            <w:vMerge w:val="restart"/>
            <w:tcBorders>
              <w:top w:val="single" w:sz="5"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7"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21"/>
        </w:trPr>
        <w:tc>
          <w:tcPr>
            <w:tcW w:w="779"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33" w:after="0" w:line="271" w:lineRule="auto"/>
              <w:ind w:right="92"/>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HR DEC(2014)02 - C(2013)8982 final - Décision portant dispositions générales d'exécution de l'article 7, paragraphe 4, de l'annexe VII relatif à la fixation du lieu d'origine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1.3.2014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Calibri" w:hAnsi="Times New Roman" w:cs="Times New Roman"/>
          <w:noProof/>
        </w:rPr>
        <w:sectPr>
          <w:headerReference w:type="even" r:id="rId99"/>
          <w:headerReference w:type="default" r:id="rId100"/>
          <w:footerReference w:type="even" r:id="rId101"/>
          <w:footerReference w:type="default" r:id="rId102"/>
          <w:headerReference w:type="first" r:id="rId103"/>
          <w:footerReference w:type="first" r:id="rId104"/>
          <w:pgSz w:w="11900" w:h="16840" w:code="9"/>
          <w:pgMar w:top="1040" w:right="620" w:bottom="280" w:left="220" w:header="854" w:footer="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93"/>
      </w:tblGrid>
      <w:tr>
        <w:trPr>
          <w:trHeight w:hRule="exact" w:val="456"/>
        </w:trPr>
        <w:tc>
          <w:tcPr>
            <w:tcW w:w="78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893" w:type="dxa"/>
            <w:tcBorders>
              <w:top w:val="single" w:sz="3" w:space="0" w:color="000000"/>
              <w:left w:val="single" w:sz="3" w:space="0" w:color="000000"/>
              <w:bottom w:val="single" w:sz="3" w:space="0" w:color="000000"/>
              <w:right w:val="single" w:sz="5"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val="262"/>
        </w:trPr>
        <w:tc>
          <w:tcPr>
            <w:tcW w:w="779" w:type="dxa"/>
            <w:vMerge w:val="restart"/>
            <w:tcBorders>
              <w:top w:val="single" w:sz="5" w:space="0" w:color="000000"/>
              <w:left w:val="single" w:sz="4" w:space="0" w:color="000000"/>
              <w:right w:val="single" w:sz="3" w:space="0" w:color="000000"/>
            </w:tcBorders>
            <w:shd w:val="clear" w:color="auto" w:fill="FFFF65"/>
          </w:tcPr>
          <w:p>
            <w:pPr>
              <w:widowControl w:val="0"/>
              <w:spacing w:after="0" w:line="271" w:lineRule="auto"/>
              <w:ind w:right="6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71 + annexe VII (art. 9)</w:t>
            </w:r>
          </w:p>
        </w:tc>
        <w:tc>
          <w:tcPr>
            <w:tcW w:w="2722"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7"/>
              </w:rPr>
              <w:t>Frais de déménagement</w:t>
            </w:r>
          </w:p>
        </w:tc>
        <w:tc>
          <w:tcPr>
            <w:tcW w:w="3230" w:type="dxa"/>
            <w:tcBorders>
              <w:top w:val="single" w:sz="5" w:space="0" w:color="000000"/>
              <w:left w:val="single" w:sz="3" w:space="0" w:color="000000"/>
              <w:bottom w:val="single" w:sz="3" w:space="0" w:color="000000"/>
              <w:right w:val="single" w:sz="4" w:space="0" w:color="000000"/>
            </w:tcBorders>
            <w:shd w:val="clear" w:color="auto" w:fill="FFFF65"/>
          </w:tcPr>
          <w:p>
            <w:pPr>
              <w:widowControl w:val="0"/>
              <w:spacing w:before="18" w:after="0" w:line="271" w:lineRule="auto"/>
              <w:ind w:right="95"/>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HR DEC(2014)02 - C(2013) 9040 final portant dispositions générales d'exécution relatives aux frais de déménagement</w:t>
            </w:r>
          </w:p>
        </w:tc>
        <w:tc>
          <w:tcPr>
            <w:tcW w:w="1409" w:type="dxa"/>
            <w:tcBorders>
              <w:top w:val="single" w:sz="6" w:space="0" w:color="000000"/>
              <w:left w:val="single" w:sz="4" w:space="0" w:color="000000"/>
              <w:bottom w:val="single" w:sz="4" w:space="0" w:color="auto"/>
              <w:right w:val="single" w:sz="4" w:space="0" w:color="000000"/>
            </w:tcBorders>
            <w:shd w:val="clear" w:color="auto" w:fill="FFFF65"/>
            <w:vAlign w:val="center"/>
          </w:tcPr>
          <w:p>
            <w:pPr>
              <w:widowControl w:val="0"/>
              <w:spacing w:before="18" w:after="0" w:line="271" w:lineRule="auto"/>
              <w:ind w:right="95"/>
              <w:jc w:val="center"/>
              <w:rPr>
                <w:rFonts w:ascii="Times New Roman" w:hAnsi="Times New Roman" w:cs="Times New Roman"/>
                <w:noProof/>
                <w:w w:val="105"/>
                <w:sz w:val="12"/>
              </w:rPr>
            </w:pPr>
          </w:p>
          <w:p>
            <w:pPr>
              <w:widowControl w:val="0"/>
              <w:spacing w:before="18" w:after="0" w:line="271" w:lineRule="auto"/>
              <w:ind w:right="95"/>
              <w:jc w:val="center"/>
              <w:rPr>
                <w:rFonts w:ascii="Times New Roman" w:hAnsi="Times New Roman" w:cs="Times New Roman"/>
                <w:noProof/>
                <w:w w:val="105"/>
                <w:sz w:val="12"/>
              </w:rPr>
            </w:pPr>
            <w:r>
              <w:rPr>
                <w:rFonts w:ascii="Times New Roman" w:hAnsi="Times New Roman" w:cs="Times New Roman"/>
                <w:noProof/>
                <w:w w:val="105"/>
                <w:sz w:val="12"/>
              </w:rPr>
              <w:t>1.3.2014</w:t>
            </w:r>
          </w:p>
        </w:tc>
        <w:tc>
          <w:tcPr>
            <w:tcW w:w="1800" w:type="dxa"/>
            <w:tcBorders>
              <w:top w:val="single" w:sz="6" w:space="0" w:color="000000"/>
              <w:left w:val="single" w:sz="4" w:space="0" w:color="000000"/>
              <w:bottom w:val="single" w:sz="4" w:space="0" w:color="auto"/>
              <w:right w:val="single" w:sz="4" w:space="0" w:color="000000"/>
            </w:tcBorders>
            <w:shd w:val="clear" w:color="auto" w:fill="FFFF65"/>
            <w:vAlign w:val="center"/>
          </w:tcPr>
          <w:p>
            <w:pPr>
              <w:widowControl w:val="0"/>
              <w:spacing w:before="18" w:after="0" w:line="271" w:lineRule="auto"/>
              <w:ind w:right="95"/>
              <w:jc w:val="center"/>
              <w:rPr>
                <w:rFonts w:ascii="Times New Roman" w:hAnsi="Times New Roman" w:cs="Times New Roman"/>
                <w:noProof/>
                <w:w w:val="105"/>
                <w:sz w:val="12"/>
              </w:rPr>
            </w:pPr>
          </w:p>
          <w:p>
            <w:pPr>
              <w:widowControl w:val="0"/>
              <w:spacing w:before="18" w:after="0" w:line="271" w:lineRule="auto"/>
              <w:ind w:right="95"/>
              <w:jc w:val="center"/>
              <w:rPr>
                <w:rFonts w:ascii="Times New Roman" w:hAnsi="Times New Roman" w:cs="Times New Roman"/>
                <w:noProof/>
                <w:w w:val="105"/>
                <w:sz w:val="12"/>
              </w:rPr>
            </w:pPr>
            <w:r>
              <w:rPr>
                <w:rFonts w:ascii="Times New Roman" w:hAnsi="Times New Roman" w:cs="Times New Roman"/>
                <w:noProof/>
                <w:w w:val="105"/>
                <w:sz w:val="12"/>
              </w:rPr>
              <w:t>30.7.2015</w:t>
            </w:r>
          </w:p>
        </w:tc>
        <w:tc>
          <w:tcPr>
            <w:tcW w:w="893" w:type="dxa"/>
            <w:vMerge w:val="restart"/>
            <w:tcBorders>
              <w:top w:val="single" w:sz="5" w:space="0" w:color="000000"/>
              <w:left w:val="single" w:sz="4" w:space="0" w:color="000000"/>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04"/>
        </w:trPr>
        <w:tc>
          <w:tcPr>
            <w:tcW w:w="779" w:type="dxa"/>
            <w:vMerge/>
            <w:tcBorders>
              <w:left w:val="single" w:sz="4" w:space="0" w:color="000000"/>
              <w:bottom w:val="single" w:sz="3" w:space="0" w:color="000000"/>
              <w:right w:val="single" w:sz="3" w:space="0" w:color="000000"/>
            </w:tcBorders>
            <w:shd w:val="clear" w:color="auto" w:fill="FFFF65"/>
          </w:tcPr>
          <w:p>
            <w:pPr>
              <w:widowControl w:val="0"/>
              <w:spacing w:after="0" w:line="271" w:lineRule="auto"/>
              <w:ind w:right="61"/>
              <w:jc w:val="center"/>
              <w:rPr>
                <w:rFonts w:ascii="Times New Roman" w:hAnsi="Times New Roman" w:cs="Times New Roman"/>
                <w:b/>
                <w:noProof/>
                <w:w w:val="105"/>
                <w:sz w:val="12"/>
              </w:rPr>
            </w:pPr>
          </w:p>
        </w:tc>
        <w:tc>
          <w:tcPr>
            <w:tcW w:w="2722" w:type="dxa"/>
            <w:vMerge/>
            <w:tcBorders>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hAnsi="Times New Roman" w:cs="Times New Roman"/>
                <w:b/>
                <w:noProof/>
                <w:spacing w:val="-1"/>
                <w:sz w:val="17"/>
              </w:rPr>
            </w:pPr>
          </w:p>
        </w:tc>
        <w:tc>
          <w:tcPr>
            <w:tcW w:w="3230"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before="18" w:after="0" w:line="271" w:lineRule="auto"/>
              <w:ind w:right="95"/>
              <w:jc w:val="center"/>
              <w:rPr>
                <w:rFonts w:ascii="Times New Roman" w:hAnsi="Times New Roman" w:cs="Times New Roman"/>
                <w:noProof/>
                <w:spacing w:val="-2"/>
                <w:w w:val="105"/>
                <w:sz w:val="12"/>
              </w:rPr>
            </w:pPr>
            <w:r>
              <w:rPr>
                <w:rFonts w:ascii="Times New Roman" w:hAnsi="Times New Roman" w:cs="Times New Roman"/>
                <w:noProof/>
                <w:spacing w:val="-1"/>
                <w:w w:val="105"/>
                <w:sz w:val="12"/>
              </w:rPr>
              <w:t>ADMIN(2015)26 - Décision concernant le remboursement des frais de déménagement pour le personnel provenant des services diplomatiques des États membres et recrutés par le SEAE sans modification du lieu de résidence</w:t>
            </w:r>
          </w:p>
        </w:tc>
        <w:tc>
          <w:tcPr>
            <w:tcW w:w="1409" w:type="dxa"/>
            <w:tcBorders>
              <w:top w:val="single" w:sz="4" w:space="0" w:color="auto"/>
              <w:left w:val="single" w:sz="3" w:space="0" w:color="000000"/>
              <w:bottom w:val="single" w:sz="4" w:space="0" w:color="000000"/>
              <w:right w:val="single" w:sz="3" w:space="0" w:color="000000"/>
            </w:tcBorders>
            <w:shd w:val="clear" w:color="auto" w:fill="D99594" w:themeFill="accent2" w:themeFillTint="99"/>
            <w:vAlign w:val="center"/>
          </w:tcPr>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30.7.2015</w:t>
            </w:r>
          </w:p>
        </w:tc>
        <w:tc>
          <w:tcPr>
            <w:tcW w:w="1800" w:type="dxa"/>
            <w:tcBorders>
              <w:top w:val="single" w:sz="4" w:space="0" w:color="auto"/>
              <w:left w:val="single" w:sz="3" w:space="0" w:color="000000"/>
              <w:bottom w:val="single" w:sz="4" w:space="0" w:color="000000"/>
              <w:right w:val="single" w:sz="3"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noProof/>
              </w:rPr>
            </w:pPr>
          </w:p>
        </w:tc>
        <w:tc>
          <w:tcPr>
            <w:tcW w:w="893" w:type="dxa"/>
            <w:vMerge/>
            <w:tcBorders>
              <w:left w:val="single" w:sz="3" w:space="0" w:color="000000"/>
              <w:bottom w:val="single" w:sz="4" w:space="0" w:color="000000"/>
              <w:right w:val="single" w:sz="5"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val="232"/>
        </w:trPr>
        <w:tc>
          <w:tcPr>
            <w:tcW w:w="779" w:type="dxa"/>
            <w:vMerge w:val="restart"/>
            <w:tcBorders>
              <w:top w:val="single" w:sz="3" w:space="0" w:color="000000"/>
              <w:left w:val="single" w:sz="4" w:space="0" w:color="000000"/>
              <w:right w:val="single" w:sz="3" w:space="0" w:color="000000"/>
            </w:tcBorders>
            <w:shd w:val="clear" w:color="auto" w:fill="FFFF65"/>
          </w:tcPr>
          <w:p>
            <w:pPr>
              <w:widowControl w:val="0"/>
              <w:spacing w:after="0" w:line="271" w:lineRule="auto"/>
              <w:ind w:right="-5"/>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 xml:space="preserve">71 + annexe VII (art. 11 - 13 </w:t>
            </w:r>
            <w:r>
              <w:rPr>
                <w:rFonts w:ascii="Times New Roman" w:hAnsi="Times New Roman" w:cs="Times New Roman"/>
                <w:b/>
                <w:i/>
                <w:noProof/>
                <w:spacing w:val="-1"/>
                <w:w w:val="105"/>
                <w:sz w:val="12"/>
              </w:rPr>
              <w:t>bis</w:t>
            </w:r>
            <w:r>
              <w:rPr>
                <w:rFonts w:ascii="Times New Roman" w:hAnsi="Times New Roman" w:cs="Times New Roman"/>
                <w:b/>
                <w:noProof/>
                <w:spacing w:val="-1"/>
                <w:w w:val="105"/>
                <w:sz w:val="12"/>
              </w:rPr>
              <w:t>)</w:t>
            </w:r>
          </w:p>
        </w:tc>
        <w:tc>
          <w:tcPr>
            <w:tcW w:w="2722" w:type="dxa"/>
            <w:vMerge w:val="restart"/>
            <w:tcBorders>
              <w:top w:val="single" w:sz="3" w:space="0" w:color="000000"/>
              <w:left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Frais de mission et de déplacement</w:t>
            </w:r>
          </w:p>
        </w:tc>
        <w:tc>
          <w:tcPr>
            <w:tcW w:w="3230" w:type="dxa"/>
            <w:tcBorders>
              <w:top w:val="single" w:sz="3" w:space="0" w:color="000000"/>
              <w:left w:val="single" w:sz="3" w:space="0" w:color="000000"/>
              <w:bottom w:val="single" w:sz="3" w:space="0" w:color="000000"/>
              <w:right w:val="single" w:sz="4" w:space="0" w:color="000000"/>
            </w:tcBorders>
            <w:shd w:val="clear" w:color="auto" w:fill="D99594" w:themeFill="accent2" w:themeFillTint="99"/>
          </w:tcPr>
          <w:p>
            <w:pPr>
              <w:widowControl w:val="0"/>
              <w:spacing w:before="18" w:after="0" w:line="271" w:lineRule="auto"/>
              <w:ind w:right="21"/>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EEAS(2011)002 - C(2002) 98 - Décision fixant les taux des indemnités journalières et les plafonds de remboursement de frais d'hôtel pour les missions effectuées en dehors du territoire européen des États membres de l'Union européenne</w:t>
            </w:r>
          </w:p>
        </w:tc>
        <w:tc>
          <w:tcPr>
            <w:tcW w:w="1409" w:type="dxa"/>
            <w:tcBorders>
              <w:top w:val="single" w:sz="4" w:space="0" w:color="000000"/>
              <w:left w:val="single" w:sz="4" w:space="0" w:color="000000"/>
              <w:bottom w:val="single" w:sz="4" w:space="0" w:color="auto"/>
              <w:right w:val="single" w:sz="4" w:space="0" w:color="000000"/>
            </w:tcBorders>
            <w:shd w:val="clear" w:color="auto" w:fill="D99594" w:themeFill="accent2" w:themeFillTint="99"/>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29.11.2011</w:t>
            </w:r>
          </w:p>
        </w:tc>
        <w:tc>
          <w:tcPr>
            <w:tcW w:w="1800" w:type="dxa"/>
            <w:tcBorders>
              <w:top w:val="single" w:sz="4" w:space="0" w:color="000000"/>
              <w:left w:val="single" w:sz="4" w:space="0" w:color="000000"/>
              <w:bottom w:val="single" w:sz="4" w:space="0" w:color="auto"/>
              <w:right w:val="single" w:sz="4" w:space="0" w:color="000000"/>
            </w:tcBorders>
            <w:shd w:val="clear" w:color="auto" w:fill="D99594" w:themeFill="accent2" w:themeFillTint="99"/>
          </w:tcPr>
          <w:p>
            <w:pPr>
              <w:widowControl w:val="0"/>
              <w:spacing w:after="0" w:line="240" w:lineRule="auto"/>
              <w:jc w:val="center"/>
              <w:rPr>
                <w:rFonts w:ascii="Times New Roman" w:eastAsia="Calibri" w:hAnsi="Times New Roman" w:cs="Times New Roman"/>
                <w:noProof/>
              </w:rPr>
            </w:pPr>
          </w:p>
        </w:tc>
        <w:tc>
          <w:tcPr>
            <w:tcW w:w="893" w:type="dxa"/>
            <w:tcBorders>
              <w:top w:val="single" w:sz="4" w:space="0" w:color="000000"/>
              <w:left w:val="single" w:sz="4" w:space="0" w:color="000000"/>
              <w:bottom w:val="single" w:sz="4" w:space="0" w:color="auto"/>
              <w:right w:val="single" w:sz="6" w:space="0" w:color="000000"/>
            </w:tcBorders>
            <w:shd w:val="clear" w:color="auto" w:fill="D99594" w:themeFill="accent2" w:themeFillTint="99"/>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33"/>
        </w:trPr>
        <w:tc>
          <w:tcPr>
            <w:tcW w:w="779" w:type="dxa"/>
            <w:vMerge/>
            <w:tcBorders>
              <w:left w:val="single" w:sz="4" w:space="0" w:color="000000"/>
              <w:bottom w:val="single" w:sz="3" w:space="0" w:color="000000"/>
              <w:right w:val="single" w:sz="3" w:space="0" w:color="000000"/>
            </w:tcBorders>
            <w:shd w:val="clear" w:color="auto" w:fill="FFFF65"/>
          </w:tcPr>
          <w:p>
            <w:pPr>
              <w:widowControl w:val="0"/>
              <w:spacing w:after="0" w:line="271" w:lineRule="auto"/>
              <w:ind w:right="-5"/>
              <w:jc w:val="center"/>
              <w:rPr>
                <w:rFonts w:ascii="Times New Roman" w:eastAsia="Times New Roman" w:hAnsi="Times New Roman" w:cs="Times New Roman"/>
                <w:noProof/>
                <w:sz w:val="12"/>
                <w:szCs w:val="12"/>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before="114" w:after="0" w:line="240" w:lineRule="auto"/>
              <w:jc w:val="center"/>
              <w:rPr>
                <w:rFonts w:ascii="Times New Roman" w:eastAsia="Times New Roman" w:hAnsi="Times New Roman" w:cs="Times New Roman"/>
                <w:noProof/>
                <w:sz w:val="17"/>
                <w:szCs w:val="17"/>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6"/>
            <w:vAlign w:val="center"/>
          </w:tcPr>
          <w:p>
            <w:pPr>
              <w:widowControl w:val="0"/>
              <w:spacing w:after="0" w:line="240" w:lineRule="auto"/>
              <w:ind w:left="3"/>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EEAS(2011)013 - C(2008) 6215 - Dispositions</w:t>
            </w:r>
          </w:p>
          <w:p>
            <w:pPr>
              <w:widowControl w:val="0"/>
              <w:spacing w:before="18" w:after="0" w:line="271" w:lineRule="auto"/>
              <w:ind w:right="21"/>
              <w:jc w:val="center"/>
              <w:rPr>
                <w:rFonts w:ascii="Times New Roman" w:eastAsia="Times New Roman" w:hAnsi="Times New Roman" w:cs="Times New Roman"/>
                <w:noProof/>
                <w:sz w:val="12"/>
                <w:szCs w:val="12"/>
              </w:rPr>
            </w:pPr>
            <w:r>
              <w:rPr>
                <w:rFonts w:ascii="Times New Roman" w:hAnsi="Times New Roman" w:cs="Times New Roman"/>
                <w:noProof/>
                <w:w w:val="105"/>
                <w:sz w:val="12"/>
              </w:rPr>
              <w:t>générales d'exécution portant adoption du guide des missions</w:t>
            </w:r>
          </w:p>
        </w:tc>
        <w:tc>
          <w:tcPr>
            <w:tcW w:w="1409" w:type="dxa"/>
            <w:tcBorders>
              <w:top w:val="single" w:sz="4" w:space="0" w:color="auto"/>
              <w:left w:val="single" w:sz="3" w:space="0" w:color="000000"/>
              <w:bottom w:val="single" w:sz="3" w:space="0" w:color="000000"/>
              <w:right w:val="single" w:sz="3" w:space="0" w:color="000000"/>
            </w:tcBorders>
            <w:shd w:val="clear" w:color="auto" w:fill="FFFF66"/>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22.11.2012</w:t>
            </w:r>
          </w:p>
        </w:tc>
        <w:tc>
          <w:tcPr>
            <w:tcW w:w="1800" w:type="dxa"/>
            <w:tcBorders>
              <w:top w:val="single" w:sz="4" w:space="0" w:color="auto"/>
              <w:left w:val="single" w:sz="3" w:space="0" w:color="000000"/>
              <w:bottom w:val="single" w:sz="3" w:space="0" w:color="000000"/>
              <w:right w:val="single" w:sz="3" w:space="0" w:color="000000"/>
            </w:tcBorders>
            <w:shd w:val="clear" w:color="auto" w:fill="FFFF66"/>
          </w:tcPr>
          <w:p>
            <w:pPr>
              <w:widowControl w:val="0"/>
              <w:spacing w:after="0" w:line="240" w:lineRule="auto"/>
              <w:jc w:val="center"/>
              <w:rPr>
                <w:rFonts w:ascii="Times New Roman" w:eastAsia="Calibri" w:hAnsi="Times New Roman" w:cs="Times New Roman"/>
                <w:noProof/>
              </w:rPr>
            </w:pPr>
          </w:p>
        </w:tc>
        <w:tc>
          <w:tcPr>
            <w:tcW w:w="893" w:type="dxa"/>
            <w:tcBorders>
              <w:top w:val="single" w:sz="4" w:space="0" w:color="auto"/>
              <w:left w:val="single" w:sz="3" w:space="0" w:color="000000"/>
              <w:bottom w:val="single" w:sz="3" w:space="0" w:color="000000"/>
              <w:right w:val="single" w:sz="5"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98"/>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5"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annexe VIII - Pensions et allocation d’invalidité</w:t>
            </w:r>
          </w:p>
        </w:tc>
      </w:tr>
      <w:tr>
        <w:trPr>
          <w:trHeight w:hRule="exact" w:val="905"/>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3" w:after="0" w:line="240" w:lineRule="auto"/>
              <w:jc w:val="center"/>
              <w:rPr>
                <w:rFonts w:ascii="Times New Roman" w:eastAsia="Times New Roman" w:hAnsi="Times New Roman" w:cs="Times New Roman"/>
                <w:b/>
                <w:bCs/>
                <w:noProof/>
                <w:sz w:val="14"/>
                <w:szCs w:val="14"/>
              </w:rPr>
            </w:pPr>
          </w:p>
          <w:p>
            <w:pPr>
              <w:widowControl w:val="0"/>
              <w:spacing w:after="0" w:line="271" w:lineRule="auto"/>
              <w:ind w:right="61"/>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77 + annexe VIII (art. 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2"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Calcul des droits à pension</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6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EEAS(2011)013 - C(2004) 1364 final/6 - Dispositions</w:t>
            </w:r>
          </w:p>
          <w:p>
            <w:pPr>
              <w:widowControl w:val="0"/>
              <w:spacing w:before="18" w:after="0" w:line="271" w:lineRule="auto"/>
              <w:ind w:right="95"/>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générales d'exécution de l'article 4 de l'annexe VIII du statut concernant la prise en compte, pour le calcul des droits à pension, des périodes de services accomplies précédemment à la remise en activité</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797"/>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5"/>
                <w:szCs w:val="15"/>
              </w:rPr>
            </w:pPr>
          </w:p>
          <w:p>
            <w:pPr>
              <w:widowControl w:val="0"/>
              <w:spacing w:after="0" w:line="271" w:lineRule="auto"/>
              <w:ind w:right="-5"/>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77 + annexe VIII (art. 11 - 12)</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114"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Articles 11 et 12 de l’annexe VIII</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EEAS(2011)013 - C(2011) 1278 final – Dispositions générales d'exécution des articles 11 et 12 de l'annexe VIII relatifs au transfert de droits à pension</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4"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564"/>
        </w:trPr>
        <w:tc>
          <w:tcPr>
            <w:tcW w:w="10832"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130"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VI - Du régime disciplinaire</w:t>
            </w:r>
          </w:p>
        </w:tc>
      </w:tr>
      <w:tr>
        <w:trPr>
          <w:trHeight w:hRule="exact" w:val="684"/>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b/>
                <w:bCs/>
                <w:noProof/>
                <w:sz w:val="16"/>
                <w:szCs w:val="16"/>
              </w:rPr>
            </w:pPr>
          </w:p>
          <w:p>
            <w:pPr>
              <w:widowControl w:val="0"/>
              <w:spacing w:after="0" w:line="271" w:lineRule="auto"/>
              <w:ind w:right="79"/>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86 + annexe IX</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2"/>
                <w:szCs w:val="12"/>
              </w:rPr>
            </w:pPr>
          </w:p>
          <w:p>
            <w:pPr>
              <w:widowControl w:val="0"/>
              <w:spacing w:after="0" w:line="250" w:lineRule="auto"/>
              <w:ind w:right="311"/>
              <w:jc w:val="center"/>
              <w:rPr>
                <w:rFonts w:ascii="Times New Roman" w:eastAsia="Times New Roman" w:hAnsi="Times New Roman" w:cs="Times New Roman"/>
                <w:noProof/>
                <w:sz w:val="17"/>
                <w:szCs w:val="17"/>
              </w:rPr>
            </w:pPr>
            <w:r>
              <w:rPr>
                <w:rFonts w:ascii="Times New Roman" w:hAnsi="Times New Roman" w:cs="Times New Roman"/>
                <w:b/>
                <w:noProof/>
                <w:spacing w:val="-1"/>
                <w:sz w:val="16"/>
              </w:rPr>
              <w:t>Procédures disciplinaires et enquêtes administratives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 xml:space="preserve">PROC EEAS(2011)013 - C(2004) 1588 final/4 – Dispositions </w:t>
            </w:r>
            <w:r>
              <w:rPr>
                <w:rFonts w:ascii="Times New Roman" w:hAnsi="Times New Roman" w:cs="Times New Roman"/>
                <w:noProof/>
                <w:w w:val="105"/>
                <w:sz w:val="12"/>
              </w:rPr>
              <w:t>générales d'exécution concernant la conduite des enquêtes administratives et des procédures disciplinaires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4" w:after="0" w:line="240" w:lineRule="auto"/>
              <w:jc w:val="center"/>
              <w:rPr>
                <w:rFonts w:ascii="Times New Roman" w:eastAsia="Times New Roman" w:hAnsi="Times New Roman" w:cs="Times New Roman"/>
                <w:b/>
                <w:bCs/>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8"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600"/>
        </w:trPr>
        <w:tc>
          <w:tcPr>
            <w:tcW w:w="10832"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149"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z w:val="25"/>
              </w:rPr>
              <w:t xml:space="preserve">Titre VIII </w:t>
            </w:r>
            <w:r>
              <w:rPr>
                <w:rFonts w:ascii="Times New Roman" w:hAnsi="Times New Roman" w:cs="Times New Roman"/>
                <w:b/>
                <w:i/>
                <w:noProof/>
                <w:sz w:val="25"/>
              </w:rPr>
              <w:t>bis</w:t>
            </w:r>
            <w:r>
              <w:rPr>
                <w:rFonts w:ascii="Times New Roman" w:hAnsi="Times New Roman" w:cs="Times New Roman"/>
                <w:b/>
                <w:noProof/>
                <w:sz w:val="25"/>
              </w:rPr>
              <w:t xml:space="preserve"> - Dispositions particulières applicables au SEAE</w:t>
            </w:r>
          </w:p>
        </w:tc>
      </w:tr>
      <w:tr>
        <w:trPr>
          <w:trHeight w:hRule="exact" w:val="929"/>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2" w:after="0" w:line="240" w:lineRule="auto"/>
              <w:jc w:val="center"/>
              <w:rPr>
                <w:rFonts w:ascii="Times New Roman" w:eastAsia="Times New Roman" w:hAnsi="Times New Roman" w:cs="Times New Roman"/>
                <w:b/>
                <w:bCs/>
                <w:noProof/>
                <w:sz w:val="10"/>
                <w:szCs w:val="10"/>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96</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5"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Gestion des délégations de l'UE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b/>
                <w:bCs/>
                <w:noProof/>
                <w:sz w:val="13"/>
                <w:szCs w:val="13"/>
              </w:rPr>
            </w:pPr>
          </w:p>
          <w:p>
            <w:pPr>
              <w:widowControl w:val="0"/>
              <w:spacing w:after="0" w:line="271" w:lineRule="auto"/>
              <w:ind w:right="63"/>
              <w:jc w:val="center"/>
              <w:rPr>
                <w:rFonts w:ascii="Times New Roman" w:eastAsia="Times New Roman" w:hAnsi="Times New Roman" w:cs="Times New Roman"/>
                <w:noProof/>
                <w:sz w:val="12"/>
                <w:szCs w:val="12"/>
              </w:rPr>
            </w:pPr>
            <w:r>
              <w:rPr>
                <w:rFonts w:ascii="Times New Roman" w:hAnsi="Times New Roman" w:cs="Times New Roman"/>
                <w:noProof/>
                <w:w w:val="105"/>
                <w:sz w:val="12"/>
              </w:rPr>
              <w:t>JOIN(2012) 8 final - Décision conjointe de la Commission et du haut représentant de l’Union pour les affaires étrangères et la politique de sécurité du 28 mars 2012 relative aux mécanismes de coopération en matière de gestion des délégations de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1"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28.03.2012</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574"/>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after="0" w:line="248" w:lineRule="auto"/>
              <w:ind w:right="1181"/>
              <w:jc w:val="center"/>
              <w:rPr>
                <w:rFonts w:ascii="Times New Roman" w:eastAsia="Times New Roman" w:hAnsi="Times New Roman" w:cs="Times New Roman"/>
                <w:noProof/>
                <w:sz w:val="25"/>
                <w:szCs w:val="25"/>
              </w:rPr>
            </w:pPr>
            <w:r>
              <w:rPr>
                <w:rFonts w:ascii="Times New Roman" w:hAnsi="Times New Roman" w:cs="Times New Roman"/>
                <w:b/>
                <w:noProof/>
                <w:sz w:val="25"/>
              </w:rPr>
              <w:t xml:space="preserve">Titre VIII </w:t>
            </w:r>
            <w:r>
              <w:rPr>
                <w:rFonts w:ascii="Times New Roman" w:hAnsi="Times New Roman" w:cs="Times New Roman"/>
                <w:b/>
                <w:i/>
                <w:noProof/>
                <w:sz w:val="25"/>
              </w:rPr>
              <w:t>ter</w:t>
            </w:r>
            <w:r>
              <w:rPr>
                <w:rFonts w:ascii="Times New Roman" w:hAnsi="Times New Roman" w:cs="Times New Roman"/>
                <w:b/>
                <w:noProof/>
                <w:sz w:val="25"/>
              </w:rPr>
              <w:t xml:space="preserve"> - Dispositions particulières et dérogatoires applicables aux fonctionnaires affectés dans un pays tiers</w:t>
            </w:r>
          </w:p>
        </w:tc>
      </w:tr>
      <w:tr>
        <w:trPr>
          <w:trHeight w:hRule="exact" w:val="432"/>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02" w:after="0" w:line="240" w:lineRule="auto"/>
              <w:ind w:right="893"/>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Dispositions générales</w:t>
            </w:r>
          </w:p>
        </w:tc>
      </w:tr>
      <w:tr>
        <w:trPr>
          <w:trHeight w:hRule="exact" w:val="600"/>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b/>
                <w:bCs/>
                <w:noProof/>
                <w:sz w:val="13"/>
                <w:szCs w:val="13"/>
              </w:rPr>
            </w:pPr>
          </w:p>
          <w:p>
            <w:pPr>
              <w:widowControl w:val="0"/>
              <w:spacing w:after="0" w:line="271" w:lineRule="auto"/>
              <w:ind w:right="19"/>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X (art. 1)</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Dispositions générales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69" w:after="0" w:line="271" w:lineRule="auto"/>
              <w:ind w:right="80"/>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HR(2011)013 - Décision de la Commission SEC(88)636F portant dispositions générales d’exécution de l’annexe X du statut [points 3, lettres a), c), d) et e)]</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05"/>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37" w:after="0" w:line="240" w:lineRule="auto"/>
              <w:ind w:right="894"/>
              <w:jc w:val="center"/>
              <w:rPr>
                <w:rFonts w:ascii="Times New Roman" w:eastAsia="Times New Roman" w:hAnsi="Times New Roman" w:cs="Times New Roman"/>
                <w:noProof/>
                <w:sz w:val="19"/>
                <w:szCs w:val="19"/>
              </w:rPr>
            </w:pPr>
            <w:r>
              <w:rPr>
                <w:rFonts w:ascii="Times New Roman" w:hAnsi="Times New Roman" w:cs="Times New Roman"/>
                <w:b/>
                <w:noProof/>
                <w:w w:val="105"/>
                <w:sz w:val="19"/>
              </w:rPr>
              <w:t>Chapitre 2 - Obligations</w:t>
            </w:r>
          </w:p>
        </w:tc>
      </w:tr>
      <w:tr>
        <w:trPr>
          <w:trHeight w:hRule="exact" w:val="643"/>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5"/>
                <w:szCs w:val="15"/>
              </w:rPr>
            </w:pPr>
          </w:p>
          <w:p>
            <w:pPr>
              <w:widowControl w:val="0"/>
              <w:spacing w:after="0" w:line="271" w:lineRule="auto"/>
              <w:ind w:right="19"/>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X (art. 5, 23)</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b/>
                <w:bCs/>
                <w:noProof/>
                <w:sz w:val="19"/>
                <w:szCs w:val="19"/>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Logement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14"/>
                <w:szCs w:val="14"/>
              </w:rPr>
            </w:pPr>
          </w:p>
          <w:p>
            <w:pPr>
              <w:widowControl w:val="0"/>
              <w:spacing w:after="0" w:line="271" w:lineRule="auto"/>
              <w:ind w:right="16"/>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HR DEC(2013)011 - Décision relative aux règles de mise en œuvre de la politique de logement dans les délégations de l’Union européenne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5"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17.12.2013</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89"/>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Conditions de travail</w:t>
            </w:r>
          </w:p>
        </w:tc>
      </w:tr>
      <w:tr>
        <w:trPr>
          <w:trHeight w:hRule="exact" w:val="737"/>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0" w:after="0" w:line="271" w:lineRule="auto"/>
              <w:ind w:right="19"/>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X (art. 8)</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b/>
                <w:bCs/>
                <w:noProof/>
                <w:sz w:val="23"/>
                <w:szCs w:val="23"/>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Congé de détente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77" w:after="0" w:line="271" w:lineRule="auto"/>
              <w:ind w:right="68"/>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HR DEC (2013)012- Décision relative à la gestion du congé de détente octroyé en vertu de l’article 8 de l’annexe X</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7"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17.12.2013</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15"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Calibri" w:hAnsi="Times New Roman" w:cs="Times New Roman"/>
          <w:noProof/>
          <w:sz w:val="14"/>
          <w:szCs w:val="14"/>
        </w:rPr>
        <w:sectPr>
          <w:headerReference w:type="even" r:id="rId105"/>
          <w:headerReference w:type="default" r:id="rId106"/>
          <w:footerReference w:type="even" r:id="rId107"/>
          <w:footerReference w:type="default" r:id="rId108"/>
          <w:headerReference w:type="first" r:id="rId109"/>
          <w:footerReference w:type="first" r:id="rId110"/>
          <w:pgSz w:w="11900" w:h="16840" w:code="9"/>
          <w:pgMar w:top="1040" w:right="620" w:bottom="280" w:left="220" w:header="854" w:footer="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93"/>
      </w:tblGrid>
      <w:tr>
        <w:trPr>
          <w:trHeight w:hRule="exact" w:val="456"/>
        </w:trPr>
        <w:tc>
          <w:tcPr>
            <w:tcW w:w="78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893" w:type="dxa"/>
            <w:tcBorders>
              <w:top w:val="single" w:sz="3" w:space="0" w:color="000000"/>
              <w:left w:val="single" w:sz="3" w:space="0" w:color="000000"/>
              <w:bottom w:val="single" w:sz="3" w:space="0" w:color="000000"/>
              <w:right w:val="single" w:sz="5"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89"/>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4 - Régime pécuniaire et avantages sociaux</w:t>
            </w:r>
          </w:p>
        </w:tc>
      </w:tr>
      <w:tr>
        <w:trPr>
          <w:trHeight w:hRule="exact" w:val="389"/>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Section 1 - Régime pécuniaire et allocations familiales</w:t>
            </w:r>
          </w:p>
        </w:tc>
      </w:tr>
      <w:tr>
        <w:trPr>
          <w:trHeight w:hRule="exact" w:val="929"/>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4" w:after="0" w:line="240" w:lineRule="auto"/>
              <w:jc w:val="center"/>
              <w:rPr>
                <w:rFonts w:ascii="Times New Roman" w:eastAsia="Times New Roman" w:hAnsi="Times New Roman" w:cs="Times New Roman"/>
                <w:b/>
                <w:bCs/>
                <w:noProof/>
                <w:sz w:val="15"/>
                <w:szCs w:val="15"/>
              </w:rPr>
            </w:pPr>
          </w:p>
          <w:p>
            <w:pPr>
              <w:widowControl w:val="0"/>
              <w:spacing w:after="0" w:line="271" w:lineRule="auto"/>
              <w:ind w:right="19"/>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X (art. 10)</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2"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Indemnité pour conditions de vie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9" w:after="0" w:line="271" w:lineRule="auto"/>
              <w:ind w:right="104"/>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ADMIN (2015)28 - Orientations relatives à la méthode de détermination de la liste annuelle des pays où les conditions de vie peuvent être considérées comme équivalentes aux conditions de vie de l'Union européenne qui ne donnent pas le droit au versement d'une indemnité de condition de vie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1"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31.8.2015</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43"/>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12 - 13</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b/>
                <w:bCs/>
                <w:noProof/>
                <w:sz w:val="19"/>
                <w:szCs w:val="19"/>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Monnaie et pondération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3" w:after="0" w:line="271" w:lineRule="auto"/>
              <w:ind w:right="43"/>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EEAS(2011)02 - C(2004)1597/1 relative à l'adaptation des correcteurs et des taux de change associés visés aux articles 12 et 13 de l'annexe X du statut des fonctionnaires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90"/>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7"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16</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4" w:after="0" w:line="258" w:lineRule="auto"/>
              <w:ind w:right="70"/>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Remboursements aux fonctionnaires affectés dans les pays tiers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b/>
                <w:bCs/>
                <w:noProof/>
                <w:sz w:val="12"/>
                <w:szCs w:val="12"/>
              </w:rPr>
            </w:pPr>
          </w:p>
          <w:p>
            <w:pPr>
              <w:widowControl w:val="0"/>
              <w:spacing w:after="0" w:line="271" w:lineRule="auto"/>
              <w:ind w:right="119"/>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HR DEC (2013)015 - Décision relative aux remboursements dus aux fonctionnaires affectés dans des pays tiers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403"/>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Section 2 - Règles relatives au remboursement des frais</w:t>
            </w:r>
          </w:p>
        </w:tc>
      </w:tr>
      <w:tr>
        <w:trPr>
          <w:trHeight w:hRule="exact" w:val="905"/>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5"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22</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21"/>
                <w:szCs w:val="21"/>
              </w:rPr>
            </w:pPr>
          </w:p>
          <w:p>
            <w:pPr>
              <w:widowControl w:val="0"/>
              <w:spacing w:after="0" w:line="247" w:lineRule="auto"/>
              <w:ind w:right="50"/>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Indemnité de logement provisoire et frais de transport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b/>
                <w:bCs/>
                <w:noProof/>
                <w:sz w:val="12"/>
                <w:szCs w:val="12"/>
              </w:rPr>
            </w:pPr>
          </w:p>
          <w:p>
            <w:pPr>
              <w:widowControl w:val="0"/>
              <w:spacing w:after="0" w:line="271" w:lineRule="auto"/>
              <w:ind w:right="58"/>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 (2011)002 - C(2004) 1597/2 relative l'application de l'article 22 de l'annexe X du statut des fonctionnaires concernant la récupération de l'indemnité de logement provisoire et des frais de transport des effets personnels du conjoint et des personnes à charge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29.11.2011</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62"/>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5" w:after="0" w:line="240" w:lineRule="auto"/>
              <w:ind w:right="893"/>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Chapitre 3 - Sécurité sociale</w:t>
            </w:r>
          </w:p>
        </w:tc>
      </w:tr>
      <w:tr>
        <w:trPr>
          <w:trHeight w:hRule="exact" w:val="651"/>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 w:after="0" w:line="240" w:lineRule="auto"/>
              <w:jc w:val="center"/>
              <w:rPr>
                <w:rFonts w:ascii="Times New Roman" w:eastAsia="Times New Roman" w:hAnsi="Times New Roman" w:cs="Times New Roman"/>
                <w:b/>
                <w:bCs/>
                <w:noProof/>
                <w:sz w:val="10"/>
                <w:szCs w:val="10"/>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24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b/>
                <w:bCs/>
                <w:noProof/>
                <w:sz w:val="20"/>
                <w:szCs w:val="20"/>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Assurance maladie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3" w:after="0" w:line="271" w:lineRule="auto"/>
              <w:ind w:right="94"/>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 (2011)013 - Décision de la Commission relative aux dispositions générales d’exécution de l’article 24, premier et deuxième alinéas, de l’annexe X</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6"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959"/>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7"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25</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4"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Assurance accidents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b/>
                <w:bCs/>
                <w:noProof/>
                <w:sz w:val="12"/>
                <w:szCs w:val="12"/>
              </w:rPr>
            </w:pPr>
          </w:p>
          <w:p>
            <w:pPr>
              <w:widowControl w:val="0"/>
              <w:spacing w:after="0" w:line="271" w:lineRule="auto"/>
              <w:ind w:right="22"/>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 (2011)013 - Décision de la Commission portant dispositions générales relatives à la couverture des risques d’accident du conjoint, des enfants et des autres personnes à charge du fonctionnaire de la Communauté européenne affecté dans un pays tiers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6"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Calibri" w:hAnsi="Times New Roman" w:cs="Times New Roman"/>
          <w:noProof/>
          <w:sz w:val="14"/>
          <w:szCs w:val="14"/>
        </w:rPr>
        <w:sectPr>
          <w:headerReference w:type="even" r:id="rId111"/>
          <w:headerReference w:type="default" r:id="rId112"/>
          <w:footerReference w:type="even" r:id="rId113"/>
          <w:footerReference w:type="default" r:id="rId114"/>
          <w:headerReference w:type="first" r:id="rId115"/>
          <w:footerReference w:type="first" r:id="rId116"/>
          <w:pgSz w:w="11900" w:h="16840" w:code="9"/>
          <w:pgMar w:top="1040" w:right="620" w:bottom="280" w:left="220" w:header="854" w:footer="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622"/>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60" w:after="0" w:line="240" w:lineRule="auto"/>
              <w:jc w:val="center"/>
              <w:rPr>
                <w:rFonts w:ascii="Times New Roman" w:eastAsia="Times New Roman" w:hAnsi="Times New Roman" w:cs="Times New Roman"/>
                <w:noProof/>
                <w:sz w:val="42"/>
                <w:szCs w:val="42"/>
              </w:rPr>
            </w:pPr>
            <w:r>
              <w:rPr>
                <w:rFonts w:ascii="Times New Roman" w:hAnsi="Times New Roman" w:cs="Times New Roman"/>
                <w:b/>
                <w:noProof/>
                <w:sz w:val="42"/>
              </w:rPr>
              <w:t>Régime applicable aux autres agents</w:t>
            </w:r>
          </w:p>
        </w:tc>
      </w:tr>
      <w:tr>
        <w:trPr>
          <w:trHeight w:hRule="exact" w:val="427"/>
        </w:trPr>
        <w:tc>
          <w:tcPr>
            <w:tcW w:w="779"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3"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3" w:after="0" w:line="240" w:lineRule="auto"/>
              <w:jc w:val="center"/>
              <w:rPr>
                <w:rFonts w:ascii="Times New Roman" w:eastAsia="Times New Roman" w:hAnsi="Times New Roman" w:cs="Times New Roman"/>
                <w:b/>
                <w:bCs/>
                <w:noProof/>
                <w:sz w:val="12"/>
                <w:szCs w:val="12"/>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3" w:after="0" w:line="240" w:lineRule="auto"/>
              <w:jc w:val="center"/>
              <w:rPr>
                <w:rFonts w:ascii="Times New Roman" w:eastAsia="Times New Roman" w:hAnsi="Times New Roman" w:cs="Times New Roman"/>
                <w:b/>
                <w:bCs/>
                <w:noProof/>
                <w:sz w:val="12"/>
                <w:szCs w:val="12"/>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pacing w:val="-3"/>
                <w:w w:val="105"/>
                <w:sz w:val="12"/>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3"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3"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Date d’expiration</w:t>
            </w:r>
          </w:p>
        </w:tc>
        <w:tc>
          <w:tcPr>
            <w:tcW w:w="893"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04"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2"/>
              </w:rPr>
              <w:t>Comptabilisation</w:t>
            </w:r>
          </w:p>
        </w:tc>
      </w:tr>
    </w:tbl>
    <w:p>
      <w:pPr>
        <w:widowControl w:val="0"/>
        <w:spacing w:before="85" w:after="0" w:line="240" w:lineRule="auto"/>
        <w:ind w:right="893"/>
        <w:jc w:val="center"/>
        <w:rPr>
          <w:rFonts w:ascii="Times New Roman" w:eastAsia="Calibri" w:hAnsi="Times New Roman" w:cs="Times New Roman"/>
          <w:b/>
          <w:noProof/>
          <w:spacing w:val="-1"/>
          <w:w w:val="105"/>
          <w:sz w:val="16"/>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89"/>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4" w:after="0" w:line="240" w:lineRule="auto"/>
              <w:ind w:right="896"/>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II - Agents temporaires</w:t>
            </w:r>
          </w:p>
        </w:tc>
      </w:tr>
      <w:tr>
        <w:trPr>
          <w:trHeight w:hRule="exact" w:val="445"/>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45" w:after="0" w:line="240" w:lineRule="auto"/>
              <w:ind w:right="892"/>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Dispositions générales</w:t>
            </w:r>
          </w:p>
        </w:tc>
      </w:tr>
      <w:tr>
        <w:trPr>
          <w:trHeight w:hRule="exact" w:val="586"/>
        </w:trPr>
        <w:tc>
          <w:tcPr>
            <w:tcW w:w="779" w:type="dxa"/>
            <w:vMerge w:val="restart"/>
            <w:tcBorders>
              <w:top w:val="single" w:sz="5" w:space="0" w:color="000000"/>
              <w:left w:val="single" w:sz="4"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12 (5)</w:t>
            </w:r>
          </w:p>
        </w:tc>
        <w:tc>
          <w:tcPr>
            <w:tcW w:w="2722" w:type="dxa"/>
            <w:vMerge w:val="restart"/>
            <w:tcBorders>
              <w:top w:val="single" w:sz="5" w:space="0" w:color="000000"/>
              <w:left w:val="single" w:sz="3" w:space="0" w:color="000000"/>
              <w:right w:val="single" w:sz="3" w:space="0" w:color="000000"/>
            </w:tcBorders>
            <w:shd w:val="clear" w:color="auto" w:fill="FFFF65"/>
            <w:vAlign w:val="center"/>
          </w:tcPr>
          <w:p>
            <w:pPr>
              <w:widowControl w:val="0"/>
              <w:spacing w:before="7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Procédures de recrutement</w:t>
            </w: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des agents temporaires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rPr>
                <w:rFonts w:ascii="Times New Roman" w:eastAsia="Times New Roman" w:hAnsi="Times New Roman" w:cs="Times New Roman"/>
                <w:b/>
                <w:bCs/>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EEAS DEC(2014)009 - Décision C(2013) 9049 final du 16.12.2013</w:t>
            </w:r>
          </w:p>
          <w:p>
            <w:pPr>
              <w:widowControl w:val="0"/>
              <w:spacing w:before="18" w:after="0" w:line="240" w:lineRule="auto"/>
              <w:ind w:left="3"/>
              <w:jc w:val="center"/>
              <w:rPr>
                <w:rFonts w:ascii="Times New Roman" w:eastAsia="Times New Roman" w:hAnsi="Times New Roman" w:cs="Times New Roman"/>
                <w:noProof/>
                <w:sz w:val="12"/>
                <w:szCs w:val="12"/>
              </w:rPr>
            </w:pPr>
            <w:r>
              <w:rPr>
                <w:rFonts w:ascii="Times New Roman" w:hAnsi="Times New Roman" w:cs="Times New Roman"/>
                <w:noProof/>
                <w:w w:val="105"/>
                <w:sz w:val="12"/>
              </w:rPr>
              <w:t>relative au SEAE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Times New Roman" w:hAnsi="Times New Roman" w:cs="Times New Roman"/>
                <w:b/>
                <w:bCs/>
                <w:noProof/>
                <w:sz w:val="12"/>
                <w:szCs w:val="12"/>
              </w:rPr>
            </w:pPr>
          </w:p>
          <w:p>
            <w:pPr>
              <w:widowControl w:val="0"/>
              <w:spacing w:before="73" w:after="0" w:line="240" w:lineRule="auto"/>
              <w:ind w:left="409"/>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Times New Roman" w:hAnsi="Times New Roman" w:cs="Times New Roman"/>
                <w:b/>
                <w:bCs/>
                <w:noProof/>
                <w:sz w:val="12"/>
                <w:szCs w:val="12"/>
              </w:rPr>
            </w:pPr>
          </w:p>
          <w:p>
            <w:pPr>
              <w:widowControl w:val="0"/>
              <w:spacing w:before="7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12.8.2015</w:t>
            </w:r>
          </w:p>
        </w:tc>
        <w:tc>
          <w:tcPr>
            <w:tcW w:w="893"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82"/>
        </w:trPr>
        <w:tc>
          <w:tcPr>
            <w:tcW w:w="779" w:type="dxa"/>
            <w:vMerge/>
            <w:tcBorders>
              <w:left w:val="single" w:sz="4" w:space="0" w:color="000000"/>
              <w:bottom w:val="single" w:sz="4" w:space="0" w:color="auto"/>
              <w:right w:val="single" w:sz="3" w:space="0" w:color="000000"/>
            </w:tcBorders>
            <w:shd w:val="clear" w:color="auto" w:fill="FFFF65"/>
          </w:tcPr>
          <w:p>
            <w:pPr>
              <w:widowControl w:val="0"/>
              <w:spacing w:before="101" w:after="0" w:line="240" w:lineRule="auto"/>
              <w:jc w:val="center"/>
              <w:rPr>
                <w:rFonts w:ascii="Times New Roman" w:eastAsia="Times New Roman" w:hAnsi="Times New Roman" w:cs="Times New Roman"/>
                <w:noProof/>
                <w:sz w:val="12"/>
                <w:szCs w:val="12"/>
              </w:rPr>
            </w:pPr>
          </w:p>
        </w:tc>
        <w:tc>
          <w:tcPr>
            <w:tcW w:w="2722" w:type="dxa"/>
            <w:vMerge/>
            <w:tcBorders>
              <w:left w:val="single" w:sz="3" w:space="0" w:color="000000"/>
              <w:bottom w:val="single" w:sz="4" w:space="0" w:color="auto"/>
              <w:right w:val="single" w:sz="3" w:space="0" w:color="000000"/>
            </w:tcBorders>
            <w:shd w:val="clear" w:color="auto" w:fill="FFFF65"/>
          </w:tcPr>
          <w:p>
            <w:pPr>
              <w:widowControl w:val="0"/>
              <w:spacing w:before="69" w:after="0" w:line="240" w:lineRule="auto"/>
              <w:jc w:val="center"/>
              <w:rPr>
                <w:rFonts w:ascii="Times New Roman" w:eastAsia="Times New Roman" w:hAnsi="Times New Roman" w:cs="Times New Roman"/>
                <w:noProof/>
                <w:sz w:val="17"/>
                <w:szCs w:val="17"/>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rPr>
                <w:rFonts w:ascii="Times New Roman" w:eastAsia="Times New Roman" w:hAnsi="Times New Roman" w:cs="Times New Roman"/>
                <w:b/>
                <w:bCs/>
                <w:noProof/>
                <w:sz w:val="12"/>
                <w:szCs w:val="12"/>
              </w:rPr>
            </w:pPr>
          </w:p>
          <w:p>
            <w:pPr>
              <w:widowControl w:val="0"/>
              <w:spacing w:before="92" w:after="0" w:line="271" w:lineRule="auto"/>
              <w:ind w:left="44" w:right="27" w:hanging="12"/>
              <w:rPr>
                <w:rFonts w:ascii="Times New Roman" w:eastAsia="Times New Roman" w:hAnsi="Times New Roman" w:cs="Times New Roman"/>
                <w:noProof/>
                <w:sz w:val="12"/>
                <w:szCs w:val="12"/>
              </w:rPr>
            </w:pPr>
            <w:r>
              <w:rPr>
                <w:rFonts w:ascii="Times New Roman" w:hAnsi="Times New Roman" w:cs="Times New Roman"/>
                <w:noProof/>
                <w:spacing w:val="-1"/>
                <w:w w:val="105"/>
                <w:sz w:val="12"/>
              </w:rPr>
              <w:t>ADMIN (2015)20 - Décision portant adoption des dispositions générales d’exécution de l’article 12, paragraphe 5, relatif à l’engagement et à l’emploi des agents temporaires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rPr>
                <w:rFonts w:ascii="Times New Roman" w:eastAsia="Times New Roman" w:hAnsi="Times New Roman" w:cs="Times New Roman"/>
                <w:b/>
                <w:bCs/>
                <w:noProof/>
                <w:sz w:val="12"/>
                <w:szCs w:val="12"/>
              </w:rPr>
            </w:pPr>
          </w:p>
          <w:p>
            <w:pPr>
              <w:widowControl w:val="0"/>
              <w:spacing w:before="10" w:after="0" w:line="240" w:lineRule="auto"/>
              <w:rPr>
                <w:rFonts w:ascii="Times New Roman" w:eastAsia="Times New Roman" w:hAnsi="Times New Roman" w:cs="Times New Roman"/>
                <w:b/>
                <w:bCs/>
                <w:noProof/>
                <w:sz w:val="14"/>
                <w:szCs w:val="14"/>
              </w:rPr>
            </w:pPr>
          </w:p>
          <w:p>
            <w:pPr>
              <w:widowControl w:val="0"/>
              <w:spacing w:after="0" w:line="240" w:lineRule="auto"/>
              <w:ind w:left="409"/>
              <w:rPr>
                <w:rFonts w:ascii="Times New Roman" w:eastAsia="Times New Roman" w:hAnsi="Times New Roman" w:cs="Times New Roman"/>
                <w:noProof/>
                <w:sz w:val="12"/>
                <w:szCs w:val="12"/>
              </w:rPr>
            </w:pPr>
            <w:r>
              <w:rPr>
                <w:rFonts w:ascii="Times New Roman" w:hAnsi="Times New Roman" w:cs="Times New Roman"/>
                <w:noProof/>
                <w:w w:val="105"/>
                <w:sz w:val="12"/>
              </w:rPr>
              <w:t>12.8.2015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rPr>
                <w:rFonts w:ascii="Times New Roman"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962"/>
        </w:trPr>
        <w:tc>
          <w:tcPr>
            <w:tcW w:w="779" w:type="dxa"/>
            <w:tcBorders>
              <w:top w:val="single" w:sz="4" w:space="0" w:color="auto"/>
              <w:left w:val="single" w:sz="4" w:space="0" w:color="000000"/>
              <w:bottom w:val="single" w:sz="4" w:space="0" w:color="000000"/>
              <w:right w:val="single" w:sz="4" w:space="0" w:color="000000"/>
            </w:tcBorders>
            <w:shd w:val="clear" w:color="auto" w:fill="D99594" w:themeFill="accent2" w:themeFillTint="99"/>
          </w:tcPr>
          <w:p>
            <w:pPr>
              <w:widowControl w:val="0"/>
              <w:spacing w:after="0" w:line="240" w:lineRule="auto"/>
              <w:rPr>
                <w:rFonts w:ascii="Times New Roman" w:eastAsia="Times New Roman" w:hAnsi="Times New Roman" w:cs="Times New Roman"/>
                <w:b/>
                <w:bCs/>
                <w:noProof/>
                <w:sz w:val="12"/>
                <w:szCs w:val="12"/>
              </w:rPr>
            </w:pPr>
          </w:p>
          <w:p>
            <w:pPr>
              <w:widowControl w:val="0"/>
              <w:spacing w:before="8" w:after="0" w:line="240" w:lineRule="auto"/>
              <w:rPr>
                <w:rFonts w:ascii="Times New Roman" w:eastAsia="Times New Roman" w:hAnsi="Times New Roman" w:cs="Times New Roman"/>
                <w:b/>
                <w:bCs/>
                <w:noProof/>
                <w:sz w:val="15"/>
                <w:szCs w:val="15"/>
              </w:rPr>
            </w:pPr>
          </w:p>
          <w:p>
            <w:pPr>
              <w:widowControl w:val="0"/>
              <w:spacing w:after="0" w:line="240" w:lineRule="auto"/>
              <w:ind w:left="186"/>
              <w:rPr>
                <w:rFonts w:ascii="Times New Roman" w:eastAsia="Times New Roman" w:hAnsi="Times New Roman" w:cs="Times New Roman"/>
                <w:noProof/>
                <w:sz w:val="12"/>
                <w:szCs w:val="12"/>
              </w:rPr>
            </w:pPr>
            <w:r>
              <w:rPr>
                <w:rFonts w:ascii="Times New Roman" w:hAnsi="Times New Roman" w:cs="Times New Roman"/>
                <w:b/>
                <w:noProof/>
                <w:w w:val="105"/>
                <w:sz w:val="12"/>
              </w:rPr>
              <w:t>17 + 91</w:t>
            </w:r>
          </w:p>
        </w:tc>
        <w:tc>
          <w:tcPr>
            <w:tcW w:w="2722" w:type="dxa"/>
            <w:tcBorders>
              <w:top w:val="single" w:sz="4" w:space="0" w:color="auto"/>
              <w:left w:val="single" w:sz="4" w:space="0" w:color="000000"/>
              <w:bottom w:val="single" w:sz="4" w:space="0" w:color="000000"/>
              <w:right w:val="single" w:sz="4" w:space="0" w:color="000000"/>
            </w:tcBorders>
            <w:shd w:val="clear" w:color="auto" w:fill="D99594" w:themeFill="accent2" w:themeFillTint="99"/>
          </w:tcPr>
          <w:p>
            <w:pPr>
              <w:widowControl w:val="0"/>
              <w:spacing w:after="0" w:line="240" w:lineRule="auto"/>
              <w:rPr>
                <w:rFonts w:ascii="Times New Roman" w:eastAsia="Times New Roman" w:hAnsi="Times New Roman" w:cs="Times New Roman"/>
                <w:b/>
                <w:bCs/>
                <w:noProof/>
                <w:sz w:val="16"/>
                <w:szCs w:val="16"/>
              </w:rPr>
            </w:pPr>
          </w:p>
          <w:p>
            <w:pPr>
              <w:widowControl w:val="0"/>
              <w:spacing w:before="105" w:after="0" w:line="240" w:lineRule="auto"/>
              <w:ind w:left="104"/>
              <w:rPr>
                <w:rFonts w:ascii="Times New Roman" w:eastAsia="Times New Roman" w:hAnsi="Times New Roman" w:cs="Times New Roman"/>
                <w:noProof/>
                <w:sz w:val="17"/>
                <w:szCs w:val="17"/>
              </w:rPr>
            </w:pPr>
            <w:r>
              <w:rPr>
                <w:rFonts w:ascii="Times New Roman" w:hAnsi="Times New Roman" w:cs="Times New Roman"/>
                <w:b/>
                <w:noProof/>
                <w:spacing w:val="-1"/>
                <w:sz w:val="17"/>
              </w:rPr>
              <w:t>Congé de maternité et son paiement</w:t>
            </w:r>
          </w:p>
        </w:tc>
        <w:tc>
          <w:tcPr>
            <w:tcW w:w="3230" w:type="dxa"/>
            <w:tcBorders>
              <w:top w:val="single" w:sz="3" w:space="0" w:color="000000"/>
              <w:left w:val="single" w:sz="4" w:space="0" w:color="000000"/>
              <w:bottom w:val="single" w:sz="3" w:space="0" w:color="000000"/>
              <w:right w:val="single" w:sz="3" w:space="0" w:color="000000"/>
            </w:tcBorders>
            <w:shd w:val="clear" w:color="auto" w:fill="D99594" w:themeFill="accent2" w:themeFillTint="99"/>
          </w:tcPr>
          <w:p>
            <w:pPr>
              <w:widowControl w:val="0"/>
              <w:spacing w:before="11" w:after="0" w:line="240" w:lineRule="auto"/>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EEAS DEC(2014)009 - Décision C(2013) 9020 final du 16.12.2013</w:t>
            </w:r>
          </w:p>
          <w:p>
            <w:pPr>
              <w:widowControl w:val="0"/>
              <w:spacing w:before="18" w:after="0" w:line="271" w:lineRule="auto"/>
              <w:ind w:left="224" w:right="219" w:hanging="3"/>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relative au congé de maternité et à son paiement pour les femmes dont le congé de maternité débute avant la fin de leur contrat </w:t>
            </w:r>
          </w:p>
        </w:tc>
        <w:tc>
          <w:tcPr>
            <w:tcW w:w="1409"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after="0" w:line="240" w:lineRule="auto"/>
              <w:rPr>
                <w:rFonts w:ascii="Times New Roman" w:eastAsia="Times New Roman" w:hAnsi="Times New Roman" w:cs="Times New Roman"/>
                <w:b/>
                <w:bCs/>
                <w:noProof/>
                <w:sz w:val="12"/>
                <w:szCs w:val="12"/>
              </w:rPr>
            </w:pPr>
          </w:p>
          <w:p>
            <w:pPr>
              <w:widowControl w:val="0"/>
              <w:spacing w:before="6" w:after="0" w:line="240" w:lineRule="auto"/>
              <w:rPr>
                <w:rFonts w:ascii="Times New Roman" w:eastAsia="Times New Roman" w:hAnsi="Times New Roman" w:cs="Times New Roman"/>
                <w:b/>
                <w:bCs/>
                <w:noProof/>
                <w:sz w:val="15"/>
                <w:szCs w:val="15"/>
              </w:rPr>
            </w:pPr>
          </w:p>
          <w:p>
            <w:pPr>
              <w:widowControl w:val="0"/>
              <w:spacing w:after="0" w:line="240" w:lineRule="auto"/>
              <w:ind w:left="409"/>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99594" w:themeFill="accent2" w:themeFillTint="99"/>
          </w:tcPr>
          <w:p>
            <w:pPr>
              <w:rPr>
                <w:rFonts w:ascii="Times New Roman"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D99594" w:themeFill="accent2" w:themeFillTint="99"/>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before="85" w:after="0" w:line="240" w:lineRule="auto"/>
        <w:ind w:right="893"/>
        <w:jc w:val="center"/>
        <w:rPr>
          <w:rFonts w:ascii="Times New Roman" w:eastAsia="Calibri" w:hAnsi="Times New Roman" w:cs="Times New Roman"/>
          <w:b/>
          <w:noProof/>
          <w:spacing w:val="-1"/>
          <w:w w:val="105"/>
          <w:sz w:val="16"/>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89"/>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4" w:after="0" w:line="240" w:lineRule="auto"/>
              <w:ind w:right="896"/>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IV - Agents contractuels</w:t>
            </w:r>
          </w:p>
        </w:tc>
      </w:tr>
      <w:tr>
        <w:trPr>
          <w:trHeight w:hRule="exact" w:val="521"/>
        </w:trPr>
        <w:tc>
          <w:tcPr>
            <w:tcW w:w="1083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45" w:after="0" w:line="240" w:lineRule="auto"/>
              <w:ind w:right="892"/>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Dispositions générales</w:t>
            </w:r>
          </w:p>
        </w:tc>
      </w:tr>
      <w:tr>
        <w:trPr>
          <w:trHeight w:hRule="exact" w:val="586"/>
        </w:trPr>
        <w:tc>
          <w:tcPr>
            <w:tcW w:w="779" w:type="dxa"/>
            <w:tcBorders>
              <w:top w:val="single" w:sz="5" w:space="0" w:color="000000"/>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tcBorders>
              <w:top w:val="single" w:sz="5" w:space="0" w:color="000000"/>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2" w:after="0" w:line="271" w:lineRule="auto"/>
              <w:ind w:right="52"/>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EEAS(2011)02 - C(2006) 6957 - Réglementation applicable aux interprètes de conférence engagés selon les dispositions des articles 78 et 90 du RAA</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29.11.2011</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924"/>
        </w:trPr>
        <w:tc>
          <w:tcPr>
            <w:tcW w:w="779" w:type="dxa"/>
            <w:tcBorders>
              <w:top w:val="nil"/>
              <w:left w:val="single" w:sz="4" w:space="0" w:color="000000"/>
              <w:bottom w:val="single" w:sz="3" w:space="0" w:color="000000"/>
              <w:right w:val="single" w:sz="3" w:space="0" w:color="000000"/>
            </w:tcBorders>
            <w:shd w:val="clear" w:color="auto" w:fill="FFFF65"/>
          </w:tcPr>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79 (2)</w:t>
            </w:r>
          </w:p>
        </w:tc>
        <w:tc>
          <w:tcPr>
            <w:tcW w:w="2722" w:type="dxa"/>
            <w:tcBorders>
              <w:top w:val="nil"/>
              <w:left w:val="single" w:sz="3" w:space="0" w:color="000000"/>
              <w:bottom w:val="single" w:sz="3" w:space="0" w:color="000000"/>
              <w:right w:val="single" w:sz="3" w:space="0" w:color="000000"/>
            </w:tcBorders>
            <w:shd w:val="clear" w:color="auto" w:fill="FFFF65"/>
          </w:tcPr>
          <w:p>
            <w:pPr>
              <w:widowControl w:val="0"/>
              <w:spacing w:before="6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Recours aux agents contractuels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EEAS(2011)13 - C(2011) 1264 final - Dispositions</w:t>
            </w:r>
          </w:p>
          <w:p>
            <w:pPr>
              <w:widowControl w:val="0"/>
              <w:spacing w:before="18" w:after="0" w:line="271" w:lineRule="auto"/>
              <w:ind w:right="128"/>
              <w:jc w:val="center"/>
              <w:rPr>
                <w:rFonts w:ascii="Times New Roman" w:eastAsia="Times New Roman" w:hAnsi="Times New Roman" w:cs="Times New Roman"/>
                <w:noProof/>
                <w:sz w:val="12"/>
                <w:szCs w:val="12"/>
              </w:rPr>
            </w:pPr>
            <w:r>
              <w:rPr>
                <w:rFonts w:ascii="Times New Roman" w:hAnsi="Times New Roman" w:cs="Times New Roman"/>
                <w:noProof/>
                <w:w w:val="105"/>
                <w:sz w:val="12"/>
              </w:rPr>
              <w:t>générales d'exécution relatives aux procédures régissant l'engagement et l'emploi des agents contractuels, telles que modifiées par les décisions C(2013) 8967 du 16.12.2013 et EEAS DEC(2014)048</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1"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before="85" w:after="0" w:line="240" w:lineRule="auto"/>
        <w:ind w:right="893"/>
        <w:jc w:val="center"/>
        <w:rPr>
          <w:rFonts w:ascii="Times New Roman" w:eastAsia="Calibri" w:hAnsi="Times New Roman" w:cs="Times New Roman"/>
          <w:b/>
          <w:noProof/>
          <w:spacing w:val="-1"/>
          <w:w w:val="105"/>
          <w:sz w:val="16"/>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497"/>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133"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Conditions d'engagement</w:t>
            </w:r>
          </w:p>
        </w:tc>
      </w:tr>
      <w:tr>
        <w:trPr>
          <w:trHeight w:hRule="exact" w:val="586"/>
        </w:trPr>
        <w:tc>
          <w:tcPr>
            <w:tcW w:w="779" w:type="dxa"/>
            <w:tcBorders>
              <w:top w:val="single" w:sz="5" w:space="0" w:color="000000"/>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tcBorders>
              <w:top w:val="single" w:sz="5" w:space="0" w:color="000000"/>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2" w:after="0" w:line="271" w:lineRule="auto"/>
              <w:ind w:right="52"/>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EEAS(2011)02 - C(2006) 6957 - Réglementation applicable aux interprètes de conférence engagés selon les dispositions des articles 78 et 90 du RAA</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29.11.2011</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924"/>
        </w:trPr>
        <w:tc>
          <w:tcPr>
            <w:tcW w:w="779" w:type="dxa"/>
            <w:tcBorders>
              <w:top w:val="nil"/>
              <w:left w:val="single" w:sz="4" w:space="0" w:color="000000"/>
              <w:bottom w:val="single" w:sz="3" w:space="0" w:color="000000"/>
              <w:right w:val="single" w:sz="3" w:space="0" w:color="000000"/>
            </w:tcBorders>
            <w:shd w:val="clear" w:color="auto" w:fill="FFFF65"/>
          </w:tcPr>
          <w:p>
            <w:pPr>
              <w:widowControl w:val="0"/>
              <w:spacing w:before="101"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82</w:t>
            </w:r>
          </w:p>
        </w:tc>
        <w:tc>
          <w:tcPr>
            <w:tcW w:w="2722" w:type="dxa"/>
            <w:tcBorders>
              <w:top w:val="nil"/>
              <w:left w:val="single" w:sz="3" w:space="0" w:color="000000"/>
              <w:bottom w:val="single" w:sz="3" w:space="0" w:color="000000"/>
              <w:right w:val="single" w:sz="3" w:space="0" w:color="000000"/>
            </w:tcBorders>
            <w:shd w:val="clear" w:color="auto" w:fill="FFFF65"/>
          </w:tcPr>
          <w:p>
            <w:pPr>
              <w:widowControl w:val="0"/>
              <w:spacing w:after="0" w:line="164" w:lineRule="exact"/>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Procédures de recrutement</w:t>
            </w:r>
          </w:p>
          <w:p>
            <w:pPr>
              <w:widowControl w:val="0"/>
              <w:spacing w:before="15" w:after="0" w:line="240" w:lineRule="auto"/>
              <w:ind w:right="1"/>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pour les agents contractuels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EEAS(2011)13 - C(2011) 1264 final - Dispositions</w:t>
            </w:r>
          </w:p>
          <w:p>
            <w:pPr>
              <w:widowControl w:val="0"/>
              <w:spacing w:before="18" w:after="0" w:line="271" w:lineRule="auto"/>
              <w:ind w:right="128"/>
              <w:jc w:val="center"/>
              <w:rPr>
                <w:rFonts w:ascii="Times New Roman" w:eastAsia="Times New Roman" w:hAnsi="Times New Roman" w:cs="Times New Roman"/>
                <w:noProof/>
                <w:sz w:val="12"/>
                <w:szCs w:val="12"/>
              </w:rPr>
            </w:pPr>
            <w:r>
              <w:rPr>
                <w:rFonts w:ascii="Times New Roman" w:hAnsi="Times New Roman" w:cs="Times New Roman"/>
                <w:noProof/>
                <w:w w:val="105"/>
                <w:sz w:val="12"/>
              </w:rPr>
              <w:t>générales d'exécution relatives aux procédures régissant l'engagement et l'emploi des agents contractuels, telles que modifiées par les décisions C(2013) 8967 du 16.12.2013 et EEAS DEC(2014)048</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1"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586"/>
        </w:trPr>
        <w:tc>
          <w:tcPr>
            <w:tcW w:w="779" w:type="dxa"/>
            <w:tcBorders>
              <w:top w:val="single" w:sz="3" w:space="0" w:color="000000"/>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tcBorders>
              <w:top w:val="single" w:sz="3" w:space="0" w:color="000000"/>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4" w:after="0" w:line="271" w:lineRule="auto"/>
              <w:ind w:right="52"/>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EEAS(2011)02 - C(2006) 6957 - Réglementation applicable aux interprètes de conférence engagés selon les dispositions des articles 78 et 90 du RAA</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2"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29.11.2011</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924"/>
        </w:trPr>
        <w:tc>
          <w:tcPr>
            <w:tcW w:w="779" w:type="dxa"/>
            <w:tcBorders>
              <w:top w:val="nil"/>
              <w:left w:val="single" w:sz="4" w:space="0" w:color="000000"/>
              <w:bottom w:val="single" w:sz="3" w:space="0" w:color="000000"/>
              <w:right w:val="single" w:sz="3" w:space="0" w:color="000000"/>
            </w:tcBorders>
            <w:shd w:val="clear" w:color="auto" w:fill="FFFF65"/>
          </w:tcPr>
          <w:p>
            <w:pPr>
              <w:widowControl w:val="0"/>
              <w:spacing w:before="101"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86</w:t>
            </w:r>
          </w:p>
        </w:tc>
        <w:tc>
          <w:tcPr>
            <w:tcW w:w="2722" w:type="dxa"/>
            <w:tcBorders>
              <w:top w:val="nil"/>
              <w:left w:val="single" w:sz="3" w:space="0" w:color="000000"/>
              <w:bottom w:val="single" w:sz="3" w:space="0" w:color="000000"/>
              <w:right w:val="single" w:sz="3" w:space="0" w:color="000000"/>
            </w:tcBorders>
            <w:shd w:val="clear" w:color="auto" w:fill="FFFF65"/>
          </w:tcPr>
          <w:p>
            <w:pPr>
              <w:widowControl w:val="0"/>
              <w:spacing w:before="6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Grades au 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PROC EEAS(2011)13 - C(2011) 1264 final - Dispositions</w:t>
            </w:r>
          </w:p>
          <w:p>
            <w:pPr>
              <w:widowControl w:val="0"/>
              <w:spacing w:before="18" w:after="0" w:line="271" w:lineRule="auto"/>
              <w:ind w:right="128"/>
              <w:jc w:val="center"/>
              <w:rPr>
                <w:rFonts w:ascii="Times New Roman" w:eastAsia="Times New Roman" w:hAnsi="Times New Roman" w:cs="Times New Roman"/>
                <w:noProof/>
                <w:sz w:val="12"/>
                <w:szCs w:val="12"/>
              </w:rPr>
            </w:pPr>
            <w:r>
              <w:rPr>
                <w:rFonts w:ascii="Times New Roman" w:hAnsi="Times New Roman" w:cs="Times New Roman"/>
                <w:noProof/>
                <w:w w:val="105"/>
                <w:sz w:val="12"/>
              </w:rPr>
              <w:t>générales d'exécution relatives aux procédures régissant l'engagement et l'emploi des agents contractuels, telles que modifiées par les décisions C(2013) 8967 du 16.12.2013 et EEAS DEC(2014)048</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1"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22.11.2011</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893"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4"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614"/>
        </w:trPr>
        <w:tc>
          <w:tcPr>
            <w:tcW w:w="10833" w:type="dxa"/>
            <w:gridSpan w:val="6"/>
            <w:tcBorders>
              <w:top w:val="single" w:sz="5" w:space="0" w:color="000000"/>
              <w:left w:val="single" w:sz="4" w:space="0" w:color="000000"/>
              <w:bottom w:val="single" w:sz="3" w:space="0" w:color="000000"/>
              <w:right w:val="single" w:sz="5" w:space="0" w:color="000000"/>
            </w:tcBorders>
            <w:shd w:val="clear" w:color="auto" w:fill="DCE6F1"/>
          </w:tcPr>
          <w:p>
            <w:pPr>
              <w:widowControl w:val="0"/>
              <w:spacing w:before="156"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 xml:space="preserve">Chapitre 4 - Dispositions particulières applicables aux agents contractuels visés à l'article 3 </w:t>
            </w:r>
            <w:r>
              <w:rPr>
                <w:rFonts w:ascii="Times New Roman" w:hAnsi="Times New Roman" w:cs="Times New Roman"/>
                <w:b/>
                <w:i/>
                <w:noProof/>
                <w:spacing w:val="-1"/>
                <w:sz w:val="25"/>
              </w:rPr>
              <w:t>bis</w:t>
            </w:r>
          </w:p>
        </w:tc>
      </w:tr>
      <w:tr>
        <w:trPr>
          <w:trHeight w:hRule="exact" w:val="815"/>
        </w:trPr>
        <w:tc>
          <w:tcPr>
            <w:tcW w:w="779"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 w:after="0" w:line="240" w:lineRule="auto"/>
              <w:jc w:val="center"/>
              <w:rPr>
                <w:rFonts w:ascii="Times New Roman" w:eastAsia="Times New Roman" w:hAnsi="Times New Roman" w:cs="Times New Roman"/>
                <w:b/>
                <w:bCs/>
                <w:noProof/>
                <w:sz w:val="13"/>
                <w:szCs w:val="13"/>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87</w:t>
            </w:r>
          </w:p>
        </w:tc>
        <w:tc>
          <w:tcPr>
            <w:tcW w:w="2722"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b/>
                <w:bCs/>
                <w:noProof/>
                <w:sz w:val="16"/>
                <w:szCs w:val="16"/>
              </w:rPr>
            </w:pPr>
          </w:p>
          <w:p>
            <w:pPr>
              <w:widowControl w:val="0"/>
              <w:spacing w:before="3"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Évaluation des agents contractuels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5" w:after="0" w:line="271" w:lineRule="auto"/>
              <w:ind w:right="85"/>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EEAS DEC (2014)33- Décision portant adoption d’une procédure de reclassement des agents contractuels engagés au titre de l’article 3 </w:t>
            </w:r>
            <w:r>
              <w:rPr>
                <w:rFonts w:ascii="Times New Roman" w:hAnsi="Times New Roman" w:cs="Times New Roman"/>
                <w:i/>
                <w:noProof/>
                <w:spacing w:val="-2"/>
                <w:w w:val="105"/>
                <w:sz w:val="12"/>
              </w:rPr>
              <w:t>bis</w:t>
            </w:r>
            <w:r>
              <w:rPr>
                <w:rFonts w:ascii="Times New Roman" w:hAnsi="Times New Roman" w:cs="Times New Roman"/>
                <w:noProof/>
                <w:spacing w:val="-2"/>
                <w:w w:val="105"/>
                <w:sz w:val="12"/>
              </w:rPr>
              <w:t xml:space="preserve"> conformément à l’article 87, paragraphe 3, du RAA</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7.7.2014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31.7.2015</w:t>
            </w:r>
          </w:p>
        </w:tc>
        <w:tc>
          <w:tcPr>
            <w:tcW w:w="893"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743"/>
        </w:trPr>
        <w:tc>
          <w:tcPr>
            <w:tcW w:w="779"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3" w:after="0" w:line="271" w:lineRule="auto"/>
              <w:ind w:right="85"/>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ADMIN (2015) 23 portant adoption d’une procédure de reclassement des agents contractuels engagés au titre de l’article 3 </w:t>
            </w:r>
            <w:r>
              <w:rPr>
                <w:rFonts w:ascii="Times New Roman" w:hAnsi="Times New Roman" w:cs="Times New Roman"/>
                <w:i/>
                <w:noProof/>
                <w:spacing w:val="-2"/>
                <w:w w:val="105"/>
                <w:sz w:val="12"/>
              </w:rPr>
              <w:t>bis</w:t>
            </w:r>
            <w:r>
              <w:rPr>
                <w:rFonts w:ascii="Times New Roman" w:hAnsi="Times New Roman" w:cs="Times New Roman"/>
                <w:noProof/>
                <w:spacing w:val="-2"/>
                <w:w w:val="105"/>
                <w:sz w:val="12"/>
              </w:rPr>
              <w:t xml:space="preserve"> conformément à l’article 87, paragraphe 3, du RAA</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31.7.2015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Calibri" w:hAnsi="Times New Roman" w:cs="Times New Roman"/>
          <w:noProof/>
        </w:rPr>
        <w:sectPr>
          <w:headerReference w:type="even" r:id="rId117"/>
          <w:headerReference w:type="default" r:id="rId118"/>
          <w:footerReference w:type="even" r:id="rId119"/>
          <w:footerReference w:type="default" r:id="rId120"/>
          <w:headerReference w:type="first" r:id="rId121"/>
          <w:footerReference w:type="first" r:id="rId122"/>
          <w:pgSz w:w="11900" w:h="16840" w:code="9"/>
          <w:pgMar w:top="1040" w:right="620" w:bottom="280" w:left="220" w:header="854" w:footer="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893"/>
      </w:tblGrid>
      <w:tr>
        <w:trPr>
          <w:trHeight w:hRule="exact" w:val="456"/>
        </w:trPr>
        <w:tc>
          <w:tcPr>
            <w:tcW w:w="78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Article</w:t>
            </w:r>
          </w:p>
        </w:tc>
        <w:tc>
          <w:tcPr>
            <w:tcW w:w="2722"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Objet</w:t>
            </w:r>
          </w:p>
        </w:tc>
        <w:tc>
          <w:tcPr>
            <w:tcW w:w="323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Règle d'exécution</w:t>
            </w:r>
          </w:p>
        </w:tc>
        <w:tc>
          <w:tcPr>
            <w:tcW w:w="1409"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Entrée en vigueur</w:t>
            </w:r>
          </w:p>
        </w:tc>
        <w:tc>
          <w:tcPr>
            <w:tcW w:w="1800"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23"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Date d’expiration</w:t>
            </w:r>
          </w:p>
        </w:tc>
        <w:tc>
          <w:tcPr>
            <w:tcW w:w="893" w:type="dxa"/>
            <w:tcBorders>
              <w:top w:val="single" w:sz="3" w:space="0" w:color="000000"/>
              <w:left w:val="single" w:sz="3" w:space="0" w:color="000000"/>
              <w:bottom w:val="single" w:sz="3" w:space="0" w:color="000000"/>
              <w:right w:val="single" w:sz="5" w:space="0" w:color="000000"/>
            </w:tcBorders>
            <w:shd w:val="clear" w:color="auto" w:fill="DAEEF3"/>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893"/>
      </w:tblGrid>
      <w:tr>
        <w:trPr>
          <w:trHeight w:hRule="exact" w:val="389"/>
        </w:trPr>
        <w:tc>
          <w:tcPr>
            <w:tcW w:w="10833"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4" w:after="0" w:line="240" w:lineRule="auto"/>
              <w:ind w:right="892"/>
              <w:jc w:val="center"/>
              <w:rPr>
                <w:rFonts w:ascii="Times New Roman" w:eastAsia="Times New Roman" w:hAnsi="Times New Roman" w:cs="Times New Roman"/>
                <w:noProof/>
                <w:sz w:val="25"/>
                <w:szCs w:val="25"/>
              </w:rPr>
            </w:pPr>
            <w:r>
              <w:rPr>
                <w:rFonts w:ascii="Times New Roman" w:hAnsi="Times New Roman" w:cs="Times New Roman"/>
                <w:b/>
                <w:noProof/>
                <w:sz w:val="25"/>
              </w:rPr>
              <w:t>Titre V - Des agents locaux</w:t>
            </w:r>
          </w:p>
        </w:tc>
      </w:tr>
      <w:tr>
        <w:trPr>
          <w:trHeight w:hRule="exact" w:val="464"/>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120</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2"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Agents locaux dans les délégations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71" w:lineRule="auto"/>
              <w:ind w:right="24"/>
              <w:jc w:val="center"/>
              <w:rPr>
                <w:rFonts w:ascii="Times New Roman" w:eastAsia="Times New Roman" w:hAnsi="Times New Roman" w:cs="Times New Roman"/>
                <w:noProof/>
                <w:sz w:val="12"/>
                <w:szCs w:val="12"/>
              </w:rPr>
            </w:pPr>
            <w:r>
              <w:rPr>
                <w:rFonts w:ascii="Times New Roman" w:hAnsi="Times New Roman" w:cs="Times New Roman"/>
                <w:noProof/>
                <w:spacing w:val="-2"/>
                <w:w w:val="105"/>
                <w:sz w:val="12"/>
              </w:rPr>
              <w:t>EEAS DEC (2014)004 portant adoption de la méthode de fixation et d’adaptation de la rémunération des agents locaux en poste dans les délégations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1.6.2014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893"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p>
      <w:pPr>
        <w:widowControl w:val="0"/>
        <w:spacing w:before="10" w:after="0" w:line="240" w:lineRule="auto"/>
        <w:jc w:val="center"/>
        <w:rPr>
          <w:rFonts w:ascii="Times New Roman" w:eastAsia="Times New Roman" w:hAnsi="Times New Roman" w:cs="Times New Roman"/>
          <w:b/>
          <w:bCs/>
          <w:noProof/>
          <w:sz w:val="18"/>
          <w:szCs w:val="18"/>
        </w:rPr>
      </w:pPr>
    </w:p>
    <w:p>
      <w:pPr>
        <w:jc w:val="center"/>
        <w:rPr>
          <w:rFonts w:ascii="Times New Roman" w:eastAsia="Times New Roman" w:hAnsi="Times New Roman" w:cs="Times New Roman"/>
          <w:b/>
          <w:bCs/>
          <w:noProof/>
          <w:sz w:val="12"/>
          <w:szCs w:val="12"/>
        </w:rPr>
      </w:pPr>
      <w:r>
        <w:rPr>
          <w:rFonts w:ascii="Times New Roman" w:hAnsi="Times New Roman" w:cs="Times New Roman"/>
          <w:noProof/>
        </w:rPr>
        <w:br w:type="page"/>
      </w:r>
    </w:p>
    <w:p>
      <w:pPr>
        <w:widowControl w:val="0"/>
        <w:spacing w:after="0" w:line="240" w:lineRule="auto"/>
        <w:jc w:val="center"/>
        <w:rPr>
          <w:rFonts w:ascii="Times New Roman" w:eastAsia="Times New Roman" w:hAnsi="Times New Roman" w:cs="Times New Roman"/>
          <w:b/>
          <w:bCs/>
          <w:noProof/>
          <w:sz w:val="12"/>
          <w:szCs w:val="12"/>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845"/>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152" w:after="0" w:line="240" w:lineRule="auto"/>
              <w:jc w:val="center"/>
              <w:rPr>
                <w:rFonts w:ascii="Times New Roman" w:eastAsia="Times New Roman" w:hAnsi="Times New Roman" w:cs="Times New Roman"/>
                <w:noProof/>
                <w:sz w:val="46"/>
                <w:szCs w:val="46"/>
              </w:rPr>
            </w:pPr>
            <w:r>
              <w:rPr>
                <w:rFonts w:ascii="Times New Roman" w:hAnsi="Times New Roman" w:cs="Times New Roman"/>
                <w:b/>
                <w:noProof/>
                <w:sz w:val="46"/>
              </w:rPr>
              <w:t>Comité économique et social européen</w:t>
            </w:r>
          </w:p>
        </w:tc>
      </w:tr>
      <w:tr>
        <w:trPr>
          <w:trHeight w:hRule="exact" w:val="845"/>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90" w:after="0" w:line="240" w:lineRule="auto"/>
              <w:ind w:right="869"/>
              <w:jc w:val="center"/>
              <w:rPr>
                <w:rFonts w:ascii="Times New Roman" w:eastAsia="Times New Roman" w:hAnsi="Times New Roman" w:cs="Times New Roman"/>
                <w:noProof/>
                <w:sz w:val="38"/>
                <w:szCs w:val="38"/>
              </w:rPr>
            </w:pPr>
            <w:r>
              <w:rPr>
                <w:rFonts w:ascii="Times New Roman" w:hAnsi="Times New Roman" w:cs="Times New Roman"/>
                <w:b/>
                <w:noProof/>
                <w:spacing w:val="-1"/>
                <w:sz w:val="38"/>
              </w:rPr>
              <w:t>Statut</w:t>
            </w:r>
          </w:p>
          <w:p>
            <w:pPr>
              <w:widowControl w:val="0"/>
              <w:spacing w:before="16" w:after="0" w:line="240" w:lineRule="auto"/>
              <w:ind w:right="873"/>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(applicable par analogie aux autres agents lorsque le RAA le prévoit expressément)</w:t>
            </w:r>
          </w:p>
        </w:tc>
      </w:tr>
      <w:tr>
        <w:trPr>
          <w:trHeight w:hRule="exact" w:val="365"/>
        </w:trPr>
        <w:tc>
          <w:tcPr>
            <w:tcW w:w="1156"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Article</w:t>
            </w:r>
          </w:p>
        </w:tc>
        <w:tc>
          <w:tcPr>
            <w:tcW w:w="2803"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Objet</w:t>
            </w:r>
          </w:p>
        </w:tc>
        <w:tc>
          <w:tcPr>
            <w:tcW w:w="3266"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Règle d'exécution</w:t>
            </w:r>
          </w:p>
        </w:tc>
        <w:tc>
          <w:tcPr>
            <w:tcW w:w="13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Entrée en vigueur</w:t>
            </w:r>
          </w:p>
        </w:tc>
        <w:tc>
          <w:tcPr>
            <w:tcW w:w="1561"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Date d’expiration</w:t>
            </w:r>
          </w:p>
        </w:tc>
        <w:tc>
          <w:tcPr>
            <w:tcW w:w="1000"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85"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365"/>
        </w:trPr>
        <w:tc>
          <w:tcPr>
            <w:tcW w:w="1110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43" w:after="0" w:line="240" w:lineRule="auto"/>
              <w:ind w:right="868"/>
              <w:jc w:val="center"/>
              <w:rPr>
                <w:rFonts w:ascii="Times New Roman" w:eastAsia="Times New Roman" w:hAnsi="Times New Roman" w:cs="Times New Roman"/>
                <w:noProof/>
                <w:sz w:val="23"/>
                <w:szCs w:val="23"/>
              </w:rPr>
            </w:pPr>
            <w:r>
              <w:rPr>
                <w:rFonts w:ascii="Times New Roman" w:hAnsi="Times New Roman" w:cs="Times New Roman"/>
                <w:b/>
                <w:noProof/>
                <w:sz w:val="23"/>
              </w:rPr>
              <w:t>Titre I - Dispositions générales</w:t>
            </w:r>
          </w:p>
        </w:tc>
      </w:tr>
      <w:tr>
        <w:trPr>
          <w:trHeight w:hRule="exact" w:val="360"/>
        </w:trPr>
        <w:tc>
          <w:tcPr>
            <w:tcW w:w="1156"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2</w:t>
            </w:r>
          </w:p>
        </w:tc>
        <w:tc>
          <w:tcPr>
            <w:tcW w:w="2803"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4"/>
                <w:szCs w:val="14"/>
              </w:rPr>
            </w:pPr>
          </w:p>
          <w:p>
            <w:pPr>
              <w:widowControl w:val="0"/>
              <w:spacing w:before="113"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z w:val="15"/>
              </w:rPr>
              <w:t>Pouvoirs de l'AIPN</w:t>
            </w:r>
          </w:p>
        </w:tc>
        <w:tc>
          <w:tcPr>
            <w:tcW w:w="3266"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0" w:after="0" w:line="268" w:lineRule="auto"/>
              <w:ind w:right="52"/>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Décisions 659/12 A du 27 septembre 2012, 095/14 A du 16 mai 2014 et 023/15 A</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2.2.2015</w:t>
            </w:r>
          </w:p>
        </w:tc>
        <w:tc>
          <w:tcPr>
            <w:tcW w:w="1561"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1.5.2016</w:t>
            </w:r>
          </w:p>
        </w:tc>
        <w:tc>
          <w:tcPr>
            <w:tcW w:w="1000" w:type="dxa"/>
            <w:vMerge w:val="restart"/>
            <w:tcBorders>
              <w:top w:val="single" w:sz="5"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91"/>
        </w:trPr>
        <w:tc>
          <w:tcPr>
            <w:tcW w:w="1156" w:type="dxa"/>
            <w:vMerge/>
            <w:tcBorders>
              <w:left w:val="single" w:sz="4"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803"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1"/>
                <w:szCs w:val="11"/>
              </w:rPr>
            </w:pPr>
          </w:p>
          <w:p>
            <w:pPr>
              <w:widowControl w:val="0"/>
              <w:spacing w:after="0" w:line="268" w:lineRule="auto"/>
              <w:ind w:right="17"/>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Décisions 096/16 A, 097/16 A et 098/16 A relatives à l’exercice des pouvoirs dévolus par le statut à l’autorité investie du pouvoir de nomination et par le RAA à l’autorité habilitée à conclure les contrats d’engagement</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1.5.2016</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vMerge/>
            <w:tcBorders>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360"/>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5 + annexe I</w:t>
            </w:r>
          </w:p>
        </w:tc>
        <w:tc>
          <w:tcPr>
            <w:tcW w:w="280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4" w:after="0" w:line="240" w:lineRule="auto"/>
              <w:ind w:right="1"/>
              <w:jc w:val="center"/>
              <w:rPr>
                <w:rFonts w:ascii="Times New Roman" w:eastAsia="Times New Roman" w:hAnsi="Times New Roman" w:cs="Times New Roman"/>
                <w:noProof/>
                <w:sz w:val="15"/>
                <w:szCs w:val="15"/>
              </w:rPr>
            </w:pPr>
            <w:r>
              <w:rPr>
                <w:rFonts w:ascii="Times New Roman" w:hAnsi="Times New Roman" w:cs="Times New Roman"/>
                <w:b/>
                <w:noProof/>
                <w:sz w:val="15"/>
              </w:rPr>
              <w:t>Emplois types</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211/14 A relative aux emplois types et aux intitulés d'emploi</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1.1.2014</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1057"/>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68" w:lineRule="auto"/>
              <w:ind w:right="78"/>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5 + annexe I et annexe XIII (articles 30 - 31)</w:t>
            </w:r>
          </w:p>
        </w:tc>
        <w:tc>
          <w:tcPr>
            <w:tcW w:w="280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22" w:after="0" w:line="260" w:lineRule="auto"/>
              <w:ind w:right="109"/>
              <w:jc w:val="center"/>
              <w:rPr>
                <w:rFonts w:ascii="Times New Roman" w:eastAsia="Times New Roman" w:hAnsi="Times New Roman" w:cs="Times New Roman"/>
                <w:noProof/>
                <w:sz w:val="15"/>
                <w:szCs w:val="15"/>
              </w:rPr>
            </w:pPr>
            <w:r>
              <w:rPr>
                <w:rFonts w:ascii="Times New Roman" w:hAnsi="Times New Roman" w:cs="Times New Roman"/>
                <w:b/>
                <w:noProof/>
                <w:sz w:val="15"/>
              </w:rPr>
              <w:t>Classement des fonctionnaires investis de responsabilités particulières en tant que «chef d'unité ou équivalent» ou «conseiller ou équivalent» avant le 31 décembre 2015</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211/14 A relative aux emplois types et aux intitulés d'emploi</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1.1.2014</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360"/>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7</w:t>
            </w:r>
          </w:p>
        </w:tc>
        <w:tc>
          <w:tcPr>
            <w:tcW w:w="280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4"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Transfert</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130/15 A instaurant un régime de mobilité</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11.5.2015</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410"/>
        </w:trPr>
        <w:tc>
          <w:tcPr>
            <w:tcW w:w="1110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67"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spacing w:val="-1"/>
                <w:sz w:val="23"/>
              </w:rPr>
              <w:t>Titre II - Droits et obligations du fonctionnaire</w:t>
            </w:r>
          </w:p>
        </w:tc>
      </w:tr>
      <w:tr>
        <w:trPr>
          <w:trHeight w:hRule="exact" w:val="610"/>
        </w:trPr>
        <w:tc>
          <w:tcPr>
            <w:tcW w:w="1156"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9"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12 </w:t>
            </w:r>
            <w:r>
              <w:rPr>
                <w:rFonts w:ascii="Times New Roman" w:hAnsi="Times New Roman" w:cs="Times New Roman"/>
                <w:b/>
                <w:i/>
                <w:noProof/>
                <w:w w:val="105"/>
                <w:sz w:val="11"/>
              </w:rPr>
              <w:t>bis</w:t>
            </w:r>
          </w:p>
        </w:tc>
        <w:tc>
          <w:tcPr>
            <w:tcW w:w="2803"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8"/>
                <w:szCs w:val="18"/>
              </w:rPr>
            </w:pPr>
          </w:p>
          <w:p>
            <w:pPr>
              <w:widowControl w:val="0"/>
              <w:spacing w:after="0" w:line="240" w:lineRule="auto"/>
              <w:ind w:right="1"/>
              <w:jc w:val="center"/>
              <w:rPr>
                <w:rFonts w:ascii="Times New Roman" w:eastAsia="Times New Roman" w:hAnsi="Times New Roman" w:cs="Times New Roman"/>
                <w:noProof/>
                <w:sz w:val="15"/>
                <w:szCs w:val="15"/>
              </w:rPr>
            </w:pPr>
            <w:r>
              <w:rPr>
                <w:rFonts w:ascii="Times New Roman" w:hAnsi="Times New Roman" w:cs="Times New Roman"/>
                <w:b/>
                <w:noProof/>
                <w:sz w:val="15"/>
              </w:rPr>
              <w:t>Harcèlement</w:t>
            </w:r>
          </w:p>
        </w:tc>
        <w:tc>
          <w:tcPr>
            <w:tcW w:w="3266"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noProof/>
                <w:sz w:val="14"/>
                <w:szCs w:val="14"/>
              </w:rPr>
            </w:pPr>
          </w:p>
          <w:p>
            <w:pPr>
              <w:widowControl w:val="0"/>
              <w:spacing w:after="0" w:line="268" w:lineRule="auto"/>
              <w:ind w:right="215"/>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 xml:space="preserve">Décision 200/14 A concernant les procédures de traitement du harcèlement moral et sexuel au travail </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6"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26.9.2014</w:t>
            </w:r>
          </w:p>
        </w:tc>
        <w:tc>
          <w:tcPr>
            <w:tcW w:w="1561"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0"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18"/>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 xml:space="preserve">12 </w:t>
            </w:r>
            <w:r>
              <w:rPr>
                <w:rFonts w:ascii="Times New Roman" w:hAnsi="Times New Roman" w:cs="Times New Roman"/>
                <w:b/>
                <w:i/>
                <w:noProof/>
                <w:w w:val="105"/>
                <w:sz w:val="11"/>
              </w:rPr>
              <w:t>ter</w:t>
            </w:r>
            <w:r>
              <w:rPr>
                <w:rFonts w:ascii="Times New Roman" w:hAnsi="Times New Roman" w:cs="Times New Roman"/>
                <w:b/>
                <w:noProof/>
                <w:w w:val="105"/>
                <w:sz w:val="11"/>
              </w:rPr>
              <w:t xml:space="preserve"> - 16 - 17</w:t>
            </w:r>
          </w:p>
        </w:tc>
        <w:tc>
          <w:tcPr>
            <w:tcW w:w="280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23"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z w:val="15"/>
              </w:rPr>
              <w:t>Activités extérieures</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038/14 A relative aux activités extérieures et aux mandats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7.2.2014</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600"/>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6" w:after="0" w:line="240" w:lineRule="auto"/>
              <w:ind w:right="2"/>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 xml:space="preserve">22 </w:t>
            </w:r>
            <w:r>
              <w:rPr>
                <w:rFonts w:ascii="Times New Roman" w:hAnsi="Times New Roman" w:cs="Times New Roman"/>
                <w:b/>
                <w:i/>
                <w:noProof/>
                <w:w w:val="105"/>
                <w:sz w:val="11"/>
              </w:rPr>
              <w:t>bis</w:t>
            </w:r>
            <w:r>
              <w:rPr>
                <w:rFonts w:ascii="Times New Roman" w:hAnsi="Times New Roman" w:cs="Times New Roman"/>
                <w:b/>
                <w:noProof/>
                <w:w w:val="105"/>
                <w:sz w:val="11"/>
              </w:rPr>
              <w:t xml:space="preserve"> - </w:t>
            </w:r>
            <w:r>
              <w:rPr>
                <w:rFonts w:ascii="Times New Roman" w:hAnsi="Times New Roman" w:cs="Times New Roman"/>
                <w:b/>
                <w:i/>
                <w:noProof/>
                <w:w w:val="105"/>
                <w:sz w:val="11"/>
              </w:rPr>
              <w:t>quater</w:t>
            </w:r>
          </w:p>
        </w:tc>
        <w:tc>
          <w:tcPr>
            <w:tcW w:w="280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z w:val="15"/>
              </w:rPr>
              <w:t>Dénonciation des dysfonctionnements</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4"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053/16 A formulant les règles en matière de lancement d'alerte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4"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3.3.2016</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7"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82"/>
        </w:trPr>
        <w:tc>
          <w:tcPr>
            <w:tcW w:w="1156"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24 </w:t>
            </w:r>
            <w:r>
              <w:rPr>
                <w:rFonts w:ascii="Times New Roman" w:hAnsi="Times New Roman" w:cs="Times New Roman"/>
                <w:b/>
                <w:i/>
                <w:noProof/>
                <w:w w:val="105"/>
                <w:sz w:val="11"/>
              </w:rPr>
              <w:t>bis</w:t>
            </w:r>
          </w:p>
        </w:tc>
        <w:tc>
          <w:tcPr>
            <w:tcW w:w="2803"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4"/>
                <w:szCs w:val="14"/>
              </w:rPr>
            </w:pPr>
          </w:p>
          <w:p>
            <w:pPr>
              <w:widowControl w:val="0"/>
              <w:spacing w:before="101" w:after="0" w:line="240" w:lineRule="auto"/>
              <w:ind w:right="1"/>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Formation</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Décisions 864/08 A et 965/08 A relatives à la formation</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19.12.2008</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16.7.2015</w:t>
            </w:r>
          </w:p>
        </w:tc>
        <w:tc>
          <w:tcPr>
            <w:tcW w:w="1000" w:type="dxa"/>
            <w:vMerge w:val="restart"/>
            <w:tcBorders>
              <w:top w:val="single" w:sz="3"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79"/>
        </w:trPr>
        <w:tc>
          <w:tcPr>
            <w:tcW w:w="1156" w:type="dxa"/>
            <w:vMerge/>
            <w:tcBorders>
              <w:left w:val="single" w:sz="4"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803"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3"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189/15 A relative aux règles en matière de formation et de développement</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3"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16.7.2015</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vMerge/>
            <w:tcBorders>
              <w:left w:val="single" w:sz="3" w:space="0" w:color="000000"/>
              <w:bottom w:val="single" w:sz="3" w:space="0" w:color="000000"/>
              <w:right w:val="single" w:sz="7" w:space="0" w:color="000000"/>
            </w:tcBorders>
            <w:shd w:val="clear" w:color="auto" w:fill="DA9694"/>
          </w:tcPr>
          <w:p>
            <w:pPr>
              <w:jc w:val="center"/>
              <w:rPr>
                <w:rFonts w:ascii="Times New Roman" w:hAnsi="Times New Roman" w:cs="Times New Roman"/>
                <w:noProof/>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410"/>
        </w:trPr>
        <w:tc>
          <w:tcPr>
            <w:tcW w:w="1110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67"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sz w:val="23"/>
              </w:rPr>
              <w:t>Titre III - De la carrière du fonctionnaire</w:t>
            </w:r>
          </w:p>
        </w:tc>
      </w:tr>
      <w:tr>
        <w:trPr>
          <w:trHeight w:hRule="exact" w:val="410"/>
        </w:trPr>
        <w:tc>
          <w:tcPr>
            <w:tcW w:w="1110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67" w:after="0" w:line="240" w:lineRule="auto"/>
              <w:jc w:val="center"/>
              <w:rPr>
                <w:rFonts w:ascii="Times New Roman" w:hAnsi="Times New Roman" w:cs="Times New Roman"/>
                <w:b/>
                <w:noProof/>
                <w:sz w:val="23"/>
              </w:rPr>
            </w:pPr>
            <w:r>
              <w:rPr>
                <w:rFonts w:ascii="Times New Roman" w:hAnsi="Times New Roman" w:cs="Times New Roman"/>
                <w:b/>
                <w:noProof/>
                <w:spacing w:val="-2"/>
                <w:sz w:val="18"/>
              </w:rPr>
              <w:t>Chapitre 1 - Recrutement</w:t>
            </w:r>
          </w:p>
        </w:tc>
      </w:tr>
      <w:tr>
        <w:trPr>
          <w:trHeight w:hRule="exact" w:val="527"/>
        </w:trPr>
        <w:tc>
          <w:tcPr>
            <w:tcW w:w="1156" w:type="dxa"/>
            <w:vMerge w:val="restart"/>
            <w:tcBorders>
              <w:top w:val="single" w:sz="5" w:space="0" w:color="000000"/>
              <w:left w:val="single" w:sz="4" w:space="0" w:color="000000"/>
              <w:right w:val="single" w:sz="3" w:space="0" w:color="000000"/>
            </w:tcBorders>
            <w:shd w:val="clear" w:color="auto" w:fill="FFFF66"/>
            <w:vAlign w:val="center"/>
          </w:tcPr>
          <w:p>
            <w:pPr>
              <w:spacing w:before="104"/>
              <w:jc w:val="center"/>
              <w:rPr>
                <w:rFonts w:ascii="Times New Roman" w:eastAsia="Times New Roman" w:hAnsi="Times New Roman" w:cs="Times New Roman"/>
                <w:noProof/>
                <w:sz w:val="11"/>
                <w:szCs w:val="11"/>
              </w:rPr>
            </w:pPr>
            <w:r>
              <w:rPr>
                <w:rFonts w:ascii="Times New Roman" w:hAnsi="Times New Roman" w:cs="Times New Roman"/>
                <w:b/>
                <w:noProof/>
                <w:sz w:val="11"/>
              </w:rPr>
              <w:t>27 - 34</w:t>
            </w:r>
          </w:p>
        </w:tc>
        <w:tc>
          <w:tcPr>
            <w:tcW w:w="2803" w:type="dxa"/>
            <w:vMerge w:val="restart"/>
            <w:tcBorders>
              <w:top w:val="single" w:sz="5" w:space="0" w:color="000000"/>
              <w:left w:val="single" w:sz="3" w:space="0" w:color="000000"/>
              <w:right w:val="single" w:sz="3" w:space="0" w:color="000000"/>
            </w:tcBorders>
            <w:shd w:val="clear" w:color="auto" w:fill="FFFF66"/>
            <w:vAlign w:val="center"/>
          </w:tcPr>
          <w:p>
            <w:pPr>
              <w:widowControl w:val="0"/>
              <w:spacing w:after="0" w:line="240" w:lineRule="auto"/>
              <w:ind w:right="1"/>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Recrutement</w:t>
            </w:r>
          </w:p>
        </w:tc>
        <w:tc>
          <w:tcPr>
            <w:tcW w:w="3266"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before="6" w:after="0" w:line="240" w:lineRule="auto"/>
              <w:rPr>
                <w:rFonts w:ascii="Times New Roman" w:eastAsia="Times New Roman" w:hAnsi="Times New Roman" w:cs="Times New Roman"/>
                <w:b/>
                <w:bCs/>
                <w:noProof/>
                <w:sz w:val="9"/>
                <w:szCs w:val="9"/>
              </w:rPr>
            </w:pPr>
          </w:p>
          <w:p>
            <w:pPr>
              <w:widowControl w:val="0"/>
              <w:spacing w:after="0" w:line="268" w:lineRule="auto"/>
              <w:ind w:left="788" w:right="41" w:hanging="747"/>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297/04 A relative aux critères applicables au classement en échelon lors du recrutement ou de l'engagement</w:t>
            </w:r>
          </w:p>
        </w:tc>
        <w:tc>
          <w:tcPr>
            <w:tcW w:w="1322"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before="9" w:after="0" w:line="240" w:lineRule="auto"/>
              <w:rPr>
                <w:rFonts w:ascii="Times New Roman" w:eastAsia="Times New Roman" w:hAnsi="Times New Roman" w:cs="Times New Roman"/>
                <w:b/>
                <w:bCs/>
                <w:noProof/>
                <w:sz w:val="15"/>
                <w:szCs w:val="15"/>
              </w:rPr>
            </w:pPr>
          </w:p>
          <w:p>
            <w:pPr>
              <w:widowControl w:val="0"/>
              <w:spacing w:after="0" w:line="240" w:lineRule="auto"/>
              <w:ind w:left="397"/>
              <w:rPr>
                <w:rFonts w:ascii="Times New Roman" w:eastAsia="Times New Roman" w:hAnsi="Times New Roman" w:cs="Times New Roman"/>
                <w:noProof/>
                <w:sz w:val="11"/>
                <w:szCs w:val="11"/>
              </w:rPr>
            </w:pPr>
            <w:r>
              <w:rPr>
                <w:rFonts w:ascii="Times New Roman" w:hAnsi="Times New Roman" w:cs="Times New Roman"/>
                <w:noProof/>
                <w:w w:val="105"/>
                <w:sz w:val="11"/>
              </w:rPr>
              <w:t>1.5.2004</w:t>
            </w:r>
          </w:p>
        </w:tc>
        <w:tc>
          <w:tcPr>
            <w:tcW w:w="1561" w:type="dxa"/>
            <w:tcBorders>
              <w:top w:val="single" w:sz="5" w:space="0" w:color="000000"/>
              <w:left w:val="single" w:sz="3" w:space="0" w:color="000000"/>
              <w:bottom w:val="single" w:sz="3" w:space="0" w:color="000000"/>
              <w:right w:val="single" w:sz="3" w:space="0" w:color="000000"/>
            </w:tcBorders>
            <w:shd w:val="clear" w:color="auto" w:fill="D99594" w:themeFill="accent2" w:themeFillTint="99"/>
          </w:tcPr>
          <w:p>
            <w:pPr>
              <w:widowControl w:val="0"/>
              <w:spacing w:before="9" w:after="0" w:line="240" w:lineRule="auto"/>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4.12.2004</w:t>
            </w:r>
          </w:p>
        </w:tc>
        <w:tc>
          <w:tcPr>
            <w:tcW w:w="1000" w:type="dxa"/>
            <w:vMerge w:val="restart"/>
            <w:tcBorders>
              <w:top w:val="single" w:sz="5" w:space="0" w:color="000000"/>
              <w:left w:val="single" w:sz="3" w:space="0" w:color="000000"/>
              <w:right w:val="single" w:sz="7" w:space="0" w:color="000000"/>
            </w:tcBorders>
            <w:shd w:val="clear" w:color="auto" w:fill="FFFF66"/>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23"/>
        </w:trPr>
        <w:tc>
          <w:tcPr>
            <w:tcW w:w="1156" w:type="dxa"/>
            <w:vMerge/>
            <w:tcBorders>
              <w:left w:val="single" w:sz="4" w:space="0" w:color="000000"/>
              <w:bottom w:val="single" w:sz="3" w:space="0" w:color="000000"/>
              <w:right w:val="single" w:sz="3" w:space="0" w:color="000000"/>
            </w:tcBorders>
            <w:shd w:val="clear" w:color="auto" w:fill="FFFF66"/>
          </w:tcPr>
          <w:p>
            <w:pPr>
              <w:widowControl w:val="0"/>
              <w:spacing w:after="0" w:line="240" w:lineRule="auto"/>
              <w:jc w:val="center"/>
              <w:rPr>
                <w:rFonts w:ascii="Times New Roman" w:eastAsia="Times New Roman" w:hAnsi="Times New Roman" w:cs="Times New Roman"/>
                <w:noProof/>
                <w:sz w:val="11"/>
                <w:szCs w:val="11"/>
                <w:highlight w:val="yellow"/>
              </w:rPr>
            </w:pPr>
          </w:p>
        </w:tc>
        <w:tc>
          <w:tcPr>
            <w:tcW w:w="2803" w:type="dxa"/>
            <w:vMerge/>
            <w:tcBorders>
              <w:left w:val="single" w:sz="3" w:space="0" w:color="000000"/>
              <w:bottom w:val="single" w:sz="3" w:space="0" w:color="000000"/>
              <w:right w:val="single" w:sz="3" w:space="0" w:color="000000"/>
            </w:tcBorders>
            <w:shd w:val="clear" w:color="auto" w:fill="FFFF66"/>
          </w:tcPr>
          <w:p>
            <w:pPr>
              <w:widowControl w:val="0"/>
              <w:spacing w:before="123" w:after="0" w:line="240" w:lineRule="auto"/>
              <w:jc w:val="center"/>
              <w:rPr>
                <w:rFonts w:ascii="Times New Roman" w:eastAsia="Times New Roman" w:hAnsi="Times New Roman" w:cs="Times New Roman"/>
                <w:noProof/>
                <w:sz w:val="15"/>
                <w:szCs w:val="15"/>
                <w:highlight w:val="yellow"/>
              </w:rPr>
            </w:pPr>
          </w:p>
        </w:tc>
        <w:tc>
          <w:tcPr>
            <w:tcW w:w="3266" w:type="dxa"/>
            <w:tcBorders>
              <w:top w:val="single" w:sz="3" w:space="0" w:color="000000"/>
              <w:left w:val="single" w:sz="3" w:space="0" w:color="000000"/>
              <w:bottom w:val="single" w:sz="3" w:space="0" w:color="000000"/>
              <w:right w:val="single" w:sz="3" w:space="0" w:color="000000"/>
            </w:tcBorders>
            <w:shd w:val="clear" w:color="auto" w:fill="FFFF66"/>
          </w:tcPr>
          <w:p>
            <w:pPr>
              <w:widowControl w:val="0"/>
              <w:spacing w:before="6" w:after="0" w:line="240" w:lineRule="auto"/>
              <w:rPr>
                <w:rFonts w:ascii="Times New Roman" w:eastAsia="Times New Roman" w:hAnsi="Times New Roman" w:cs="Times New Roman"/>
                <w:b/>
                <w:bCs/>
                <w:noProof/>
                <w:sz w:val="9"/>
                <w:szCs w:val="9"/>
                <w:highlight w:val="yellow"/>
              </w:rPr>
            </w:pPr>
          </w:p>
          <w:p>
            <w:pPr>
              <w:widowControl w:val="0"/>
              <w:spacing w:after="0" w:line="268" w:lineRule="auto"/>
              <w:ind w:left="152" w:right="95" w:hanging="58"/>
              <w:jc w:val="center"/>
              <w:rPr>
                <w:rFonts w:ascii="Times New Roman" w:eastAsia="Times New Roman" w:hAnsi="Times New Roman" w:cs="Times New Roman"/>
                <w:noProof/>
                <w:sz w:val="11"/>
                <w:szCs w:val="11"/>
                <w:highlight w:val="yellow"/>
              </w:rPr>
            </w:pPr>
            <w:r>
              <w:rPr>
                <w:rFonts w:ascii="Times New Roman" w:hAnsi="Times New Roman" w:cs="Times New Roman"/>
                <w:noProof/>
                <w:spacing w:val="-2"/>
                <w:w w:val="105"/>
                <w:sz w:val="11"/>
                <w:highlight w:val="yellow"/>
              </w:rPr>
              <w:t xml:space="preserve">Décision </w:t>
            </w:r>
            <w:r>
              <w:rPr>
                <w:rFonts w:ascii="Times New Roman" w:hAnsi="Times New Roman" w:cs="Times New Roman"/>
                <w:noProof/>
                <w:spacing w:val="-2"/>
                <w:w w:val="105"/>
                <w:sz w:val="11"/>
              </w:rPr>
              <w:t>444</w:t>
            </w:r>
            <w:r>
              <w:rPr>
                <w:rFonts w:ascii="Times New Roman" w:hAnsi="Times New Roman" w:cs="Times New Roman"/>
                <w:noProof/>
                <w:spacing w:val="-2"/>
                <w:w w:val="105"/>
                <w:sz w:val="11"/>
                <w:highlight w:val="yellow"/>
              </w:rPr>
              <w:t>/</w:t>
            </w:r>
            <w:r>
              <w:rPr>
                <w:rFonts w:ascii="Times New Roman" w:hAnsi="Times New Roman" w:cs="Times New Roman"/>
                <w:noProof/>
                <w:spacing w:val="-2"/>
                <w:w w:val="105"/>
                <w:sz w:val="11"/>
              </w:rPr>
              <w:t>14</w:t>
            </w:r>
            <w:r>
              <w:rPr>
                <w:rFonts w:ascii="Times New Roman" w:hAnsi="Times New Roman" w:cs="Times New Roman"/>
                <w:noProof/>
                <w:spacing w:val="-2"/>
                <w:w w:val="105"/>
                <w:sz w:val="11"/>
                <w:highlight w:val="yellow"/>
              </w:rPr>
              <w:t> A - Dispositions générales d'exécution relatives aux critères applicables au classement en échelon lors du recrutement ou de l'engagement</w:t>
            </w:r>
          </w:p>
        </w:tc>
        <w:tc>
          <w:tcPr>
            <w:tcW w:w="1322" w:type="dxa"/>
            <w:tcBorders>
              <w:top w:val="single" w:sz="3" w:space="0" w:color="000000"/>
              <w:left w:val="single" w:sz="3" w:space="0" w:color="000000"/>
              <w:bottom w:val="single" w:sz="3" w:space="0" w:color="000000"/>
              <w:right w:val="single" w:sz="3" w:space="0" w:color="000000"/>
            </w:tcBorders>
            <w:shd w:val="clear" w:color="auto" w:fill="FFFF66"/>
          </w:tcPr>
          <w:p>
            <w:pPr>
              <w:widowControl w:val="0"/>
              <w:spacing w:before="9" w:after="0" w:line="240" w:lineRule="auto"/>
              <w:rPr>
                <w:rFonts w:ascii="Times New Roman" w:eastAsia="Times New Roman" w:hAnsi="Times New Roman" w:cs="Times New Roman"/>
                <w:b/>
                <w:bCs/>
                <w:noProof/>
                <w:sz w:val="15"/>
                <w:szCs w:val="15"/>
                <w:highlight w:val="yellow"/>
              </w:rPr>
            </w:pPr>
          </w:p>
          <w:p>
            <w:pPr>
              <w:widowControl w:val="0"/>
              <w:spacing w:after="0" w:line="240" w:lineRule="auto"/>
              <w:ind w:left="397"/>
              <w:rPr>
                <w:rFonts w:ascii="Times New Roman" w:eastAsia="Times New Roman" w:hAnsi="Times New Roman" w:cs="Times New Roman"/>
                <w:noProof/>
                <w:sz w:val="11"/>
                <w:szCs w:val="11"/>
              </w:rPr>
            </w:pPr>
            <w:r>
              <w:rPr>
                <w:rFonts w:ascii="Times New Roman" w:hAnsi="Times New Roman" w:cs="Times New Roman"/>
                <w:noProof/>
                <w:w w:val="105"/>
                <w:sz w:val="11"/>
              </w:rPr>
              <w:t>4</w:t>
            </w:r>
            <w:r>
              <w:rPr>
                <w:rFonts w:ascii="Times New Roman" w:hAnsi="Times New Roman" w:cs="Times New Roman"/>
                <w:noProof/>
                <w:w w:val="105"/>
                <w:sz w:val="11"/>
                <w:highlight w:val="yellow"/>
              </w:rPr>
              <w:t>.</w:t>
            </w:r>
            <w:r>
              <w:rPr>
                <w:rFonts w:ascii="Times New Roman" w:hAnsi="Times New Roman" w:cs="Times New Roman"/>
                <w:noProof/>
                <w:w w:val="105"/>
                <w:sz w:val="11"/>
              </w:rPr>
              <w:t>12</w:t>
            </w:r>
            <w:r>
              <w:rPr>
                <w:rFonts w:ascii="Times New Roman" w:hAnsi="Times New Roman" w:cs="Times New Roman"/>
                <w:noProof/>
                <w:w w:val="105"/>
                <w:sz w:val="11"/>
                <w:highlight w:val="yellow"/>
              </w:rPr>
              <w:t>.</w:t>
            </w:r>
            <w:r>
              <w:rPr>
                <w:rFonts w:ascii="Times New Roman" w:hAnsi="Times New Roman" w:cs="Times New Roman"/>
                <w:noProof/>
                <w:w w:val="105"/>
                <w:sz w:val="11"/>
              </w:rPr>
              <w:t>2014</w:t>
            </w:r>
          </w:p>
        </w:tc>
        <w:tc>
          <w:tcPr>
            <w:tcW w:w="1561" w:type="dxa"/>
            <w:tcBorders>
              <w:top w:val="single" w:sz="3" w:space="0" w:color="000000"/>
              <w:left w:val="single" w:sz="3" w:space="0" w:color="000000"/>
              <w:bottom w:val="single" w:sz="3" w:space="0" w:color="000000"/>
              <w:right w:val="single" w:sz="3" w:space="0" w:color="000000"/>
            </w:tcBorders>
            <w:shd w:val="clear" w:color="auto" w:fill="FFFF66"/>
          </w:tcPr>
          <w:p>
            <w:pPr>
              <w:rPr>
                <w:rFonts w:ascii="Times New Roman" w:hAnsi="Times New Roman" w:cs="Times New Roman"/>
                <w:noProof/>
              </w:rPr>
            </w:pPr>
          </w:p>
        </w:tc>
        <w:tc>
          <w:tcPr>
            <w:tcW w:w="1000" w:type="dxa"/>
            <w:vMerge/>
            <w:tcBorders>
              <w:left w:val="single" w:sz="3" w:space="0" w:color="000000"/>
              <w:bottom w:val="single" w:sz="3" w:space="0" w:color="000000"/>
              <w:right w:val="single" w:sz="7" w:space="0" w:color="000000"/>
            </w:tcBorders>
            <w:shd w:val="clear" w:color="auto" w:fill="FFFF66"/>
          </w:tcPr>
          <w:p>
            <w:pPr>
              <w:widowControl w:val="0"/>
              <w:spacing w:after="0" w:line="240" w:lineRule="auto"/>
              <w:jc w:val="center"/>
              <w:rPr>
                <w:rFonts w:ascii="Times New Roman" w:eastAsia="Calibri" w:hAnsi="Times New Roman" w:cs="Times New Roman"/>
                <w:noProof/>
                <w:sz w:val="12"/>
                <w:szCs w:val="12"/>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1" w:after="0" w:line="240" w:lineRule="auto"/>
              <w:ind w:right="874"/>
              <w:jc w:val="center"/>
              <w:rPr>
                <w:rFonts w:ascii="Times New Roman" w:eastAsia="Times New Roman" w:hAnsi="Times New Roman" w:cs="Times New Roman"/>
                <w:noProof/>
                <w:sz w:val="18"/>
                <w:szCs w:val="18"/>
              </w:rPr>
            </w:pPr>
            <w:r>
              <w:rPr>
                <w:rFonts w:ascii="Times New Roman" w:hAnsi="Times New Roman" w:cs="Times New Roman"/>
                <w:b/>
                <w:noProof/>
                <w:spacing w:val="-2"/>
                <w:sz w:val="18"/>
              </w:rPr>
              <w:t>Chapitre 2 - Positions</w:t>
            </w:r>
          </w:p>
        </w:tc>
      </w:tr>
      <w:tr>
        <w:trPr>
          <w:trHeight w:hRule="exact" w:val="418"/>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118" w:after="0" w:line="240" w:lineRule="auto"/>
              <w:ind w:right="871"/>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Section 3 - Le congé de convenance personnelle</w:t>
            </w:r>
          </w:p>
        </w:tc>
      </w:tr>
      <w:tr>
        <w:trPr>
          <w:trHeight w:hRule="exact" w:val="372"/>
        </w:trPr>
        <w:tc>
          <w:tcPr>
            <w:tcW w:w="1156"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6"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40</w:t>
            </w:r>
          </w:p>
        </w:tc>
        <w:tc>
          <w:tcPr>
            <w:tcW w:w="2803"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4"/>
                <w:szCs w:val="14"/>
              </w:rPr>
            </w:pPr>
          </w:p>
          <w:p>
            <w:pPr>
              <w:widowControl w:val="0"/>
              <w:spacing w:before="6"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Congés de convenance personnelle</w:t>
            </w:r>
          </w:p>
        </w:tc>
        <w:tc>
          <w:tcPr>
            <w:tcW w:w="3266"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206/04 relative au congé de convenance personnelle et au congé sans rémunération</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1.5.2004</w:t>
            </w:r>
          </w:p>
        </w:tc>
        <w:tc>
          <w:tcPr>
            <w:tcW w:w="1561"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b/>
                <w:bCs/>
                <w:noProof/>
                <w:sz w:val="10"/>
                <w:szCs w:val="10"/>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30.10.2014</w:t>
            </w:r>
          </w:p>
        </w:tc>
        <w:tc>
          <w:tcPr>
            <w:tcW w:w="1000" w:type="dxa"/>
            <w:vMerge w:val="restart"/>
            <w:tcBorders>
              <w:top w:val="single" w:sz="5"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8"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38"/>
        </w:trPr>
        <w:tc>
          <w:tcPr>
            <w:tcW w:w="1156" w:type="dxa"/>
            <w:vMerge/>
            <w:tcBorders>
              <w:left w:val="single" w:sz="4"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803"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9" w:after="0" w:line="268" w:lineRule="auto"/>
              <w:ind w:right="75"/>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235/14 A portant application des mesures concernant le congé de convenance personnelle des fonctionnaires et le congé sans rémunération des agents temporaires et agents contractuels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30.10.2014</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vMerge/>
            <w:tcBorders>
              <w:left w:val="single" w:sz="3" w:space="0" w:color="000000"/>
              <w:bottom w:val="single" w:sz="3" w:space="0" w:color="000000"/>
              <w:right w:val="single" w:sz="5" w:space="0" w:color="000000"/>
            </w:tcBorders>
            <w:shd w:val="clear" w:color="auto" w:fill="DA9694"/>
          </w:tcPr>
          <w:p>
            <w:pPr>
              <w:jc w:val="center"/>
              <w:rPr>
                <w:rFonts w:ascii="Times New Roman" w:hAnsi="Times New Roman" w:cs="Times New Roman"/>
                <w:noProof/>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254"/>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36" w:after="0" w:line="240" w:lineRule="auto"/>
              <w:ind w:right="873"/>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Section 6 - Congé parental ou familial</w:t>
            </w:r>
          </w:p>
        </w:tc>
      </w:tr>
      <w:tr>
        <w:trPr>
          <w:trHeight w:hRule="exact" w:val="254"/>
        </w:trPr>
        <w:tc>
          <w:tcPr>
            <w:tcW w:w="1156"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59"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42 </w:t>
            </w:r>
            <w:r>
              <w:rPr>
                <w:rFonts w:ascii="Times New Roman" w:hAnsi="Times New Roman" w:cs="Times New Roman"/>
                <w:b/>
                <w:i/>
                <w:noProof/>
                <w:w w:val="105"/>
                <w:sz w:val="11"/>
              </w:rPr>
              <w:t>bis</w:t>
            </w:r>
          </w:p>
        </w:tc>
        <w:tc>
          <w:tcPr>
            <w:tcW w:w="2803"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39"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z w:val="15"/>
              </w:rPr>
              <w:t>Congé parental</w:t>
            </w:r>
          </w:p>
        </w:tc>
        <w:tc>
          <w:tcPr>
            <w:tcW w:w="3266"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7"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033/14 A sur l’article 42 </w:t>
            </w:r>
            <w:r>
              <w:rPr>
                <w:rFonts w:ascii="Times New Roman" w:hAnsi="Times New Roman" w:cs="Times New Roman"/>
                <w:i/>
                <w:noProof/>
                <w:spacing w:val="-2"/>
                <w:w w:val="105"/>
                <w:sz w:val="11"/>
              </w:rPr>
              <w:t>bis</w:t>
            </w:r>
            <w:r>
              <w:rPr>
                <w:rFonts w:ascii="Times New Roman" w:hAnsi="Times New Roman" w:cs="Times New Roman"/>
                <w:noProof/>
                <w:spacing w:val="-2"/>
                <w:w w:val="105"/>
                <w:sz w:val="11"/>
              </w:rPr>
              <w:t xml:space="preserve"> relatif au congé parental</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7"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1.1.2014</w:t>
            </w:r>
          </w:p>
        </w:tc>
        <w:tc>
          <w:tcPr>
            <w:tcW w:w="1561"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254"/>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62" w:after="0" w:line="240" w:lineRule="auto"/>
              <w:ind w:right="3"/>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 xml:space="preserve">42 </w:t>
            </w:r>
            <w:r>
              <w:rPr>
                <w:rFonts w:ascii="Times New Roman" w:hAnsi="Times New Roman" w:cs="Times New Roman"/>
                <w:b/>
                <w:i/>
                <w:noProof/>
                <w:w w:val="105"/>
                <w:sz w:val="11"/>
              </w:rPr>
              <w:t>ter</w:t>
            </w:r>
          </w:p>
        </w:tc>
        <w:tc>
          <w:tcPr>
            <w:tcW w:w="280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1" w:after="0" w:line="240" w:lineRule="auto"/>
              <w:ind w:right="1"/>
              <w:jc w:val="center"/>
              <w:rPr>
                <w:rFonts w:ascii="Times New Roman" w:eastAsia="Times New Roman" w:hAnsi="Times New Roman" w:cs="Times New Roman"/>
                <w:noProof/>
                <w:sz w:val="15"/>
                <w:szCs w:val="15"/>
              </w:rPr>
            </w:pPr>
            <w:r>
              <w:rPr>
                <w:rFonts w:ascii="Times New Roman" w:hAnsi="Times New Roman" w:cs="Times New Roman"/>
                <w:b/>
                <w:noProof/>
                <w:sz w:val="15"/>
              </w:rPr>
              <w:t>Congé familial</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9"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034/14 A relative au congé familial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9"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1.1.2014</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jc w:val="center"/>
        <w:rPr>
          <w:rFonts w:ascii="Times New Roman" w:eastAsia="Calibri" w:hAnsi="Times New Roman" w:cs="Times New Roman"/>
          <w:noProof/>
          <w:sz w:val="12"/>
          <w:szCs w:val="12"/>
        </w:rPr>
        <w:sectPr>
          <w:headerReference w:type="even" r:id="rId123"/>
          <w:headerReference w:type="default" r:id="rId124"/>
          <w:footerReference w:type="even" r:id="rId125"/>
          <w:footerReference w:type="default" r:id="rId126"/>
          <w:headerReference w:type="first" r:id="rId127"/>
          <w:footerReference w:type="first" r:id="rId128"/>
          <w:pgSz w:w="11900" w:h="16840" w:code="9"/>
          <w:pgMar w:top="1080" w:right="340" w:bottom="280" w:left="240" w:header="720" w:footer="720" w:gutter="0"/>
          <w:cols w:space="720"/>
        </w:sectPr>
      </w:pPr>
    </w:p>
    <w:tbl>
      <w:tblPr>
        <w:tblW w:w="0" w:type="auto"/>
        <w:tblInd w:w="97" w:type="dxa"/>
        <w:tblLayout w:type="fixed"/>
        <w:tblCellMar>
          <w:left w:w="0" w:type="dxa"/>
          <w:right w:w="0" w:type="dxa"/>
        </w:tblCellMar>
        <w:tblLook w:val="01E0" w:firstRow="1" w:lastRow="1" w:firstColumn="1" w:lastColumn="1" w:noHBand="0" w:noVBand="0"/>
      </w:tblPr>
      <w:tblGrid>
        <w:gridCol w:w="1157"/>
        <w:gridCol w:w="2803"/>
        <w:gridCol w:w="3266"/>
        <w:gridCol w:w="1322"/>
        <w:gridCol w:w="1559"/>
        <w:gridCol w:w="1002"/>
      </w:tblGrid>
      <w:tr>
        <w:trPr>
          <w:trHeight w:hRule="exact" w:val="365"/>
        </w:trPr>
        <w:tc>
          <w:tcPr>
            <w:tcW w:w="1157"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Article</w:t>
            </w:r>
          </w:p>
        </w:tc>
        <w:tc>
          <w:tcPr>
            <w:tcW w:w="2803"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Objet</w:t>
            </w:r>
          </w:p>
        </w:tc>
        <w:tc>
          <w:tcPr>
            <w:tcW w:w="3266"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Règle d'exécution</w:t>
            </w:r>
          </w:p>
        </w:tc>
        <w:tc>
          <w:tcPr>
            <w:tcW w:w="1322"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Entrée en vigueur</w:t>
            </w:r>
          </w:p>
        </w:tc>
        <w:tc>
          <w:tcPr>
            <w:tcW w:w="1559"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Date d’expiration</w:t>
            </w:r>
          </w:p>
        </w:tc>
        <w:tc>
          <w:tcPr>
            <w:tcW w:w="1002" w:type="dxa"/>
            <w:tcBorders>
              <w:top w:val="single" w:sz="3" w:space="0" w:color="000000"/>
              <w:left w:val="single" w:sz="3" w:space="0" w:color="000000"/>
              <w:bottom w:val="single" w:sz="3" w:space="0" w:color="000000"/>
              <w:right w:val="single" w:sz="5"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422"/>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02"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2"/>
                <w:sz w:val="18"/>
              </w:rPr>
              <w:t>Chapitre 3 - Notation, avancement d'échelon et promotion</w:t>
            </w:r>
          </w:p>
        </w:tc>
      </w:tr>
      <w:tr>
        <w:trPr>
          <w:trHeight w:hRule="exact" w:val="502"/>
        </w:trPr>
        <w:tc>
          <w:tcPr>
            <w:tcW w:w="1156" w:type="dxa"/>
            <w:vMerge w:val="restart"/>
            <w:tcBorders>
              <w:top w:val="single" w:sz="5" w:space="0" w:color="000000"/>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4"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43</w:t>
            </w:r>
          </w:p>
        </w:tc>
        <w:tc>
          <w:tcPr>
            <w:tcW w:w="2803" w:type="dxa"/>
            <w:vMerge w:val="restart"/>
            <w:tcBorders>
              <w:top w:val="single" w:sz="5"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b/>
                <w:bCs/>
                <w:noProof/>
                <w:sz w:val="14"/>
                <w:szCs w:val="14"/>
              </w:rPr>
            </w:pPr>
          </w:p>
          <w:p>
            <w:pPr>
              <w:widowControl w:val="0"/>
              <w:spacing w:before="4"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Rapport annuel</w:t>
            </w:r>
          </w:p>
        </w:tc>
        <w:tc>
          <w:tcPr>
            <w:tcW w:w="3266"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b/>
                <w:bCs/>
                <w:noProof/>
                <w:sz w:val="9"/>
                <w:szCs w:val="9"/>
              </w:rPr>
            </w:pPr>
          </w:p>
          <w:p>
            <w:pPr>
              <w:widowControl w:val="0"/>
              <w:spacing w:after="0" w:line="268" w:lineRule="auto"/>
              <w:ind w:right="141"/>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075/14 A portant adoption des dispositions générales d’exécution relatives à la notation du personnel</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8.4.2014</w:t>
            </w:r>
          </w:p>
        </w:tc>
        <w:tc>
          <w:tcPr>
            <w:tcW w:w="156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26.5.2016</w:t>
            </w:r>
          </w:p>
        </w:tc>
        <w:tc>
          <w:tcPr>
            <w:tcW w:w="1000" w:type="dxa"/>
            <w:vMerge w:val="restart"/>
            <w:tcBorders>
              <w:top w:val="single" w:sz="5" w:space="0" w:color="000000"/>
              <w:left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23"/>
        </w:trPr>
        <w:tc>
          <w:tcPr>
            <w:tcW w:w="1156" w:type="dxa"/>
            <w:vMerge/>
            <w:tcBorders>
              <w:left w:val="single" w:sz="4" w:space="0" w:color="000000"/>
              <w:bottom w:val="nil"/>
              <w:right w:val="single" w:sz="3" w:space="0" w:color="000000"/>
            </w:tcBorders>
            <w:shd w:val="clear" w:color="auto" w:fill="FFFF65"/>
          </w:tcPr>
          <w:p>
            <w:pPr>
              <w:jc w:val="center"/>
              <w:rPr>
                <w:rFonts w:ascii="Times New Roman" w:hAnsi="Times New Roman" w:cs="Times New Roman"/>
                <w:noProof/>
              </w:rPr>
            </w:pPr>
          </w:p>
        </w:tc>
        <w:tc>
          <w:tcPr>
            <w:tcW w:w="2803" w:type="dxa"/>
            <w:vMerge/>
            <w:tcBorders>
              <w:left w:val="single" w:sz="3" w:space="0" w:color="000000"/>
              <w:bottom w:val="nil"/>
              <w:right w:val="single" w:sz="3" w:space="0" w:color="000000"/>
            </w:tcBorders>
            <w:shd w:val="clear" w:color="auto" w:fill="FFFF65"/>
          </w:tcPr>
          <w:p>
            <w:pPr>
              <w:jc w:val="center"/>
              <w:rPr>
                <w:rFonts w:ascii="Times New Roman" w:hAnsi="Times New Roman" w:cs="Times New Roman"/>
                <w:noProof/>
              </w:rPr>
            </w:pPr>
          </w:p>
        </w:tc>
        <w:tc>
          <w:tcPr>
            <w:tcW w:w="3266"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0"/>
                <w:szCs w:val="10"/>
              </w:rPr>
            </w:pPr>
          </w:p>
          <w:p>
            <w:pPr>
              <w:widowControl w:val="0"/>
              <w:spacing w:after="0" w:line="268" w:lineRule="auto"/>
              <w:ind w:right="165"/>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112/16 A portant adoption des dispositions générales d’exécution relatives à la notation du personnel</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26.5.2016</w:t>
            </w:r>
          </w:p>
        </w:tc>
        <w:tc>
          <w:tcPr>
            <w:tcW w:w="1561"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1000" w:type="dxa"/>
            <w:vMerge/>
            <w:tcBorders>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523"/>
        </w:trPr>
        <w:tc>
          <w:tcPr>
            <w:tcW w:w="1156" w:type="dxa"/>
            <w:tcBorders>
              <w:top w:val="nil"/>
              <w:left w:val="single" w:sz="4"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2803" w:type="dxa"/>
            <w:tcBorders>
              <w:top w:val="nil"/>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10"/>
                <w:szCs w:val="10"/>
              </w:rPr>
            </w:pPr>
          </w:p>
          <w:p>
            <w:pPr>
              <w:widowControl w:val="0"/>
              <w:spacing w:after="0" w:line="268" w:lineRule="auto"/>
              <w:ind w:right="80"/>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113/16 A portant adoption des instructions pour la notation et du modèle de rapport de notation</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b/>
                <w:bCs/>
                <w:noProof/>
                <w:sz w:val="16"/>
                <w:szCs w:val="16"/>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26.5.2016</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60"/>
        </w:trPr>
        <w:tc>
          <w:tcPr>
            <w:tcW w:w="1156"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5"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45</w:t>
            </w:r>
          </w:p>
        </w:tc>
        <w:tc>
          <w:tcPr>
            <w:tcW w:w="2803"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4"/>
                <w:szCs w:val="14"/>
              </w:rPr>
            </w:pPr>
          </w:p>
          <w:p>
            <w:pPr>
              <w:widowControl w:val="0"/>
              <w:spacing w:before="110" w:after="0" w:line="240" w:lineRule="auto"/>
              <w:ind w:right="1"/>
              <w:jc w:val="center"/>
              <w:rPr>
                <w:rFonts w:ascii="Times New Roman" w:eastAsia="Times New Roman" w:hAnsi="Times New Roman" w:cs="Times New Roman"/>
                <w:noProof/>
                <w:sz w:val="15"/>
                <w:szCs w:val="15"/>
              </w:rPr>
            </w:pPr>
            <w:r>
              <w:rPr>
                <w:rFonts w:ascii="Times New Roman" w:hAnsi="Times New Roman" w:cs="Times New Roman"/>
                <w:b/>
                <w:noProof/>
                <w:sz w:val="15"/>
              </w:rPr>
              <w:t>Promotions</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114/16 A portant adoption des règles en matière de promotions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26.5.2016</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60"/>
        </w:trPr>
        <w:tc>
          <w:tcPr>
            <w:tcW w:w="1156" w:type="dxa"/>
            <w:vMerge/>
            <w:tcBorders>
              <w:left w:val="single" w:sz="4"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803"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115/16 A établissant un comité paritaire de notation</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26.5.2016</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254"/>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36" w:after="0" w:line="240" w:lineRule="auto"/>
              <w:ind w:right="873"/>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Section 5 - Mise à la retraite</w:t>
            </w:r>
          </w:p>
        </w:tc>
      </w:tr>
      <w:tr>
        <w:trPr>
          <w:trHeight w:hRule="exact" w:val="418"/>
        </w:trPr>
        <w:tc>
          <w:tcPr>
            <w:tcW w:w="1156"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52 (2)</w:t>
            </w:r>
          </w:p>
        </w:tc>
        <w:tc>
          <w:tcPr>
            <w:tcW w:w="2803"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20"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Retraite</w:t>
            </w:r>
          </w:p>
        </w:tc>
        <w:tc>
          <w:tcPr>
            <w:tcW w:w="3266"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9" w:after="0" w:line="268" w:lineRule="auto"/>
              <w:ind w:right="28"/>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492/14 A concernant le maintien en situation d'activité jusqu'à l'âge de 67 ans ou, à titre exceptionnel, jusqu’à l’âge de 70 ans</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19.12.2014</w:t>
            </w:r>
          </w:p>
        </w:tc>
        <w:tc>
          <w:tcPr>
            <w:tcW w:w="1561"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254"/>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after="0" w:line="243" w:lineRule="exact"/>
              <w:jc w:val="center"/>
              <w:rPr>
                <w:rFonts w:ascii="Times New Roman" w:eastAsia="Times New Roman" w:hAnsi="Times New Roman" w:cs="Times New Roman"/>
                <w:noProof/>
                <w:sz w:val="23"/>
                <w:szCs w:val="23"/>
              </w:rPr>
            </w:pPr>
            <w:r>
              <w:rPr>
                <w:rFonts w:ascii="Times New Roman" w:hAnsi="Times New Roman" w:cs="Times New Roman"/>
                <w:b/>
                <w:noProof/>
                <w:sz w:val="23"/>
              </w:rPr>
              <w:t>Titre IV - Des conditions de travail du fonctionnaire</w:t>
            </w:r>
          </w:p>
        </w:tc>
      </w:tr>
      <w:tr>
        <w:trPr>
          <w:trHeight w:hRule="exact" w:val="386"/>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3" w:after="0" w:line="240" w:lineRule="auto"/>
              <w:ind w:right="870"/>
              <w:jc w:val="center"/>
              <w:rPr>
                <w:rFonts w:ascii="Times New Roman" w:eastAsia="Times New Roman" w:hAnsi="Times New Roman" w:cs="Times New Roman"/>
                <w:noProof/>
                <w:sz w:val="18"/>
                <w:szCs w:val="18"/>
              </w:rPr>
            </w:pPr>
            <w:r>
              <w:rPr>
                <w:rFonts w:ascii="Times New Roman" w:hAnsi="Times New Roman" w:cs="Times New Roman"/>
                <w:b/>
                <w:noProof/>
                <w:spacing w:val="-2"/>
                <w:sz w:val="18"/>
              </w:rPr>
              <w:t>Chapitre 1 - Durée du travail</w:t>
            </w:r>
          </w:p>
        </w:tc>
      </w:tr>
      <w:tr>
        <w:trPr>
          <w:trHeight w:hRule="exact" w:val="360"/>
        </w:trPr>
        <w:tc>
          <w:tcPr>
            <w:tcW w:w="1156"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2"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55</w:t>
            </w:r>
          </w:p>
        </w:tc>
        <w:tc>
          <w:tcPr>
            <w:tcW w:w="2803"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4"/>
                <w:szCs w:val="14"/>
              </w:rPr>
            </w:pPr>
          </w:p>
          <w:p>
            <w:pPr>
              <w:widowControl w:val="0"/>
              <w:spacing w:before="108" w:after="0" w:line="240" w:lineRule="auto"/>
              <w:ind w:right="1"/>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Temps de travail</w:t>
            </w:r>
          </w:p>
        </w:tc>
        <w:tc>
          <w:tcPr>
            <w:tcW w:w="3266"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82"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763/13 A relative aux horaires de travail et à l’aménagement du temps de travail</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2013</w:t>
            </w:r>
          </w:p>
        </w:tc>
        <w:tc>
          <w:tcPr>
            <w:tcW w:w="1561"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1.1.2016</w:t>
            </w:r>
          </w:p>
        </w:tc>
        <w:tc>
          <w:tcPr>
            <w:tcW w:w="1000" w:type="dxa"/>
            <w:vMerge w:val="restart"/>
            <w:tcBorders>
              <w:top w:val="single" w:sz="5"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60"/>
        </w:trPr>
        <w:tc>
          <w:tcPr>
            <w:tcW w:w="1156" w:type="dxa"/>
            <w:vMerge/>
            <w:tcBorders>
              <w:left w:val="single" w:sz="4"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803"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4"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474/15 relative aux horaires de travail et à l’aménagement du temps de travail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1.1.2016</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360"/>
        </w:trPr>
        <w:tc>
          <w:tcPr>
            <w:tcW w:w="1156"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 xml:space="preserve">55 </w:t>
            </w:r>
            <w:r>
              <w:rPr>
                <w:rFonts w:ascii="Times New Roman" w:hAnsi="Times New Roman" w:cs="Times New Roman"/>
                <w:b/>
                <w:i/>
                <w:noProof/>
                <w:w w:val="105"/>
                <w:sz w:val="11"/>
              </w:rPr>
              <w:t>bis</w:t>
            </w:r>
            <w:r>
              <w:rPr>
                <w:rFonts w:ascii="Times New Roman" w:hAnsi="Times New Roman" w:cs="Times New Roman"/>
                <w:b/>
                <w:noProof/>
                <w:w w:val="105"/>
                <w:sz w:val="11"/>
              </w:rPr>
              <w:t xml:space="preserve"> + annexe IV </w:t>
            </w:r>
            <w:r>
              <w:rPr>
                <w:rFonts w:ascii="Times New Roman" w:hAnsi="Times New Roman" w:cs="Times New Roman"/>
                <w:b/>
                <w:i/>
                <w:noProof/>
                <w:w w:val="105"/>
                <w:sz w:val="11"/>
              </w:rPr>
              <w:t>bis</w:t>
            </w:r>
          </w:p>
        </w:tc>
        <w:tc>
          <w:tcPr>
            <w:tcW w:w="280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4"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z w:val="15"/>
              </w:rPr>
              <w:t>Travail à temps partiel</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035/14 A sur l’article 55 </w:t>
            </w:r>
            <w:r>
              <w:rPr>
                <w:rFonts w:ascii="Times New Roman" w:hAnsi="Times New Roman" w:cs="Times New Roman"/>
                <w:i/>
                <w:noProof/>
                <w:spacing w:val="-2"/>
                <w:w w:val="105"/>
                <w:sz w:val="11"/>
              </w:rPr>
              <w:t>bis</w:t>
            </w:r>
            <w:r>
              <w:rPr>
                <w:rFonts w:ascii="Times New Roman" w:hAnsi="Times New Roman" w:cs="Times New Roman"/>
                <w:noProof/>
                <w:spacing w:val="-2"/>
                <w:w w:val="105"/>
                <w:sz w:val="11"/>
              </w:rPr>
              <w:t xml:space="preserve"> relatif au travail à temps partiel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1.1.2014</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60"/>
        </w:trPr>
        <w:tc>
          <w:tcPr>
            <w:tcW w:w="1156" w:type="dxa"/>
            <w:vMerge/>
            <w:tcBorders>
              <w:left w:val="single" w:sz="4" w:space="0" w:color="000000"/>
              <w:right w:val="single" w:sz="3" w:space="0" w:color="000000"/>
            </w:tcBorders>
            <w:shd w:val="clear" w:color="auto" w:fill="DA9694"/>
          </w:tcPr>
          <w:p>
            <w:pPr>
              <w:jc w:val="center"/>
              <w:rPr>
                <w:rFonts w:ascii="Times New Roman" w:hAnsi="Times New Roman" w:cs="Times New Roman"/>
                <w:noProof/>
              </w:rPr>
            </w:pPr>
          </w:p>
        </w:tc>
        <w:tc>
          <w:tcPr>
            <w:tcW w:w="2803"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4"/>
                <w:szCs w:val="14"/>
              </w:rPr>
            </w:pPr>
          </w:p>
          <w:p>
            <w:pPr>
              <w:widowControl w:val="0"/>
              <w:spacing w:before="110"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z w:val="15"/>
              </w:rPr>
              <w:t>Télétravail</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2" w:after="0" w:line="268" w:lineRule="auto"/>
              <w:ind w:right="97"/>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739/11 A instaurant un régime de travail à distance (modifiée par la décision 36/14)</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7.12.2011</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21.6.2016</w:t>
            </w:r>
          </w:p>
        </w:tc>
        <w:tc>
          <w:tcPr>
            <w:tcW w:w="1000" w:type="dxa"/>
            <w:vMerge w:val="restart"/>
            <w:tcBorders>
              <w:top w:val="single" w:sz="3" w:space="0" w:color="000000"/>
              <w:left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60"/>
        </w:trPr>
        <w:tc>
          <w:tcPr>
            <w:tcW w:w="1156" w:type="dxa"/>
            <w:vMerge/>
            <w:tcBorders>
              <w:left w:val="single" w:sz="4"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2803"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143/16 A modifiant le régime de travail à distance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21.6.2016</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vMerge/>
            <w:tcBorders>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360"/>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56 + annexe VI</w:t>
            </w:r>
          </w:p>
        </w:tc>
        <w:tc>
          <w:tcPr>
            <w:tcW w:w="280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4" w:after="0" w:line="240" w:lineRule="auto"/>
              <w:ind w:right="1"/>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Heures supplémentaires</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037/14 A relative aux heures supplémentaires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1.2.2014</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1" w:after="0" w:line="240" w:lineRule="auto"/>
              <w:ind w:right="874"/>
              <w:jc w:val="center"/>
              <w:rPr>
                <w:rFonts w:ascii="Times New Roman" w:eastAsia="Times New Roman" w:hAnsi="Times New Roman" w:cs="Times New Roman"/>
                <w:noProof/>
                <w:sz w:val="18"/>
                <w:szCs w:val="18"/>
              </w:rPr>
            </w:pPr>
            <w:r>
              <w:rPr>
                <w:rFonts w:ascii="Times New Roman" w:hAnsi="Times New Roman" w:cs="Times New Roman"/>
                <w:b/>
                <w:noProof/>
                <w:spacing w:val="-2"/>
                <w:sz w:val="18"/>
              </w:rPr>
              <w:t>Chapitre 2 - Congés</w:t>
            </w:r>
          </w:p>
        </w:tc>
      </w:tr>
      <w:tr>
        <w:trPr>
          <w:trHeight w:hRule="exact" w:val="487"/>
        </w:trPr>
        <w:tc>
          <w:tcPr>
            <w:tcW w:w="1156"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57 + annexe V</w:t>
            </w:r>
          </w:p>
        </w:tc>
        <w:tc>
          <w:tcPr>
            <w:tcW w:w="2803"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Congés annuels et congés spéciaux</w:t>
            </w:r>
          </w:p>
        </w:tc>
        <w:tc>
          <w:tcPr>
            <w:tcW w:w="3266"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01" w:after="0" w:line="268" w:lineRule="auto"/>
              <w:ind w:right="100"/>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032/14 A - Règles applicables au personnel en matière de droits à congés annuels et congés spéciaux</w:t>
            </w:r>
          </w:p>
        </w:tc>
        <w:tc>
          <w:tcPr>
            <w:tcW w:w="1322"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1" w:after="0" w:line="240" w:lineRule="auto"/>
              <w:jc w:val="center"/>
              <w:rPr>
                <w:rFonts w:ascii="Times New Roman" w:eastAsia="Times New Roman" w:hAnsi="Times New Roman" w:cs="Times New Roman"/>
                <w:b/>
                <w:bCs/>
                <w:noProof/>
                <w:sz w:val="15"/>
                <w:szCs w:val="15"/>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1.1.2014</w:t>
            </w:r>
          </w:p>
        </w:tc>
        <w:tc>
          <w:tcPr>
            <w:tcW w:w="1561" w:type="dxa"/>
            <w:vMerge w:val="restart"/>
            <w:tcBorders>
              <w:top w:val="single" w:sz="5" w:space="0" w:color="000000"/>
              <w:left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vMerge w:val="restart"/>
            <w:tcBorders>
              <w:top w:val="single" w:sz="5"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3"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278"/>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74"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58</w:t>
            </w:r>
          </w:p>
        </w:tc>
        <w:tc>
          <w:tcPr>
            <w:tcW w:w="280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3"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Congé de maternité</w:t>
            </w:r>
          </w:p>
        </w:tc>
        <w:tc>
          <w:tcPr>
            <w:tcW w:w="3266"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322"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561" w:type="dxa"/>
            <w:vMerge/>
            <w:tcBorders>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vMerge/>
            <w:tcBorders>
              <w:left w:val="single" w:sz="3" w:space="0" w:color="000000"/>
              <w:bottom w:val="single" w:sz="3" w:space="0" w:color="000000"/>
              <w:right w:val="single" w:sz="5" w:space="0" w:color="000000"/>
            </w:tcBorders>
            <w:shd w:val="clear" w:color="auto" w:fill="DA9694"/>
          </w:tcPr>
          <w:p>
            <w:pPr>
              <w:jc w:val="center"/>
              <w:rPr>
                <w:rFonts w:ascii="Times New Roman" w:hAnsi="Times New Roman" w:cs="Times New Roman"/>
                <w:noProof/>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432"/>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77"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sz w:val="23"/>
              </w:rPr>
              <w:t>Titre V + annexe VII - Du régime pécuniaire et des avantages sociaux du fonctionnaire</w:t>
            </w:r>
          </w:p>
        </w:tc>
      </w:tr>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2"/>
                <w:sz w:val="18"/>
              </w:rPr>
              <w:t>Chapitre 1 - Rémunération et remboursement de frais</w:t>
            </w:r>
          </w:p>
        </w:tc>
      </w:tr>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Annexe VII - Règles relatives à la rémunération et aux remboursements de frais</w:t>
            </w:r>
          </w:p>
        </w:tc>
      </w:tr>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9" w:after="0" w:line="240" w:lineRule="auto"/>
              <w:ind w:right="874"/>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Section 1 - Allocations familiales</w:t>
            </w:r>
          </w:p>
        </w:tc>
      </w:tr>
      <w:tr>
        <w:trPr>
          <w:trHeight w:hRule="exact" w:val="538"/>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b/>
                <w:bCs/>
                <w:noProof/>
                <w:sz w:val="11"/>
                <w:szCs w:val="11"/>
                <w:lang w:val="da-DK"/>
              </w:rPr>
            </w:pPr>
          </w:p>
          <w:p>
            <w:pPr>
              <w:widowControl w:val="0"/>
              <w:spacing w:after="0" w:line="240" w:lineRule="auto"/>
              <w:jc w:val="center"/>
              <w:rPr>
                <w:rFonts w:ascii="Times New Roman" w:eastAsia="Times New Roman" w:hAnsi="Times New Roman" w:cs="Times New Roman"/>
                <w:noProof/>
                <w:sz w:val="11"/>
                <w:szCs w:val="11"/>
                <w:lang w:val="da-DK"/>
              </w:rPr>
            </w:pPr>
            <w:r>
              <w:rPr>
                <w:rFonts w:ascii="Times New Roman" w:hAnsi="Times New Roman" w:cs="Times New Roman"/>
                <w:b/>
                <w:noProof/>
                <w:w w:val="105"/>
                <w:sz w:val="11"/>
                <w:lang w:val="da-DK"/>
              </w:rPr>
              <w:t>67 - 68 + annexe VII</w:t>
            </w:r>
          </w:p>
          <w:p>
            <w:pPr>
              <w:widowControl w:val="0"/>
              <w:spacing w:before="15" w:after="0" w:line="240" w:lineRule="auto"/>
              <w:jc w:val="center"/>
              <w:rPr>
                <w:rFonts w:ascii="Times New Roman" w:eastAsia="Times New Roman" w:hAnsi="Times New Roman" w:cs="Times New Roman"/>
                <w:noProof/>
                <w:sz w:val="11"/>
                <w:szCs w:val="11"/>
                <w:lang w:val="da-DK"/>
              </w:rPr>
            </w:pPr>
            <w:r>
              <w:rPr>
                <w:rFonts w:ascii="Times New Roman" w:hAnsi="Times New Roman" w:cs="Times New Roman"/>
                <w:b/>
                <w:noProof/>
                <w:spacing w:val="-1"/>
                <w:w w:val="105"/>
                <w:sz w:val="11"/>
                <w:lang w:val="da-DK"/>
              </w:rPr>
              <w:t>(art.  1</w:t>
            </w:r>
            <w:r>
              <w:rPr>
                <w:rFonts w:ascii="Times New Roman" w:hAnsi="Times New Roman" w:cs="Times New Roman"/>
                <w:b/>
                <w:noProof/>
                <w:spacing w:val="-1"/>
                <w:w w:val="105"/>
                <w:sz w:val="11"/>
                <w:vertAlign w:val="superscript"/>
                <w:lang w:val="da-DK"/>
              </w:rPr>
              <w:t>er</w:t>
            </w:r>
            <w:r>
              <w:rPr>
                <w:rFonts w:ascii="Times New Roman" w:hAnsi="Times New Roman" w:cs="Times New Roman"/>
                <w:b/>
                <w:noProof/>
                <w:spacing w:val="-1"/>
                <w:w w:val="105"/>
                <w:sz w:val="11"/>
                <w:lang w:val="da-DK"/>
              </w:rPr>
              <w:t>, 2 et 3)</w:t>
            </w:r>
          </w:p>
        </w:tc>
        <w:tc>
          <w:tcPr>
            <w:tcW w:w="2803"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b/>
                <w:bCs/>
                <w:noProof/>
                <w:sz w:val="15"/>
                <w:szCs w:val="15"/>
                <w:lang w:val="da-DK"/>
              </w:rPr>
            </w:pPr>
          </w:p>
          <w:p>
            <w:pPr>
              <w:widowControl w:val="0"/>
              <w:spacing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Allocation scolaire</w:t>
            </w:r>
          </w:p>
        </w:tc>
        <w:tc>
          <w:tcPr>
            <w:tcW w:w="3266"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7" w:after="0" w:line="268" w:lineRule="auto"/>
              <w:ind w:right="28"/>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019/14 A - Dispositions générales d’exécution relatives à l’octroi de l’allocation scolaire (article 3 de l’annexe VII du statut)</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1.1.2014</w:t>
            </w:r>
          </w:p>
        </w:tc>
        <w:tc>
          <w:tcPr>
            <w:tcW w:w="1561"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1000"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9" w:after="0" w:line="240" w:lineRule="auto"/>
              <w:ind w:right="874"/>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Section 3 - Remboursement de frais</w:t>
            </w:r>
          </w:p>
        </w:tc>
      </w:tr>
      <w:tr>
        <w:trPr>
          <w:trHeight w:hRule="exact" w:val="461"/>
        </w:trPr>
        <w:tc>
          <w:tcPr>
            <w:tcW w:w="1156"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93" w:after="0" w:line="268" w:lineRule="auto"/>
              <w:ind w:right="-21"/>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71 + annexe VII (art. 7 - 8)</w:t>
            </w:r>
          </w:p>
        </w:tc>
        <w:tc>
          <w:tcPr>
            <w:tcW w:w="2803"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Frais de voyage</w:t>
            </w:r>
          </w:p>
        </w:tc>
        <w:tc>
          <w:tcPr>
            <w:tcW w:w="3266"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031-14 A relative à l'article 8 de l'annexe VII</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1.1.2014</w:t>
            </w:r>
          </w:p>
        </w:tc>
        <w:tc>
          <w:tcPr>
            <w:tcW w:w="1561"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60"/>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71 + annexe VII (art. 8)</w:t>
            </w:r>
          </w:p>
        </w:tc>
        <w:tc>
          <w:tcPr>
            <w:tcW w:w="280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4"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z w:val="15"/>
              </w:rPr>
              <w:t>Lieu d’origine</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2" w:after="0" w:line="268" w:lineRule="auto"/>
              <w:ind w:right="280"/>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030-14 A relative à l’article 7, paragraphe 4, de l’annexe VII concernant la fixation du lieu d’origine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b/>
                <w:bCs/>
                <w:noProof/>
                <w:sz w:val="9"/>
                <w:szCs w:val="9"/>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1.1.2014</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7"/>
        <w:gridCol w:w="2803"/>
        <w:gridCol w:w="3266"/>
        <w:gridCol w:w="1322"/>
        <w:gridCol w:w="1559"/>
        <w:gridCol w:w="1002"/>
      </w:tblGrid>
      <w:tr>
        <w:trPr>
          <w:trHeight w:hRule="exact" w:val="583"/>
        </w:trPr>
        <w:tc>
          <w:tcPr>
            <w:tcW w:w="115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9"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71 + annexe VII (art. 9)</w:t>
            </w:r>
          </w:p>
        </w:tc>
        <w:tc>
          <w:tcPr>
            <w:tcW w:w="2803"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b/>
                <w:bCs/>
                <w:noProof/>
                <w:sz w:val="17"/>
                <w:szCs w:val="17"/>
              </w:rPr>
            </w:pPr>
          </w:p>
          <w:p>
            <w:pPr>
              <w:widowControl w:val="0"/>
              <w:spacing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Frais de déménagement</w:t>
            </w:r>
          </w:p>
        </w:tc>
        <w:tc>
          <w:tcPr>
            <w:tcW w:w="3266"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3" w:after="0" w:line="268" w:lineRule="auto"/>
              <w:ind w:right="54"/>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020/14 A - Dispositions générales d'exécution relatives au remboursement des frais de déménagement (article 9 de l'annexe VII du statut)</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7"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1.1.2014</w:t>
            </w:r>
          </w:p>
        </w:tc>
        <w:tc>
          <w:tcPr>
            <w:tcW w:w="1559"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100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78"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jc w:val="center"/>
        <w:rPr>
          <w:rFonts w:ascii="Times New Roman" w:eastAsia="Calibri" w:hAnsi="Times New Roman" w:cs="Times New Roman"/>
          <w:noProof/>
          <w:sz w:val="12"/>
          <w:szCs w:val="12"/>
        </w:rPr>
        <w:sectPr>
          <w:headerReference w:type="even" r:id="rId129"/>
          <w:headerReference w:type="default" r:id="rId130"/>
          <w:footerReference w:type="even" r:id="rId131"/>
          <w:footerReference w:type="default" r:id="rId132"/>
          <w:headerReference w:type="first" r:id="rId133"/>
          <w:footerReference w:type="first" r:id="rId134"/>
          <w:pgSz w:w="11900" w:h="16840" w:code="9"/>
          <w:pgMar w:top="1080" w:right="340" w:bottom="280" w:left="240" w:header="884" w:footer="0" w:gutter="0"/>
          <w:cols w:space="720"/>
        </w:sectPr>
      </w:pPr>
    </w:p>
    <w:tbl>
      <w:tblPr>
        <w:tblW w:w="0" w:type="auto"/>
        <w:tblInd w:w="97" w:type="dxa"/>
        <w:tblLayout w:type="fixed"/>
        <w:tblCellMar>
          <w:left w:w="0" w:type="dxa"/>
          <w:right w:w="0" w:type="dxa"/>
        </w:tblCellMar>
        <w:tblLook w:val="01E0" w:firstRow="1" w:lastRow="1" w:firstColumn="1" w:lastColumn="1" w:noHBand="0" w:noVBand="0"/>
      </w:tblPr>
      <w:tblGrid>
        <w:gridCol w:w="1157"/>
        <w:gridCol w:w="2803"/>
        <w:gridCol w:w="3266"/>
        <w:gridCol w:w="1322"/>
        <w:gridCol w:w="1559"/>
        <w:gridCol w:w="1002"/>
      </w:tblGrid>
      <w:tr>
        <w:trPr>
          <w:trHeight w:hRule="exact" w:val="365"/>
        </w:trPr>
        <w:tc>
          <w:tcPr>
            <w:tcW w:w="1157"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Article</w:t>
            </w:r>
          </w:p>
        </w:tc>
        <w:tc>
          <w:tcPr>
            <w:tcW w:w="2803"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Objet</w:t>
            </w:r>
          </w:p>
        </w:tc>
        <w:tc>
          <w:tcPr>
            <w:tcW w:w="3266"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Règle d'exécution</w:t>
            </w:r>
          </w:p>
        </w:tc>
        <w:tc>
          <w:tcPr>
            <w:tcW w:w="1322"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Entrée en vigueur</w:t>
            </w:r>
          </w:p>
        </w:tc>
        <w:tc>
          <w:tcPr>
            <w:tcW w:w="1559"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Date d’expiration</w:t>
            </w:r>
          </w:p>
        </w:tc>
        <w:tc>
          <w:tcPr>
            <w:tcW w:w="1002" w:type="dxa"/>
            <w:tcBorders>
              <w:top w:val="single" w:sz="3" w:space="0" w:color="000000"/>
              <w:left w:val="single" w:sz="3" w:space="0" w:color="000000"/>
              <w:bottom w:val="single" w:sz="3" w:space="0" w:color="000000"/>
              <w:right w:val="single" w:sz="5"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2"/>
                <w:sz w:val="18"/>
              </w:rPr>
              <w:t>Chapitre 3 + annexe VIII - Pensions et allocation d’invalidité</w:t>
            </w:r>
          </w:p>
        </w:tc>
      </w:tr>
      <w:tr>
        <w:trPr>
          <w:trHeight w:hRule="exact" w:val="482"/>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102" w:after="0" w:line="268" w:lineRule="auto"/>
              <w:ind w:right="52"/>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77 + annexe VIII (art. 11 - 12)</w:t>
            </w:r>
          </w:p>
        </w:tc>
        <w:tc>
          <w:tcPr>
            <w:tcW w:w="2803"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Transfert des droits à pension</w:t>
            </w:r>
          </w:p>
        </w:tc>
        <w:tc>
          <w:tcPr>
            <w:tcW w:w="3266"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0" w:after="0" w:line="268" w:lineRule="auto"/>
              <w:ind w:right="61"/>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394-11 A portant dispositions générales d'exécution des articles 11 et 12 de l'annexe VIII</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15.7.2011</w:t>
            </w:r>
          </w:p>
        </w:tc>
        <w:tc>
          <w:tcPr>
            <w:tcW w:w="1561"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1000"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1"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sz w:val="23"/>
              </w:rPr>
              <w:t>Titre VI - Du régime disciplinaire</w:t>
            </w:r>
          </w:p>
        </w:tc>
      </w:tr>
      <w:tr>
        <w:trPr>
          <w:trHeight w:hRule="exact" w:val="442"/>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4"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86 + annexe IX</w:t>
            </w:r>
          </w:p>
        </w:tc>
        <w:tc>
          <w:tcPr>
            <w:tcW w:w="2803"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9" w:after="0" w:line="260" w:lineRule="auto"/>
              <w:ind w:right="439"/>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Procédures disciplinaires et enquêtes administratives</w:t>
            </w:r>
          </w:p>
        </w:tc>
        <w:tc>
          <w:tcPr>
            <w:tcW w:w="3266"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1" w:after="0" w:line="268" w:lineRule="auto"/>
              <w:ind w:right="45"/>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635/05 A portant dispositions générales d'exécution relatives aux procédures disciplinaires et aux enquêtes administratives</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7.12.2005</w:t>
            </w:r>
          </w:p>
        </w:tc>
        <w:tc>
          <w:tcPr>
            <w:tcW w:w="1561"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1000"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jc w:val="center"/>
        <w:rPr>
          <w:rFonts w:ascii="Times New Roman" w:eastAsia="Calibri" w:hAnsi="Times New Roman" w:cs="Times New Roman"/>
          <w:noProof/>
          <w:sz w:val="12"/>
          <w:szCs w:val="12"/>
        </w:rPr>
        <w:sectPr>
          <w:headerReference w:type="even" r:id="rId135"/>
          <w:headerReference w:type="default" r:id="rId136"/>
          <w:footerReference w:type="even" r:id="rId137"/>
          <w:footerReference w:type="default" r:id="rId138"/>
          <w:headerReference w:type="first" r:id="rId139"/>
          <w:footerReference w:type="first" r:id="rId140"/>
          <w:pgSz w:w="11900" w:h="16840" w:code="9"/>
          <w:pgMar w:top="1080" w:right="340" w:bottom="280" w:left="240" w:header="884" w:footer="0" w:gutter="0"/>
          <w:cols w:space="720"/>
        </w:sectPr>
      </w:pPr>
    </w:p>
    <w:tbl>
      <w:tblPr>
        <w:tblW w:w="11108" w:type="dxa"/>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797"/>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174" w:after="0" w:line="240" w:lineRule="auto"/>
              <w:jc w:val="center"/>
              <w:rPr>
                <w:rFonts w:ascii="Times New Roman" w:eastAsia="Times New Roman" w:hAnsi="Times New Roman" w:cs="Times New Roman"/>
                <w:noProof/>
                <w:sz w:val="38"/>
                <w:szCs w:val="38"/>
              </w:rPr>
            </w:pPr>
            <w:r>
              <w:rPr>
                <w:rFonts w:ascii="Times New Roman" w:hAnsi="Times New Roman" w:cs="Times New Roman"/>
                <w:b/>
                <w:noProof/>
                <w:spacing w:val="-1"/>
                <w:sz w:val="38"/>
              </w:rPr>
              <w:t>Régime applicable aux autres agents</w:t>
            </w:r>
          </w:p>
        </w:tc>
      </w:tr>
      <w:tr>
        <w:trPr>
          <w:trHeight w:hRule="exact" w:val="370"/>
        </w:trPr>
        <w:tc>
          <w:tcPr>
            <w:tcW w:w="1156"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Article</w:t>
            </w:r>
          </w:p>
        </w:tc>
        <w:tc>
          <w:tcPr>
            <w:tcW w:w="2803"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Objet</w:t>
            </w:r>
          </w:p>
        </w:tc>
        <w:tc>
          <w:tcPr>
            <w:tcW w:w="3266"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Règle d'exécution</w:t>
            </w:r>
          </w:p>
        </w:tc>
        <w:tc>
          <w:tcPr>
            <w:tcW w:w="13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Entrée en vigueur</w:t>
            </w:r>
          </w:p>
        </w:tc>
        <w:tc>
          <w:tcPr>
            <w:tcW w:w="1561"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Date d’expiration</w:t>
            </w:r>
          </w:p>
        </w:tc>
        <w:tc>
          <w:tcPr>
            <w:tcW w:w="1000"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11108" w:type="dxa"/>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1" w:after="0" w:line="240" w:lineRule="auto"/>
              <w:ind w:right="874"/>
              <w:jc w:val="center"/>
              <w:rPr>
                <w:rFonts w:ascii="Times New Roman" w:eastAsia="Times New Roman" w:hAnsi="Times New Roman" w:cs="Times New Roman"/>
                <w:noProof/>
                <w:sz w:val="23"/>
                <w:szCs w:val="23"/>
              </w:rPr>
            </w:pPr>
            <w:r>
              <w:rPr>
                <w:rFonts w:ascii="Times New Roman" w:hAnsi="Times New Roman" w:cs="Times New Roman"/>
                <w:b/>
                <w:noProof/>
                <w:sz w:val="23"/>
              </w:rPr>
              <w:t>Titre II - Agents temporaires</w:t>
            </w:r>
          </w:p>
        </w:tc>
      </w:tr>
      <w:tr>
        <w:trPr>
          <w:trHeight w:hRule="exact" w:val="482"/>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31" w:after="0" w:line="240" w:lineRule="auto"/>
              <w:ind w:right="870"/>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1 - Dispositions générales</w:t>
            </w:r>
          </w:p>
        </w:tc>
      </w:tr>
      <w:tr>
        <w:trPr>
          <w:trHeight w:hRule="exact" w:val="463"/>
        </w:trPr>
        <w:tc>
          <w:tcPr>
            <w:tcW w:w="1156"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8</w:t>
            </w:r>
          </w:p>
        </w:tc>
        <w:tc>
          <w:tcPr>
            <w:tcW w:w="2803"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8" w:after="0" w:line="260" w:lineRule="auto"/>
              <w:ind w:right="124"/>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Politique générale d’engagement et d’emploi des agents temporaires</w:t>
            </w:r>
          </w:p>
        </w:tc>
        <w:tc>
          <w:tcPr>
            <w:tcW w:w="3266"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Lignes directrices relatives à l’engagement des agents temporaires au CESE</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17.12.2015</w:t>
            </w:r>
          </w:p>
        </w:tc>
        <w:tc>
          <w:tcPr>
            <w:tcW w:w="1561" w:type="dxa"/>
            <w:tcBorders>
              <w:top w:val="single" w:sz="5"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vMerge w:val="restart"/>
            <w:tcBorders>
              <w:top w:val="single" w:sz="5"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8"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63"/>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12 (5)</w:t>
            </w:r>
          </w:p>
        </w:tc>
        <w:tc>
          <w:tcPr>
            <w:tcW w:w="280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1" w:after="0" w:line="260" w:lineRule="auto"/>
              <w:ind w:right="114"/>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Procédures de recrutement des agents temporaires</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Lignes directrices relatives à l’engagement des agents temporaires au CESE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17.12.2015</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607"/>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14"/>
                <w:szCs w:val="14"/>
              </w:rPr>
            </w:pPr>
          </w:p>
          <w:p>
            <w:pPr>
              <w:widowControl w:val="0"/>
              <w:spacing w:after="0" w:line="240" w:lineRule="auto"/>
              <w:ind w:right="2"/>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17 + 91</w:t>
            </w:r>
          </w:p>
        </w:tc>
        <w:tc>
          <w:tcPr>
            <w:tcW w:w="2803"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Congé de maternité et son paiement</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3" w:after="0" w:line="268" w:lineRule="auto"/>
              <w:ind w:right="159"/>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234/14 A relative au congé de maternité et à son paiement pour les femmes dont le congé de maternité débute avant la fin de leur contrat</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1.1.2014</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jc w:val="center"/>
              <w:rPr>
                <w:rFonts w:ascii="Times New Roman" w:hAnsi="Times New Roman" w:cs="Times New Roman"/>
                <w:noProof/>
              </w:rPr>
            </w:pPr>
          </w:p>
        </w:tc>
        <w:tc>
          <w:tcPr>
            <w:tcW w:w="1000"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11108" w:type="dxa"/>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360"/>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1" w:after="0" w:line="240" w:lineRule="auto"/>
              <w:ind w:right="874"/>
              <w:jc w:val="center"/>
              <w:rPr>
                <w:rFonts w:ascii="Times New Roman" w:eastAsia="Times New Roman" w:hAnsi="Times New Roman" w:cs="Times New Roman"/>
                <w:noProof/>
                <w:sz w:val="23"/>
                <w:szCs w:val="23"/>
              </w:rPr>
            </w:pPr>
            <w:r>
              <w:rPr>
                <w:rFonts w:ascii="Times New Roman" w:hAnsi="Times New Roman" w:cs="Times New Roman"/>
                <w:b/>
                <w:noProof/>
                <w:sz w:val="23"/>
              </w:rPr>
              <w:t>Titre IV - Agents contractuels</w:t>
            </w:r>
          </w:p>
        </w:tc>
      </w:tr>
      <w:tr>
        <w:trPr>
          <w:trHeight w:hRule="exact" w:val="482"/>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31" w:after="0" w:line="240" w:lineRule="auto"/>
              <w:ind w:right="870"/>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1 - Dispositions générales</w:t>
            </w:r>
          </w:p>
        </w:tc>
      </w:tr>
      <w:tr>
        <w:trPr>
          <w:trHeight w:hRule="exact" w:val="715"/>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2"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79 (2)</w:t>
            </w:r>
          </w:p>
        </w:tc>
        <w:tc>
          <w:tcPr>
            <w:tcW w:w="2803"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4"/>
                <w:szCs w:val="14"/>
              </w:rPr>
            </w:pPr>
          </w:p>
          <w:p>
            <w:pPr>
              <w:widowControl w:val="0"/>
              <w:spacing w:before="108"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Emploi des agents contractuels</w:t>
            </w:r>
          </w:p>
        </w:tc>
        <w:tc>
          <w:tcPr>
            <w:tcW w:w="3266"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b/>
                <w:bCs/>
                <w:noProof/>
                <w:sz w:val="12"/>
                <w:szCs w:val="12"/>
              </w:rPr>
            </w:pPr>
          </w:p>
          <w:p>
            <w:pPr>
              <w:widowControl w:val="0"/>
              <w:spacing w:after="0" w:line="268" w:lineRule="auto"/>
              <w:ind w:right="49"/>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443/14 A adoptant les dispositions générales d'exécution relatives aux procédures régissant l’engagement et l’emploi des agents contractuels au Comité économique et social européen</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4.12.2014</w:t>
            </w:r>
          </w:p>
        </w:tc>
        <w:tc>
          <w:tcPr>
            <w:tcW w:w="1561" w:type="dxa"/>
            <w:tcBorders>
              <w:top w:val="single" w:sz="5"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1000"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5"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11108" w:type="dxa"/>
        <w:tblInd w:w="97" w:type="dxa"/>
        <w:tblLayout w:type="fixed"/>
        <w:tblCellMar>
          <w:left w:w="0" w:type="dxa"/>
          <w:right w:w="0" w:type="dxa"/>
        </w:tblCellMar>
        <w:tblLook w:val="01E0" w:firstRow="1" w:lastRow="1" w:firstColumn="1" w:lastColumn="1" w:noHBand="0" w:noVBand="0"/>
      </w:tblPr>
      <w:tblGrid>
        <w:gridCol w:w="1156"/>
        <w:gridCol w:w="2803"/>
        <w:gridCol w:w="3266"/>
        <w:gridCol w:w="1322"/>
        <w:gridCol w:w="1561"/>
        <w:gridCol w:w="1000"/>
      </w:tblGrid>
      <w:tr>
        <w:trPr>
          <w:trHeight w:hRule="exact" w:val="461"/>
        </w:trPr>
        <w:tc>
          <w:tcPr>
            <w:tcW w:w="1110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121"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2"/>
                <w:sz w:val="18"/>
              </w:rPr>
              <w:t>Chapitre 3 - Conditions d'engagement</w:t>
            </w:r>
          </w:p>
        </w:tc>
      </w:tr>
      <w:tr>
        <w:trPr>
          <w:trHeight w:hRule="exact" w:val="818"/>
        </w:trPr>
        <w:tc>
          <w:tcPr>
            <w:tcW w:w="1156" w:type="dxa"/>
            <w:tcBorders>
              <w:top w:val="single" w:sz="5" w:space="0" w:color="000000"/>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7"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82</w:t>
            </w:r>
          </w:p>
        </w:tc>
        <w:tc>
          <w:tcPr>
            <w:tcW w:w="2803" w:type="dxa"/>
            <w:tcBorders>
              <w:top w:val="single" w:sz="5" w:space="0" w:color="000000"/>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4"/>
                <w:szCs w:val="14"/>
              </w:rPr>
            </w:pPr>
          </w:p>
          <w:p>
            <w:pPr>
              <w:widowControl w:val="0"/>
              <w:spacing w:before="11" w:after="0" w:line="240" w:lineRule="auto"/>
              <w:jc w:val="center"/>
              <w:rPr>
                <w:rFonts w:ascii="Times New Roman" w:eastAsia="Times New Roman" w:hAnsi="Times New Roman" w:cs="Times New Roman"/>
                <w:b/>
                <w:bCs/>
                <w:noProof/>
                <w:sz w:val="18"/>
                <w:szCs w:val="18"/>
              </w:rPr>
            </w:pPr>
          </w:p>
          <w:p>
            <w:pPr>
              <w:widowControl w:val="0"/>
              <w:spacing w:after="0" w:line="180" w:lineRule="atLeast"/>
              <w:ind w:right="169"/>
              <w:jc w:val="center"/>
              <w:rPr>
                <w:rFonts w:ascii="Times New Roman" w:eastAsia="Times New Roman" w:hAnsi="Times New Roman" w:cs="Times New Roman"/>
                <w:noProof/>
                <w:sz w:val="15"/>
                <w:szCs w:val="15"/>
              </w:rPr>
            </w:pPr>
            <w:r>
              <w:rPr>
                <w:rFonts w:ascii="Times New Roman" w:hAnsi="Times New Roman" w:cs="Times New Roman"/>
                <w:b/>
                <w:noProof/>
                <w:spacing w:val="-1"/>
                <w:sz w:val="15"/>
              </w:rPr>
              <w:t>Procédures de recrutement des agents contractuels</w:t>
            </w:r>
          </w:p>
        </w:tc>
        <w:tc>
          <w:tcPr>
            <w:tcW w:w="3266"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0" w:after="0" w:line="268" w:lineRule="auto"/>
              <w:ind w:right="41"/>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297/04 A relative aux critères applicables au classement en échelon lors du recrutement ou de l'engagement</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1.5.2004</w:t>
            </w:r>
          </w:p>
        </w:tc>
        <w:tc>
          <w:tcPr>
            <w:tcW w:w="1561"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4.12.2004</w:t>
            </w:r>
          </w:p>
        </w:tc>
        <w:tc>
          <w:tcPr>
            <w:tcW w:w="1000" w:type="dxa"/>
            <w:tcBorders>
              <w:top w:val="single" w:sz="5" w:space="0" w:color="000000"/>
              <w:left w:val="single" w:sz="3" w:space="0" w:color="000000"/>
              <w:bottom w:val="nil"/>
              <w:right w:val="single" w:sz="5" w:space="0" w:color="000000"/>
            </w:tcBorders>
            <w:shd w:val="clear" w:color="auto" w:fill="FFFF65"/>
          </w:tcPr>
          <w:p>
            <w:pPr>
              <w:jc w:val="center"/>
              <w:rPr>
                <w:rFonts w:ascii="Times New Roman" w:hAnsi="Times New Roman" w:cs="Times New Roman"/>
                <w:noProof/>
              </w:rPr>
            </w:pPr>
          </w:p>
        </w:tc>
      </w:tr>
      <w:tr>
        <w:trPr>
          <w:trHeight w:hRule="exact" w:val="547"/>
        </w:trPr>
        <w:tc>
          <w:tcPr>
            <w:tcW w:w="1156" w:type="dxa"/>
            <w:tcBorders>
              <w:top w:val="nil"/>
              <w:left w:val="single" w:sz="4"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2803" w:type="dxa"/>
            <w:tcBorders>
              <w:top w:val="nil"/>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3266"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6" w:after="0" w:line="268" w:lineRule="auto"/>
              <w:ind w:right="95"/>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444/14 A - Dispositions générales d'exécution relatives aux critères applicables au classement en échelon lors du recrutement ou de l'engagement</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4.12.2014</w:t>
            </w:r>
          </w:p>
        </w:tc>
        <w:tc>
          <w:tcPr>
            <w:tcW w:w="1561"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1000" w:type="dxa"/>
            <w:tcBorders>
              <w:top w:val="nil"/>
              <w:left w:val="single" w:sz="3" w:space="0" w:color="000000"/>
              <w:bottom w:val="nil"/>
              <w:right w:val="single" w:sz="5" w:space="0" w:color="000000"/>
            </w:tcBorders>
            <w:shd w:val="clear" w:color="auto" w:fill="FFFF65"/>
          </w:tcPr>
          <w:p>
            <w:pPr>
              <w:jc w:val="center"/>
              <w:rPr>
                <w:rFonts w:ascii="Times New Roman" w:hAnsi="Times New Roman" w:cs="Times New Roman"/>
                <w:noProof/>
              </w:rPr>
            </w:pPr>
          </w:p>
        </w:tc>
      </w:tr>
      <w:tr>
        <w:trPr>
          <w:trHeight w:hRule="exact" w:val="715"/>
        </w:trPr>
        <w:tc>
          <w:tcPr>
            <w:tcW w:w="1156" w:type="dxa"/>
            <w:tcBorders>
              <w:top w:val="single" w:sz="3" w:space="0" w:color="000000"/>
              <w:left w:val="single" w:sz="4" w:space="0" w:color="000000"/>
              <w:bottom w:val="nil"/>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9" w:after="0" w:line="240" w:lineRule="auto"/>
              <w:jc w:val="center"/>
              <w:rPr>
                <w:rFonts w:ascii="Times New Roman" w:eastAsia="Times New Roman" w:hAnsi="Times New Roman" w:cs="Times New Roman"/>
                <w:noProof/>
                <w:sz w:val="11"/>
                <w:szCs w:val="11"/>
              </w:rPr>
            </w:pPr>
            <w:r>
              <w:rPr>
                <w:rFonts w:ascii="Times New Roman" w:hAnsi="Times New Roman" w:cs="Times New Roman"/>
                <w:b/>
                <w:noProof/>
                <w:w w:val="105"/>
                <w:sz w:val="11"/>
              </w:rPr>
              <w:t>86</w:t>
            </w:r>
          </w:p>
        </w:tc>
        <w:tc>
          <w:tcPr>
            <w:tcW w:w="2803" w:type="dxa"/>
            <w:tcBorders>
              <w:top w:val="single" w:sz="3" w:space="0" w:color="000000"/>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b/>
                <w:bCs/>
                <w:noProof/>
                <w:sz w:val="14"/>
                <w:szCs w:val="14"/>
              </w:rPr>
            </w:pPr>
          </w:p>
          <w:p>
            <w:pPr>
              <w:widowControl w:val="0"/>
              <w:spacing w:after="0" w:line="240" w:lineRule="auto"/>
              <w:jc w:val="center"/>
              <w:rPr>
                <w:rFonts w:ascii="Times New Roman" w:eastAsia="Times New Roman" w:hAnsi="Times New Roman" w:cs="Times New Roman"/>
                <w:b/>
                <w:bCs/>
                <w:noProof/>
                <w:sz w:val="14"/>
                <w:szCs w:val="14"/>
              </w:rPr>
            </w:pPr>
          </w:p>
          <w:p>
            <w:pPr>
              <w:widowControl w:val="0"/>
              <w:spacing w:before="11"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5"/>
                <w:szCs w:val="15"/>
              </w:rPr>
            </w:pPr>
            <w:r>
              <w:rPr>
                <w:rFonts w:ascii="Times New Roman" w:hAnsi="Times New Roman" w:cs="Times New Roman"/>
                <w:b/>
                <w:noProof/>
                <w:sz w:val="15"/>
              </w:rPr>
              <w:t>Grades au recrutement</w:t>
            </w:r>
          </w:p>
        </w:tc>
        <w:tc>
          <w:tcPr>
            <w:tcW w:w="326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82" w:after="0" w:line="268" w:lineRule="auto"/>
              <w:ind w:right="41"/>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297/04 A relative aux critères applicables au classement en échelon lors du recrutement ou de l'engagement</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2"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1.5.2004</w:t>
            </w:r>
          </w:p>
        </w:tc>
        <w:tc>
          <w:tcPr>
            <w:tcW w:w="156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b/>
                <w:bCs/>
                <w:noProof/>
                <w:sz w:val="12"/>
                <w:szCs w:val="12"/>
              </w:rPr>
            </w:pPr>
          </w:p>
          <w:p>
            <w:pPr>
              <w:widowControl w:val="0"/>
              <w:spacing w:before="2" w:after="0" w:line="240" w:lineRule="auto"/>
              <w:jc w:val="center"/>
              <w:rPr>
                <w:rFonts w:ascii="Times New Roman" w:eastAsia="Times New Roman" w:hAnsi="Times New Roman" w:cs="Times New Roman"/>
                <w:b/>
                <w:bCs/>
                <w:noProof/>
                <w:sz w:val="13"/>
                <w:szCs w:val="13"/>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4.12.2004</w:t>
            </w:r>
          </w:p>
        </w:tc>
        <w:tc>
          <w:tcPr>
            <w:tcW w:w="1000" w:type="dxa"/>
            <w:tcBorders>
              <w:top w:val="nil"/>
              <w:left w:val="single" w:sz="3" w:space="0" w:color="000000"/>
              <w:bottom w:val="nil"/>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83"/>
        </w:trPr>
        <w:tc>
          <w:tcPr>
            <w:tcW w:w="1156" w:type="dxa"/>
            <w:tcBorders>
              <w:top w:val="nil"/>
              <w:left w:val="single" w:sz="4"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2803" w:type="dxa"/>
            <w:tcBorders>
              <w:top w:val="nil"/>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3266"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6" w:after="0" w:line="268" w:lineRule="auto"/>
              <w:ind w:right="95"/>
              <w:jc w:val="center"/>
              <w:rPr>
                <w:rFonts w:ascii="Times New Roman" w:eastAsia="Times New Roman" w:hAnsi="Times New Roman" w:cs="Times New Roman"/>
                <w:noProof/>
                <w:sz w:val="11"/>
                <w:szCs w:val="11"/>
              </w:rPr>
            </w:pPr>
            <w:r>
              <w:rPr>
                <w:rFonts w:ascii="Times New Roman" w:hAnsi="Times New Roman" w:cs="Times New Roman"/>
                <w:noProof/>
                <w:spacing w:val="-2"/>
                <w:w w:val="105"/>
                <w:sz w:val="11"/>
              </w:rPr>
              <w:t>Décision 444/14 A - Dispositions générales d'exécution relatives aux critères applicables au classement en échelon lors du recrutement ou de l'engagement</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b/>
                <w:bCs/>
                <w:noProof/>
                <w:sz w:val="12"/>
                <w:szCs w:val="12"/>
              </w:rPr>
            </w:pPr>
          </w:p>
          <w:p>
            <w:pPr>
              <w:widowControl w:val="0"/>
              <w:spacing w:after="0" w:line="240" w:lineRule="auto"/>
              <w:jc w:val="center"/>
              <w:rPr>
                <w:rFonts w:ascii="Times New Roman" w:eastAsia="Times New Roman" w:hAnsi="Times New Roman" w:cs="Times New Roman"/>
                <w:noProof/>
                <w:sz w:val="11"/>
                <w:szCs w:val="11"/>
              </w:rPr>
            </w:pPr>
            <w:r>
              <w:rPr>
                <w:rFonts w:ascii="Times New Roman" w:hAnsi="Times New Roman" w:cs="Times New Roman"/>
                <w:noProof/>
                <w:w w:val="105"/>
                <w:sz w:val="11"/>
              </w:rPr>
              <w:t>4.12.2014</w:t>
            </w:r>
          </w:p>
        </w:tc>
        <w:tc>
          <w:tcPr>
            <w:tcW w:w="1561" w:type="dxa"/>
            <w:tcBorders>
              <w:top w:val="single" w:sz="3" w:space="0" w:color="000000"/>
              <w:left w:val="single" w:sz="3" w:space="0" w:color="000000"/>
              <w:bottom w:val="single" w:sz="3" w:space="0" w:color="000000"/>
              <w:right w:val="single" w:sz="3" w:space="0" w:color="000000"/>
            </w:tcBorders>
            <w:shd w:val="clear" w:color="auto" w:fill="FFFF65"/>
          </w:tcPr>
          <w:p>
            <w:pPr>
              <w:jc w:val="center"/>
              <w:rPr>
                <w:rFonts w:ascii="Times New Roman" w:hAnsi="Times New Roman" w:cs="Times New Roman"/>
                <w:noProof/>
              </w:rPr>
            </w:pPr>
          </w:p>
        </w:tc>
        <w:tc>
          <w:tcPr>
            <w:tcW w:w="1000" w:type="dxa"/>
            <w:tcBorders>
              <w:top w:val="nil"/>
              <w:left w:val="single" w:sz="3" w:space="0" w:color="000000"/>
              <w:bottom w:val="single" w:sz="3" w:space="0" w:color="000000"/>
              <w:right w:val="single" w:sz="5" w:space="0" w:color="000000"/>
            </w:tcBorders>
            <w:shd w:val="clear" w:color="auto" w:fill="FFFF65"/>
          </w:tcPr>
          <w:p>
            <w:pPr>
              <w:jc w:val="center"/>
              <w:rPr>
                <w:rFonts w:ascii="Times New Roman" w:hAnsi="Times New Roman" w:cs="Times New Roman"/>
                <w:noProof/>
              </w:rPr>
            </w:pPr>
          </w:p>
        </w:tc>
      </w:tr>
    </w:tbl>
    <w:p>
      <w:pPr>
        <w:jc w:val="center"/>
        <w:rPr>
          <w:rFonts w:ascii="Times New Roman" w:eastAsia="Times New Roman" w:hAnsi="Times New Roman" w:cs="Times New Roman"/>
          <w:b/>
          <w:bCs/>
          <w:noProof/>
          <w:sz w:val="20"/>
          <w:szCs w:val="20"/>
        </w:rPr>
      </w:pPr>
    </w:p>
    <w:p>
      <w:pPr>
        <w:jc w:val="center"/>
        <w:rPr>
          <w:rFonts w:ascii="Times New Roman" w:hAnsi="Times New Roman" w:cs="Times New Roman"/>
          <w:noProof/>
        </w:rPr>
      </w:pPr>
      <w:r>
        <w:rPr>
          <w:rFonts w:ascii="Times New Roman" w:hAnsi="Times New Roman" w:cs="Times New Roman"/>
          <w:noProof/>
        </w:rPr>
        <w:br w:type="page"/>
      </w: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756"/>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102" w:after="0" w:line="240" w:lineRule="auto"/>
              <w:jc w:val="center"/>
              <w:rPr>
                <w:rFonts w:ascii="Times New Roman" w:eastAsia="Times New Roman" w:hAnsi="Times New Roman" w:cs="Times New Roman"/>
                <w:noProof/>
                <w:sz w:val="47"/>
                <w:szCs w:val="47"/>
              </w:rPr>
            </w:pPr>
            <w:r>
              <w:rPr>
                <w:rFonts w:ascii="Times New Roman" w:hAnsi="Times New Roman" w:cs="Times New Roman"/>
                <w:b/>
                <w:noProof/>
                <w:sz w:val="47"/>
              </w:rPr>
              <w:t>Comité des régions</w:t>
            </w:r>
          </w:p>
        </w:tc>
      </w:tr>
      <w:tr>
        <w:trPr>
          <w:trHeight w:hRule="exact" w:val="737"/>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28" w:after="0" w:line="240" w:lineRule="auto"/>
              <w:ind w:right="933"/>
              <w:jc w:val="center"/>
              <w:rPr>
                <w:rFonts w:ascii="Times New Roman" w:eastAsia="Times New Roman" w:hAnsi="Times New Roman" w:cs="Times New Roman"/>
                <w:noProof/>
                <w:sz w:val="39"/>
                <w:szCs w:val="39"/>
              </w:rPr>
            </w:pPr>
            <w:r>
              <w:rPr>
                <w:rFonts w:ascii="Times New Roman" w:hAnsi="Times New Roman" w:cs="Times New Roman"/>
                <w:b/>
                <w:noProof/>
                <w:sz w:val="39"/>
              </w:rPr>
              <w:t>Statut</w:t>
            </w:r>
          </w:p>
          <w:p>
            <w:pPr>
              <w:widowControl w:val="0"/>
              <w:spacing w:before="18" w:after="0" w:line="240" w:lineRule="auto"/>
              <w:ind w:right="933"/>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(applicable par analogie aux autres agents lorsque le RAA le prévoit expressément)</w:t>
            </w:r>
          </w:p>
        </w:tc>
      </w:tr>
      <w:tr>
        <w:trPr>
          <w:trHeight w:hRule="exact" w:val="420"/>
        </w:trPr>
        <w:tc>
          <w:tcPr>
            <w:tcW w:w="1156"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Article</w:t>
            </w:r>
          </w:p>
        </w:tc>
        <w:tc>
          <w:tcPr>
            <w:tcW w:w="2551"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Objet</w:t>
            </w:r>
          </w:p>
        </w:tc>
        <w:tc>
          <w:tcPr>
            <w:tcW w:w="302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Règle d'exécution</w:t>
            </w:r>
          </w:p>
        </w:tc>
        <w:tc>
          <w:tcPr>
            <w:tcW w:w="13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Entrée en vigueur</w:t>
            </w:r>
          </w:p>
        </w:tc>
        <w:tc>
          <w:tcPr>
            <w:tcW w:w="1687"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Date d’expiration</w:t>
            </w:r>
          </w:p>
        </w:tc>
        <w:tc>
          <w:tcPr>
            <w:tcW w:w="936"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04"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2"/>
              </w:rPr>
              <w:t>Comptabilisation</w:t>
            </w:r>
          </w:p>
        </w:tc>
      </w:tr>
    </w:tbl>
    <w:p>
      <w:pPr>
        <w:widowControl w:val="0"/>
        <w:spacing w:after="0" w:line="240" w:lineRule="auto"/>
        <w:jc w:val="center"/>
        <w:rPr>
          <w:rFonts w:ascii="Times New Roman" w:eastAsia="Times New Roman" w:hAnsi="Times New Roman" w:cs="Times New Roman"/>
          <w:noProof/>
          <w:sz w:val="20"/>
          <w:szCs w:val="20"/>
        </w:rPr>
      </w:pPr>
    </w:p>
    <w:p>
      <w:pPr>
        <w:widowControl w:val="0"/>
        <w:spacing w:before="1" w:after="0" w:line="240" w:lineRule="auto"/>
        <w:jc w:val="center"/>
        <w:rPr>
          <w:rFonts w:ascii="Times New Roman" w:eastAsia="Times New Roman" w:hAnsi="Times New Roman" w:cs="Times New Roman"/>
          <w:noProof/>
          <w:sz w:val="12"/>
          <w:szCs w:val="12"/>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4"/>
        </w:trPr>
        <w:tc>
          <w:tcPr>
            <w:tcW w:w="10681"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50"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I - Dispositions générales</w:t>
            </w:r>
          </w:p>
        </w:tc>
      </w:tr>
      <w:tr>
        <w:trPr>
          <w:trHeight w:hRule="exact" w:val="370"/>
        </w:trPr>
        <w:tc>
          <w:tcPr>
            <w:tcW w:w="1156"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1" w:after="0" w:line="240" w:lineRule="auto"/>
              <w:jc w:val="center"/>
              <w:rPr>
                <w:rFonts w:ascii="Times New Roman" w:eastAsia="Times New Roman" w:hAnsi="Times New Roman" w:cs="Times New Roman"/>
                <w:noProof/>
                <w:sz w:val="17"/>
                <w:szCs w:val="17"/>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2</w:t>
            </w:r>
          </w:p>
        </w:tc>
        <w:tc>
          <w:tcPr>
            <w:tcW w:w="2551"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1" w:after="0" w:line="240" w:lineRule="auto"/>
              <w:jc w:val="center"/>
              <w:rPr>
                <w:rFonts w:ascii="Times New Roman" w:eastAsia="Times New Roman" w:hAnsi="Times New Roman" w:cs="Times New Roman"/>
                <w:noProof/>
                <w:sz w:val="23"/>
                <w:szCs w:val="2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Pouvoirs de l’AIPN (subdélégation)</w:t>
            </w:r>
          </w:p>
        </w:tc>
        <w:tc>
          <w:tcPr>
            <w:tcW w:w="302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567/2009 relative aux pouvoirs de l'AIPN</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28.10.2009</w:t>
            </w:r>
          </w:p>
        </w:tc>
        <w:tc>
          <w:tcPr>
            <w:tcW w:w="1687"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74"/>
        </w:trPr>
        <w:tc>
          <w:tcPr>
            <w:tcW w:w="1156"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0" w:after="0" w:line="254" w:lineRule="auto"/>
              <w:ind w:right="62"/>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Décisions 004/2008 relatives aux pouvoirs de l'AIPN et 3/2015 relative aux pouvoirs de l’AIPN</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16.9.2008</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26.4.2016</w:t>
            </w:r>
          </w:p>
        </w:tc>
        <w:tc>
          <w:tcPr>
            <w:tcW w:w="936" w:type="dxa"/>
            <w:vMerge w:val="restart"/>
            <w:tcBorders>
              <w:top w:val="single" w:sz="3"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74"/>
        </w:trPr>
        <w:tc>
          <w:tcPr>
            <w:tcW w:w="1156" w:type="dxa"/>
            <w:vMerge/>
            <w:tcBorders>
              <w:left w:val="single" w:sz="4" w:space="0" w:color="000000"/>
              <w:bottom w:val="single" w:sz="5"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5"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5"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6/2016 relative aux pouvoirs de l'AIPN</w:t>
            </w:r>
          </w:p>
        </w:tc>
        <w:tc>
          <w:tcPr>
            <w:tcW w:w="1322" w:type="dxa"/>
            <w:tcBorders>
              <w:top w:val="single" w:sz="3" w:space="0" w:color="000000"/>
              <w:left w:val="single" w:sz="3" w:space="0" w:color="000000"/>
              <w:bottom w:val="single" w:sz="5"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26.4.2016</w:t>
            </w:r>
          </w:p>
        </w:tc>
        <w:tc>
          <w:tcPr>
            <w:tcW w:w="1687" w:type="dxa"/>
            <w:tcBorders>
              <w:top w:val="single" w:sz="3" w:space="0" w:color="000000"/>
              <w:left w:val="single" w:sz="3" w:space="0" w:color="000000"/>
              <w:bottom w:val="single" w:sz="5"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vMerge/>
            <w:tcBorders>
              <w:left w:val="single" w:sz="3" w:space="0" w:color="000000"/>
              <w:bottom w:val="single" w:sz="5"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4"/>
        </w:trPr>
        <w:tc>
          <w:tcPr>
            <w:tcW w:w="10681"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50"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II - Droits et obligations du fonctionnaire</w:t>
            </w:r>
          </w:p>
        </w:tc>
      </w:tr>
      <w:tr>
        <w:trPr>
          <w:trHeight w:hRule="exact" w:val="499"/>
        </w:trPr>
        <w:tc>
          <w:tcPr>
            <w:tcW w:w="1156"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noProof/>
                <w:sz w:val="15"/>
                <w:szCs w:val="15"/>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11 - 21</w:t>
            </w:r>
          </w:p>
        </w:tc>
        <w:tc>
          <w:tcPr>
            <w:tcW w:w="2551"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Éthique et intégrité</w:t>
            </w:r>
          </w:p>
        </w:tc>
        <w:tc>
          <w:tcPr>
            <w:tcW w:w="302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0" w:after="0" w:line="254" w:lineRule="auto"/>
              <w:ind w:right="73"/>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419 relative aux droits et obligations en matière de déontologie et d’intégrité des fonctionnaires et autres agents</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23.12.2005</w:t>
            </w:r>
          </w:p>
        </w:tc>
        <w:tc>
          <w:tcPr>
            <w:tcW w:w="1687"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99"/>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5"/>
                <w:szCs w:val="15"/>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12 </w:t>
            </w:r>
            <w:r>
              <w:rPr>
                <w:rFonts w:ascii="Times New Roman" w:hAnsi="Times New Roman" w:cs="Times New Roman"/>
                <w:b/>
                <w:i/>
                <w:noProof/>
                <w:sz w:val="12"/>
              </w:rPr>
              <w:t>bis</w:t>
            </w:r>
          </w:p>
        </w:tc>
        <w:tc>
          <w:tcPr>
            <w:tcW w:w="255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Harcèlement</w:t>
            </w: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3" w:after="0" w:line="254" w:lineRule="auto"/>
              <w:ind w:right="62"/>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362/2010 relative au harcèlement moral et sexuel au travail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29.11.2010</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79"/>
        </w:trPr>
        <w:tc>
          <w:tcPr>
            <w:tcW w:w="1156"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12 </w:t>
            </w:r>
            <w:r>
              <w:rPr>
                <w:rFonts w:ascii="Times New Roman" w:hAnsi="Times New Roman" w:cs="Times New Roman"/>
                <w:b/>
                <w:i/>
                <w:noProof/>
                <w:sz w:val="12"/>
              </w:rPr>
              <w:t>ter</w:t>
            </w:r>
            <w:r>
              <w:rPr>
                <w:rFonts w:ascii="Times New Roman" w:hAnsi="Times New Roman" w:cs="Times New Roman"/>
                <w:b/>
                <w:noProof/>
                <w:sz w:val="12"/>
              </w:rPr>
              <w:t xml:space="preserve"> - 16 - 17</w:t>
            </w:r>
          </w:p>
        </w:tc>
        <w:tc>
          <w:tcPr>
            <w:tcW w:w="2551" w:type="dxa"/>
            <w:vMerge w:val="restart"/>
            <w:tcBorders>
              <w:top w:val="single" w:sz="3" w:space="0" w:color="000000"/>
              <w:left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Activités extérieures</w:t>
            </w: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82/05 relative aux activités extérieures et aux mandats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22.4.2005</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11.4.2014</w:t>
            </w:r>
          </w:p>
        </w:tc>
        <w:tc>
          <w:tcPr>
            <w:tcW w:w="936" w:type="dxa"/>
            <w:vMerge w:val="restart"/>
            <w:tcBorders>
              <w:top w:val="single" w:sz="3" w:space="0" w:color="000000"/>
              <w:left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7"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36"/>
        </w:trPr>
        <w:tc>
          <w:tcPr>
            <w:tcW w:w="1156"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66/2014 relative aux activités extérieures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11.4.2014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vMerge/>
            <w:tcBorders>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878"/>
        </w:trPr>
        <w:tc>
          <w:tcPr>
            <w:tcW w:w="1156"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 w:after="0" w:line="240" w:lineRule="auto"/>
              <w:jc w:val="center"/>
              <w:rPr>
                <w:rFonts w:ascii="Times New Roman" w:eastAsia="Times New Roman" w:hAnsi="Times New Roman" w:cs="Times New Roman"/>
                <w:noProof/>
                <w:sz w:val="14"/>
                <w:szCs w:val="14"/>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22 </w:t>
            </w:r>
            <w:r>
              <w:rPr>
                <w:rFonts w:ascii="Times New Roman" w:hAnsi="Times New Roman" w:cs="Times New Roman"/>
                <w:b/>
                <w:i/>
                <w:noProof/>
                <w:sz w:val="12"/>
              </w:rPr>
              <w:t>bis</w:t>
            </w:r>
            <w:r>
              <w:rPr>
                <w:rFonts w:ascii="Times New Roman" w:hAnsi="Times New Roman" w:cs="Times New Roman"/>
                <w:b/>
                <w:noProof/>
                <w:sz w:val="12"/>
              </w:rPr>
              <w:t xml:space="preserve"> - </w:t>
            </w:r>
            <w:r>
              <w:rPr>
                <w:rFonts w:ascii="Times New Roman" w:hAnsi="Times New Roman" w:cs="Times New Roman"/>
                <w:b/>
                <w:i/>
                <w:noProof/>
                <w:sz w:val="12"/>
              </w:rPr>
              <w:t>quater</w:t>
            </w:r>
          </w:p>
        </w:tc>
        <w:tc>
          <w:tcPr>
            <w:tcW w:w="2551"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1"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Dénonciation des dysfonctionnements</w:t>
            </w: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1" w:after="0" w:line="254" w:lineRule="auto"/>
              <w:ind w:right="95"/>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26/2004 relative aux conditions et modalités des enquêtes internes en matière de lutte contre la fraude, la corruption et toute activité illégale préjudiciable aux intérêts des Communautés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8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10.2.2004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79"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20"/>
        </w:trPr>
        <w:tc>
          <w:tcPr>
            <w:tcW w:w="1156"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508/2015 établissant les règles applicables en matière d'alerte éthique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1.1.2016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4"/>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50"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III - De la carrière du fonctionnaire</w:t>
            </w:r>
          </w:p>
        </w:tc>
      </w:tr>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6" w:after="0" w:line="240" w:lineRule="auto"/>
              <w:ind w:right="934"/>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1 - Recrutement</w:t>
            </w:r>
          </w:p>
        </w:tc>
      </w:tr>
      <w:tr>
        <w:trPr>
          <w:trHeight w:hRule="exact" w:val="454"/>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4" w:after="0" w:line="240" w:lineRule="auto"/>
              <w:jc w:val="center"/>
              <w:rPr>
                <w:rFonts w:ascii="Times New Roman" w:eastAsia="Times New Roman" w:hAnsi="Times New Roman" w:cs="Times New Roman"/>
                <w:noProof/>
                <w:sz w:val="13"/>
                <w:szCs w:val="13"/>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27 - 34</w:t>
            </w:r>
          </w:p>
        </w:tc>
        <w:tc>
          <w:tcPr>
            <w:tcW w:w="255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30"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Recrutement</w:t>
            </w:r>
          </w:p>
        </w:tc>
        <w:tc>
          <w:tcPr>
            <w:tcW w:w="302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76" w:after="0" w:line="254" w:lineRule="auto"/>
              <w:ind w:right="165"/>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93/2014 portant dispositions générales d’exécution relatives aux gardes au recrutement</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6"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2 - Positions</w:t>
            </w:r>
          </w:p>
        </w:tc>
      </w:tr>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85" w:after="0" w:line="240" w:lineRule="auto"/>
              <w:ind w:right="935"/>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Section 3 - Le congé de convenance personnelle</w:t>
            </w:r>
          </w:p>
        </w:tc>
      </w:tr>
      <w:tr>
        <w:trPr>
          <w:trHeight w:hRule="exact" w:val="804"/>
        </w:trPr>
        <w:tc>
          <w:tcPr>
            <w:tcW w:w="1156"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1"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40</w:t>
            </w:r>
          </w:p>
        </w:tc>
        <w:tc>
          <w:tcPr>
            <w:tcW w:w="2551"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Congés de convenance personnelle</w:t>
            </w:r>
          </w:p>
        </w:tc>
        <w:tc>
          <w:tcPr>
            <w:tcW w:w="302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1" w:after="0" w:line="254" w:lineRule="auto"/>
              <w:ind w:right="47"/>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465/2015 portant mesures de mise en œuvre concernant le congé de convenance personnelle des fonctionnaires et le congé sans rémunération des agents temporaires et agents contractuels de l'Union européenne</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99"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14.10.2015</w:t>
            </w:r>
          </w:p>
        </w:tc>
        <w:tc>
          <w:tcPr>
            <w:tcW w:w="1687"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90"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p>
      <w:pPr>
        <w:widowControl w:val="0"/>
        <w:spacing w:before="4" w:after="0" w:line="240" w:lineRule="auto"/>
        <w:jc w:val="center"/>
        <w:rPr>
          <w:rFonts w:ascii="Times New Roman" w:eastAsia="Times New Roman" w:hAnsi="Times New Roman" w:cs="Times New Roman"/>
          <w:noProof/>
          <w:sz w:val="11"/>
          <w:szCs w:val="11"/>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84" w:after="0" w:line="240" w:lineRule="auto"/>
              <w:ind w:right="933"/>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Section 6 - Congé parental ou familial</w:t>
            </w:r>
          </w:p>
        </w:tc>
      </w:tr>
      <w:tr>
        <w:trPr>
          <w:trHeight w:hRule="exact" w:val="365"/>
        </w:trPr>
        <w:tc>
          <w:tcPr>
            <w:tcW w:w="1156"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107"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42 </w:t>
            </w:r>
            <w:r>
              <w:rPr>
                <w:rFonts w:ascii="Times New Roman" w:hAnsi="Times New Roman" w:cs="Times New Roman"/>
                <w:b/>
                <w:i/>
                <w:noProof/>
                <w:sz w:val="12"/>
              </w:rPr>
              <w:t>bis</w:t>
            </w:r>
          </w:p>
        </w:tc>
        <w:tc>
          <w:tcPr>
            <w:tcW w:w="2551"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85"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Congé parental</w:t>
            </w:r>
          </w:p>
        </w:tc>
        <w:tc>
          <w:tcPr>
            <w:tcW w:w="302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33" w:after="0" w:line="254" w:lineRule="auto"/>
              <w:ind w:right="205"/>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21/2014 relative aux règles applicables au congé parental</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34"/>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42 </w:t>
            </w:r>
            <w:r>
              <w:rPr>
                <w:rFonts w:ascii="Times New Roman" w:hAnsi="Times New Roman" w:cs="Times New Roman"/>
                <w:b/>
                <w:i/>
                <w:noProof/>
                <w:sz w:val="12"/>
              </w:rPr>
              <w:t>ter</w:t>
            </w:r>
          </w:p>
        </w:tc>
        <w:tc>
          <w:tcPr>
            <w:tcW w:w="255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23"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Congé familial</w:t>
            </w: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9" w:after="0" w:line="254" w:lineRule="auto"/>
              <w:ind w:right="124"/>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22/2014 relative aux règles applicables au congé familial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3" w:space="0" w:color="000000"/>
              <w:right w:val="single" w:sz="5" w:space="0" w:color="000000"/>
            </w:tcBorders>
            <w:shd w:val="clear" w:color="auto" w:fill="DAEEF3"/>
          </w:tcPr>
          <w:p>
            <w:pPr>
              <w:widowControl w:val="0"/>
              <w:spacing w:before="75"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z w:val="18"/>
              </w:rPr>
              <w:t>Chapitre 3 - Notation, avancement d'échelon et promotion</w:t>
            </w:r>
          </w:p>
        </w:tc>
      </w:tr>
      <w:tr>
        <w:trPr>
          <w:trHeight w:hRule="exact" w:val="972"/>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 w:after="0" w:line="240" w:lineRule="auto"/>
              <w:jc w:val="center"/>
              <w:rPr>
                <w:rFonts w:ascii="Times New Roman" w:eastAsia="Times New Roman" w:hAnsi="Times New Roman" w:cs="Times New Roman"/>
                <w:noProof/>
                <w:sz w:val="12"/>
                <w:szCs w:val="12"/>
              </w:rPr>
            </w:pPr>
          </w:p>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cs="Times New Roman"/>
                <w:b/>
                <w:noProof/>
                <w:sz w:val="12"/>
              </w:rPr>
              <w:t>44 (1)</w:t>
            </w:r>
          </w:p>
        </w:tc>
        <w:tc>
          <w:tcPr>
            <w:tcW w:w="255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Avancement d'échelon</w:t>
            </w: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17"/>
                <w:szCs w:val="17"/>
              </w:rPr>
            </w:pPr>
          </w:p>
          <w:p>
            <w:pPr>
              <w:widowControl w:val="0"/>
              <w:spacing w:after="0" w:line="254" w:lineRule="auto"/>
              <w:ind w:right="50"/>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360/2013 relative à l’application de l’article 7, paragraphe 7, de l’annexe XIII - avancement d’échelon</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0"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12.11.2013</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Calibri" w:hAnsi="Times New Roman" w:cs="Times New Roman"/>
          <w:noProof/>
          <w:sz w:val="13"/>
          <w:szCs w:val="13"/>
        </w:rPr>
        <w:sectPr>
          <w:headerReference w:type="even" r:id="rId141"/>
          <w:headerReference w:type="default" r:id="rId142"/>
          <w:footerReference w:type="even" r:id="rId143"/>
          <w:footerReference w:type="default" r:id="rId144"/>
          <w:headerReference w:type="first" r:id="rId145"/>
          <w:footerReference w:type="first" r:id="rId146"/>
          <w:pgSz w:w="11900" w:h="16840" w:code="9"/>
          <w:pgMar w:top="960" w:right="780" w:bottom="280" w:left="220" w:header="777" w:footer="720" w:gutter="0"/>
          <w:cols w:space="720"/>
        </w:sectPr>
      </w:pPr>
    </w:p>
    <w:tbl>
      <w:tblPr>
        <w:tblW w:w="0" w:type="auto"/>
        <w:tblInd w:w="112" w:type="dxa"/>
        <w:tblLayout w:type="fixed"/>
        <w:tblCellMar>
          <w:left w:w="0" w:type="dxa"/>
          <w:right w:w="0" w:type="dxa"/>
        </w:tblCellMar>
        <w:tblLook w:val="01E0" w:firstRow="1" w:lastRow="1" w:firstColumn="1" w:lastColumn="1" w:noHBand="0" w:noVBand="0"/>
      </w:tblPr>
      <w:tblGrid>
        <w:gridCol w:w="1157"/>
        <w:gridCol w:w="2551"/>
        <w:gridCol w:w="3029"/>
        <w:gridCol w:w="1322"/>
        <w:gridCol w:w="1687"/>
        <w:gridCol w:w="936"/>
      </w:tblGrid>
      <w:tr>
        <w:trPr>
          <w:trHeight w:hRule="exact" w:val="420"/>
        </w:trPr>
        <w:tc>
          <w:tcPr>
            <w:tcW w:w="1157"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Article</w:t>
            </w:r>
          </w:p>
        </w:tc>
        <w:tc>
          <w:tcPr>
            <w:tcW w:w="2551"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Objet</w:t>
            </w:r>
          </w:p>
        </w:tc>
        <w:tc>
          <w:tcPr>
            <w:tcW w:w="3029"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Règle d'exécution</w:t>
            </w:r>
          </w:p>
        </w:tc>
        <w:tc>
          <w:tcPr>
            <w:tcW w:w="1322"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Entrée en vigueur</w:t>
            </w:r>
          </w:p>
        </w:tc>
        <w:tc>
          <w:tcPr>
            <w:tcW w:w="1687"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Date d’expiration</w:t>
            </w:r>
          </w:p>
        </w:tc>
        <w:tc>
          <w:tcPr>
            <w:tcW w:w="936" w:type="dxa"/>
            <w:tcBorders>
              <w:top w:val="single" w:sz="3" w:space="0" w:color="000000"/>
              <w:left w:val="single" w:sz="3" w:space="0" w:color="000000"/>
              <w:bottom w:val="single" w:sz="3" w:space="0" w:color="000000"/>
              <w:right w:val="single" w:sz="5"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2"/>
              </w:rPr>
              <w:t>Comptabilisation</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7"/>
        <w:gridCol w:w="2551"/>
        <w:gridCol w:w="3029"/>
        <w:gridCol w:w="1322"/>
        <w:gridCol w:w="1687"/>
        <w:gridCol w:w="936"/>
      </w:tblGrid>
      <w:tr>
        <w:trPr>
          <w:trHeight w:hRule="exact" w:val="509"/>
        </w:trPr>
        <w:tc>
          <w:tcPr>
            <w:tcW w:w="1157"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1"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43</w:t>
            </w:r>
          </w:p>
        </w:tc>
        <w:tc>
          <w:tcPr>
            <w:tcW w:w="2551"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6"/>
                <w:szCs w:val="16"/>
              </w:rPr>
            </w:pPr>
          </w:p>
          <w:p>
            <w:pPr>
              <w:widowControl w:val="0"/>
              <w:spacing w:before="126" w:after="0" w:line="161" w:lineRule="exact"/>
              <w:jc w:val="center"/>
              <w:rPr>
                <w:rFonts w:ascii="Times New Roman" w:eastAsia="Times New Roman" w:hAnsi="Times New Roman" w:cs="Times New Roman"/>
                <w:noProof/>
                <w:sz w:val="16"/>
                <w:szCs w:val="16"/>
              </w:rPr>
            </w:pPr>
            <w:r>
              <w:rPr>
                <w:rFonts w:ascii="Times New Roman" w:hAnsi="Times New Roman" w:cs="Times New Roman"/>
                <w:b/>
                <w:noProof/>
                <w:sz w:val="16"/>
              </w:rPr>
              <w:t>Rapport annuel</w:t>
            </w:r>
          </w:p>
        </w:tc>
        <w:tc>
          <w:tcPr>
            <w:tcW w:w="302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7" w:after="0" w:line="254" w:lineRule="auto"/>
              <w:ind w:right="259"/>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0007/14 portant adoption des dispositions générales d'exécution relatives à la notation du personnel</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1.1.2016</w:t>
            </w:r>
          </w:p>
        </w:tc>
        <w:tc>
          <w:tcPr>
            <w:tcW w:w="936"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2"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18"/>
        </w:trPr>
        <w:tc>
          <w:tcPr>
            <w:tcW w:w="1157" w:type="dxa"/>
            <w:vMerge/>
            <w:tcBorders>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nil"/>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54" w:lineRule="auto"/>
              <w:ind w:right="230"/>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510/2015 portant adoption des dispositions générales d'exécution relatives à la notation du personnel</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1.1.2016</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478"/>
        </w:trPr>
        <w:tc>
          <w:tcPr>
            <w:tcW w:w="1157" w:type="dxa"/>
            <w:vMerge w:val="restart"/>
            <w:tcBorders>
              <w:top w:val="nil"/>
              <w:left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551" w:type="dxa"/>
            <w:vMerge w:val="restart"/>
            <w:tcBorders>
              <w:top w:val="nil"/>
              <w:left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1" w:after="0" w:line="254" w:lineRule="auto"/>
              <w:ind w:right="44"/>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0008/2014 portant adoption des Instructions de service pour la notation ainsi que du formulaire de rapport de notation</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1.1.2016</w:t>
            </w:r>
          </w:p>
        </w:tc>
        <w:tc>
          <w:tcPr>
            <w:tcW w:w="936"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4"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15"/>
        </w:trPr>
        <w:tc>
          <w:tcPr>
            <w:tcW w:w="1157"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9" w:after="0" w:line="254" w:lineRule="auto"/>
              <w:ind w:right="73"/>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003/2016 portant adoption des Instructions de service pour la notation ainsi que du formulaire de rapport de notation</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370"/>
        </w:trPr>
        <w:tc>
          <w:tcPr>
            <w:tcW w:w="1157"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45</w:t>
            </w:r>
          </w:p>
        </w:tc>
        <w:tc>
          <w:tcPr>
            <w:tcW w:w="2551"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8" w:after="0" w:line="240" w:lineRule="auto"/>
              <w:jc w:val="center"/>
              <w:rPr>
                <w:rFonts w:ascii="Times New Roman" w:eastAsia="Times New Roman" w:hAnsi="Times New Roman" w:cs="Times New Roman"/>
                <w:noProof/>
                <w:sz w:val="23"/>
                <w:szCs w:val="2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Promotions</w:t>
            </w: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104/2010 relative aux promotions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28.4.2010</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16.6.2014</w:t>
            </w:r>
          </w:p>
        </w:tc>
        <w:tc>
          <w:tcPr>
            <w:tcW w:w="936"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70"/>
        </w:trPr>
        <w:tc>
          <w:tcPr>
            <w:tcW w:w="1157"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111/2012 portant instauration d'un comité de promotion</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7.6.2012</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16.6.2014</w:t>
            </w:r>
          </w:p>
        </w:tc>
        <w:tc>
          <w:tcPr>
            <w:tcW w:w="936" w:type="dxa"/>
            <w:vMerge/>
            <w:tcBorders>
              <w:left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370"/>
        </w:trPr>
        <w:tc>
          <w:tcPr>
            <w:tcW w:w="1157"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0116/2014 relative aux promotions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16.6.2014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557"/>
        </w:trPr>
        <w:tc>
          <w:tcPr>
            <w:tcW w:w="115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17"/>
                <w:szCs w:val="17"/>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z w:val="12"/>
              </w:rPr>
              <w:t>45 (2)</w:t>
            </w:r>
          </w:p>
        </w:tc>
        <w:tc>
          <w:tcPr>
            <w:tcW w:w="255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Promotions</w:t>
            </w: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304/2006 relative à la capacité à travailler dans une troisième langue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8.9.2006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84"/>
        </w:trPr>
        <w:tc>
          <w:tcPr>
            <w:tcW w:w="1157"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3" w:after="0" w:line="240" w:lineRule="auto"/>
              <w:jc w:val="center"/>
              <w:rPr>
                <w:rFonts w:ascii="Times New Roman" w:eastAsia="Times New Roman" w:hAnsi="Times New Roman" w:cs="Times New Roman"/>
                <w:noProof/>
                <w:sz w:val="14"/>
                <w:szCs w:val="14"/>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45 </w:t>
            </w:r>
            <w:r>
              <w:rPr>
                <w:rFonts w:ascii="Times New Roman" w:hAnsi="Times New Roman" w:cs="Times New Roman"/>
                <w:b/>
                <w:i/>
                <w:noProof/>
                <w:sz w:val="12"/>
              </w:rPr>
              <w:t>bis</w:t>
            </w:r>
          </w:p>
        </w:tc>
        <w:tc>
          <w:tcPr>
            <w:tcW w:w="2551"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95"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Certification</w:t>
            </w:r>
          </w:p>
        </w:tc>
        <w:tc>
          <w:tcPr>
            <w:tcW w:w="302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5" w:after="0" w:line="254" w:lineRule="auto"/>
              <w:ind w:right="183"/>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0118/2011 portant adoption des dispositions générales d’exécution de l’article 45 </w:t>
            </w:r>
            <w:r>
              <w:rPr>
                <w:rFonts w:ascii="Times New Roman" w:hAnsi="Times New Roman" w:cs="Times New Roman"/>
                <w:i/>
                <w:noProof/>
                <w:spacing w:val="-2"/>
                <w:sz w:val="12"/>
              </w:rPr>
              <w:t>bis</w:t>
            </w:r>
            <w:r>
              <w:rPr>
                <w:rFonts w:ascii="Times New Roman" w:hAnsi="Times New Roman" w:cs="Times New Roman"/>
                <w:noProof/>
                <w:spacing w:val="-2"/>
                <w:sz w:val="12"/>
              </w:rPr>
              <w:t xml:space="preserve"> du statut</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24.5.2011</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28.11.2014</w:t>
            </w:r>
          </w:p>
        </w:tc>
        <w:tc>
          <w:tcPr>
            <w:tcW w:w="936"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3"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370"/>
        </w:trPr>
        <w:tc>
          <w:tcPr>
            <w:tcW w:w="1157"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38" w:after="0" w:line="254" w:lineRule="auto"/>
              <w:ind w:right="183"/>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0403/2014 portant adoption des dispositions générales d’exécution de l’article 45 </w:t>
            </w:r>
            <w:r>
              <w:rPr>
                <w:rFonts w:ascii="Times New Roman" w:hAnsi="Times New Roman" w:cs="Times New Roman"/>
                <w:i/>
                <w:noProof/>
                <w:spacing w:val="-2"/>
                <w:sz w:val="12"/>
              </w:rPr>
              <w:t>bis</w:t>
            </w:r>
            <w:r>
              <w:rPr>
                <w:rFonts w:ascii="Times New Roman" w:hAnsi="Times New Roman" w:cs="Times New Roman"/>
                <w:noProof/>
                <w:spacing w:val="-2"/>
                <w:sz w:val="12"/>
              </w:rPr>
              <w:t xml:space="preserve"> du statut</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28.11.2014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262"/>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32" w:after="0" w:line="240" w:lineRule="auto"/>
              <w:ind w:right="935"/>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Section 5 - Mise à la retraite</w:t>
            </w:r>
          </w:p>
        </w:tc>
      </w:tr>
      <w:tr>
        <w:trPr>
          <w:trHeight w:hRule="exact" w:val="374"/>
        </w:trPr>
        <w:tc>
          <w:tcPr>
            <w:tcW w:w="1156"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cs="Times New Roman"/>
                <w:b/>
                <w:noProof/>
                <w:sz w:val="12"/>
              </w:rPr>
              <w:t>52 (2)</w:t>
            </w:r>
          </w:p>
        </w:tc>
        <w:tc>
          <w:tcPr>
            <w:tcW w:w="2551"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Retraite</w:t>
            </w:r>
          </w:p>
        </w:tc>
        <w:tc>
          <w:tcPr>
            <w:tcW w:w="302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298.02 relative à l’âge de la retraite à 67 ans</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1.5.2004</w:t>
            </w:r>
          </w:p>
        </w:tc>
        <w:tc>
          <w:tcPr>
            <w:tcW w:w="1687"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523"/>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125"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IV - Des conditions de travail du fonctionnaire</w:t>
            </w:r>
          </w:p>
        </w:tc>
      </w:tr>
      <w:tr>
        <w:trPr>
          <w:trHeight w:hRule="exact" w:val="401"/>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0" w:after="0" w:line="240" w:lineRule="auto"/>
              <w:ind w:right="931"/>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1 - Durée du travail</w:t>
            </w:r>
          </w:p>
        </w:tc>
      </w:tr>
      <w:tr>
        <w:trPr>
          <w:trHeight w:hRule="exact" w:val="401"/>
        </w:trPr>
        <w:tc>
          <w:tcPr>
            <w:tcW w:w="1156"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2"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55</w:t>
            </w:r>
          </w:p>
        </w:tc>
        <w:tc>
          <w:tcPr>
            <w:tcW w:w="2551"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1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3"/>
                <w:sz w:val="16"/>
              </w:rPr>
              <w:t>Temps de travail</w:t>
            </w:r>
          </w:p>
        </w:tc>
        <w:tc>
          <w:tcPr>
            <w:tcW w:w="302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0" w:after="0" w:line="254" w:lineRule="auto"/>
              <w:ind w:right="38"/>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389/2013 relative aux horaires de travail et à l’aménagement du temps de travail</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1.1.2016</w:t>
            </w:r>
          </w:p>
        </w:tc>
        <w:tc>
          <w:tcPr>
            <w:tcW w:w="936" w:type="dxa"/>
            <w:vMerge w:val="restart"/>
            <w:tcBorders>
              <w:top w:val="single" w:sz="5"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2"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01"/>
        </w:trPr>
        <w:tc>
          <w:tcPr>
            <w:tcW w:w="1156"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2" w:after="0" w:line="254" w:lineRule="auto"/>
              <w:ind w:right="38"/>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509/2015 relative aux horaires de travail et à l’aménagement du temps de travail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401"/>
        </w:trPr>
        <w:tc>
          <w:tcPr>
            <w:tcW w:w="1156"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10"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55 </w:t>
            </w:r>
            <w:r>
              <w:rPr>
                <w:rFonts w:ascii="Times New Roman" w:hAnsi="Times New Roman" w:cs="Times New Roman"/>
                <w:b/>
                <w:i/>
                <w:noProof/>
                <w:sz w:val="12"/>
              </w:rPr>
              <w:t>bis</w:t>
            </w:r>
            <w:r>
              <w:rPr>
                <w:rFonts w:ascii="Times New Roman" w:hAnsi="Times New Roman" w:cs="Times New Roman"/>
                <w:b/>
                <w:noProof/>
                <w:sz w:val="12"/>
              </w:rPr>
              <w:t xml:space="preserve"> + annexe IV </w:t>
            </w:r>
            <w:r>
              <w:rPr>
                <w:rFonts w:ascii="Times New Roman" w:hAnsi="Times New Roman" w:cs="Times New Roman"/>
                <w:b/>
                <w:i/>
                <w:noProof/>
                <w:sz w:val="12"/>
              </w:rPr>
              <w:t>bis</w:t>
            </w:r>
          </w:p>
        </w:tc>
        <w:tc>
          <w:tcPr>
            <w:tcW w:w="255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6"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Travail à temps partiel</w:t>
            </w: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2" w:after="0" w:line="254" w:lineRule="auto"/>
              <w:ind w:right="124"/>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19/2014 sur l’article 55 </w:t>
            </w:r>
            <w:r>
              <w:rPr>
                <w:rFonts w:ascii="Times New Roman" w:hAnsi="Times New Roman" w:cs="Times New Roman"/>
                <w:i/>
                <w:noProof/>
                <w:spacing w:val="-2"/>
                <w:sz w:val="12"/>
              </w:rPr>
              <w:t>bis</w:t>
            </w:r>
            <w:r>
              <w:rPr>
                <w:rFonts w:ascii="Times New Roman" w:hAnsi="Times New Roman" w:cs="Times New Roman"/>
                <w:noProof/>
                <w:spacing w:val="-2"/>
                <w:sz w:val="12"/>
              </w:rPr>
              <w:t xml:space="preserve"> du statut relatif au travail à temps partiel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01"/>
        </w:trPr>
        <w:tc>
          <w:tcPr>
            <w:tcW w:w="1156" w:type="dxa"/>
            <w:vMerge/>
            <w:tcBorders>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val="restart"/>
            <w:tcBorders>
              <w:top w:val="single" w:sz="3"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3" w:after="0" w:line="240" w:lineRule="auto"/>
              <w:jc w:val="center"/>
              <w:rPr>
                <w:rFonts w:ascii="Times New Roman" w:eastAsia="Times New Roman" w:hAnsi="Times New Roman" w:cs="Times New Roman"/>
                <w:noProof/>
                <w:sz w:val="18"/>
                <w:szCs w:val="18"/>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Télétravail</w:t>
            </w: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439/2011 instaurant un régime de travail à distance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1.1.2012</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27.6.2016</w:t>
            </w:r>
          </w:p>
        </w:tc>
        <w:tc>
          <w:tcPr>
            <w:tcW w:w="936"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3"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83"/>
        </w:trPr>
        <w:tc>
          <w:tcPr>
            <w:tcW w:w="1156"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121/2016 relative au régime de télétravail</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27.6.2016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517"/>
        </w:trPr>
        <w:tc>
          <w:tcPr>
            <w:tcW w:w="1156"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56 + annexe VI</w:t>
            </w:r>
          </w:p>
        </w:tc>
        <w:tc>
          <w:tcPr>
            <w:tcW w:w="2551" w:type="dxa"/>
            <w:vMerge w:val="restart"/>
            <w:tcBorders>
              <w:top w:val="single" w:sz="3" w:space="0" w:color="000000"/>
              <w:left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noProof/>
                <w:sz w:val="23"/>
                <w:szCs w:val="2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3"/>
                <w:sz w:val="16"/>
              </w:rPr>
              <w:t>Heures supplémentaires</w:t>
            </w: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8" w:after="0" w:line="254" w:lineRule="auto"/>
              <w:ind w:right="68"/>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48/03 relative à la rémunération des heures supplémentaires prestées par les fonctionnaires des catégories C et D</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29.1.2003</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70"/>
        </w:trPr>
        <w:tc>
          <w:tcPr>
            <w:tcW w:w="1156"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23/2014 relative aux heures supplémentaires</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1.2.2014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b/>
          <w:bCs/>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after="0" w:line="240" w:lineRule="auto"/>
              <w:ind w:right="933"/>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2 - Congés</w:t>
            </w:r>
          </w:p>
        </w:tc>
      </w:tr>
      <w:tr>
        <w:trPr>
          <w:trHeight w:hRule="exact" w:val="457"/>
        </w:trPr>
        <w:tc>
          <w:tcPr>
            <w:tcW w:w="1156"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57 + annexe V</w:t>
            </w:r>
          </w:p>
        </w:tc>
        <w:tc>
          <w:tcPr>
            <w:tcW w:w="2551" w:type="dxa"/>
            <w:vMerge w:val="restart"/>
            <w:tcBorders>
              <w:top w:val="single" w:sz="5" w:space="0" w:color="000000"/>
              <w:left w:val="single" w:sz="3"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112"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Congés annuels et congés spéciaux</w:t>
            </w:r>
          </w:p>
        </w:tc>
        <w:tc>
          <w:tcPr>
            <w:tcW w:w="302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35" w:after="0" w:line="254" w:lineRule="auto"/>
              <w:ind w:right="31"/>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18/2014 concernant les règles applicables au personnel en matière de droits à congés annuels et congés spéciaux</w:t>
            </w:r>
          </w:p>
        </w:tc>
        <w:tc>
          <w:tcPr>
            <w:tcW w:w="13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99"/>
        </w:trPr>
        <w:tc>
          <w:tcPr>
            <w:tcW w:w="1156"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2" w:after="0" w:line="254" w:lineRule="auto"/>
              <w:ind w:right="114"/>
              <w:jc w:val="center"/>
              <w:rPr>
                <w:rFonts w:ascii="Times New Roman" w:eastAsia="Times New Roman" w:hAnsi="Times New Roman" w:cs="Times New Roman"/>
                <w:noProof/>
                <w:sz w:val="12"/>
                <w:szCs w:val="12"/>
              </w:rPr>
            </w:pPr>
            <w:r>
              <w:rPr>
                <w:rFonts w:ascii="Times New Roman" w:hAnsi="Times New Roman" w:cs="Times New Roman"/>
                <w:noProof/>
                <w:spacing w:val="-3"/>
                <w:sz w:val="12"/>
              </w:rPr>
              <w:t>Lignes directrices sur les modalités d’octroi du congé spécial pour travail exceptionnel allant au-delà des obligations normales d’un fonctionnaire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19.12.2014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60"/>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58</w:t>
            </w:r>
          </w:p>
        </w:tc>
        <w:tc>
          <w:tcPr>
            <w:tcW w:w="255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5"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Congé de maternité</w:t>
            </w: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3" w:after="0" w:line="254" w:lineRule="auto"/>
              <w:ind w:right="31"/>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18/2014 concernant les règles applicables au personnel en matière de droits à congés annuels et congés spéciaux</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17"/>
        </w:trPr>
        <w:tc>
          <w:tcPr>
            <w:tcW w:w="1156" w:type="dxa"/>
            <w:vMerge w:val="restart"/>
            <w:tcBorders>
              <w:top w:val="single" w:sz="3"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1"/>
                <w:szCs w:val="11"/>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59 - 60</w:t>
            </w:r>
          </w:p>
        </w:tc>
        <w:tc>
          <w:tcPr>
            <w:tcW w:w="2551" w:type="dxa"/>
            <w:vMerge w:val="restart"/>
            <w:tcBorders>
              <w:top w:val="single" w:sz="3" w:space="0" w:color="000000"/>
              <w:left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21"/>
                <w:szCs w:val="21"/>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Congé de maladie</w:t>
            </w: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54" w:lineRule="auto"/>
              <w:ind w:right="38"/>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288/04 relative aux règles applicables en matière d’absences pour maladie ou accident</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10.11.2004</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3"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1.11.2016</w:t>
            </w:r>
          </w:p>
        </w:tc>
        <w:tc>
          <w:tcPr>
            <w:tcW w:w="936" w:type="dxa"/>
            <w:vMerge w:val="restart"/>
            <w:tcBorders>
              <w:top w:val="single" w:sz="3"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6"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74"/>
        </w:trPr>
        <w:tc>
          <w:tcPr>
            <w:tcW w:w="1156"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551" w:type="dxa"/>
            <w:vMerge/>
            <w:tcBorders>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322/2016 établissant les règles applicables en matière de congé de maladie</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1.11.2016</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Calibri" w:hAnsi="Times New Roman" w:cs="Times New Roman"/>
          <w:noProof/>
        </w:rPr>
        <w:sectPr>
          <w:headerReference w:type="even" r:id="rId147"/>
          <w:headerReference w:type="default" r:id="rId148"/>
          <w:footerReference w:type="even" r:id="rId149"/>
          <w:footerReference w:type="default" r:id="rId150"/>
          <w:headerReference w:type="first" r:id="rId151"/>
          <w:footerReference w:type="first" r:id="rId152"/>
          <w:pgSz w:w="11900" w:h="16840" w:code="9"/>
          <w:pgMar w:top="960" w:right="780" w:bottom="280" w:left="220" w:header="777" w:footer="0" w:gutter="0"/>
          <w:cols w:space="720"/>
        </w:sectPr>
      </w:pPr>
    </w:p>
    <w:tbl>
      <w:tblPr>
        <w:tblW w:w="0" w:type="auto"/>
        <w:tblInd w:w="112" w:type="dxa"/>
        <w:tblLayout w:type="fixed"/>
        <w:tblCellMar>
          <w:left w:w="0" w:type="dxa"/>
          <w:right w:w="0" w:type="dxa"/>
        </w:tblCellMar>
        <w:tblLook w:val="01E0" w:firstRow="1" w:lastRow="1" w:firstColumn="1" w:lastColumn="1" w:noHBand="0" w:noVBand="0"/>
      </w:tblPr>
      <w:tblGrid>
        <w:gridCol w:w="1157"/>
        <w:gridCol w:w="2551"/>
        <w:gridCol w:w="3029"/>
        <w:gridCol w:w="1322"/>
        <w:gridCol w:w="1687"/>
        <w:gridCol w:w="936"/>
      </w:tblGrid>
      <w:tr>
        <w:trPr>
          <w:trHeight w:hRule="exact" w:val="420"/>
        </w:trPr>
        <w:tc>
          <w:tcPr>
            <w:tcW w:w="1157"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Article</w:t>
            </w:r>
          </w:p>
        </w:tc>
        <w:tc>
          <w:tcPr>
            <w:tcW w:w="2551"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Objet</w:t>
            </w:r>
          </w:p>
        </w:tc>
        <w:tc>
          <w:tcPr>
            <w:tcW w:w="3029"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Règle d'exécution</w:t>
            </w:r>
          </w:p>
        </w:tc>
        <w:tc>
          <w:tcPr>
            <w:tcW w:w="1322"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Entrée en vigueur</w:t>
            </w:r>
          </w:p>
        </w:tc>
        <w:tc>
          <w:tcPr>
            <w:tcW w:w="1687" w:type="dxa"/>
            <w:tcBorders>
              <w:top w:val="single" w:sz="3" w:space="0" w:color="000000"/>
              <w:left w:val="single" w:sz="3" w:space="0" w:color="000000"/>
              <w:bottom w:val="single" w:sz="3" w:space="0" w:color="000000"/>
              <w:right w:val="single" w:sz="3" w:space="0" w:color="000000"/>
            </w:tcBorders>
            <w:shd w:val="clear" w:color="auto" w:fill="DAEEF3"/>
          </w:tcPr>
          <w:p>
            <w:pPr>
              <w:widowControl w:val="0"/>
              <w:spacing w:before="109"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Date d’expiration</w:t>
            </w:r>
          </w:p>
        </w:tc>
        <w:tc>
          <w:tcPr>
            <w:tcW w:w="936" w:type="dxa"/>
            <w:tcBorders>
              <w:top w:val="single" w:sz="3" w:space="0" w:color="000000"/>
              <w:left w:val="single" w:sz="3" w:space="0" w:color="000000"/>
              <w:bottom w:val="single" w:sz="3" w:space="0" w:color="000000"/>
              <w:right w:val="single" w:sz="5" w:space="0" w:color="000000"/>
            </w:tcBorders>
            <w:shd w:val="clear" w:color="auto" w:fill="DAEEF3"/>
          </w:tcPr>
          <w:p>
            <w:pPr>
              <w:widowControl w:val="0"/>
              <w:spacing w:before="10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2"/>
              </w:rPr>
              <w:t>Comptabilisation</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444"/>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86"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V + annexe VII - Du régime pécuniaire et des avantages sociaux du fonctionnaire</w:t>
            </w:r>
          </w:p>
        </w:tc>
      </w:tr>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z w:val="18"/>
              </w:rPr>
              <w:t>Chapitre 1 - Rémunération et remboursement de frais</w:t>
            </w:r>
          </w:p>
        </w:tc>
      </w:tr>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5"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Annexe VII - Règles relatives à la rémunération et aux remboursements de frais</w:t>
            </w:r>
          </w:p>
        </w:tc>
      </w:tr>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5" w:after="0" w:line="240" w:lineRule="auto"/>
              <w:ind w:right="935"/>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Section 1 - Allocations familiales</w:t>
            </w:r>
          </w:p>
        </w:tc>
      </w:tr>
      <w:tr>
        <w:trPr>
          <w:trHeight w:hRule="exact" w:val="571"/>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noProof/>
                <w:sz w:val="12"/>
                <w:szCs w:val="12"/>
              </w:rPr>
            </w:pPr>
          </w:p>
          <w:p>
            <w:pPr>
              <w:widowControl w:val="0"/>
              <w:spacing w:after="0" w:line="254" w:lineRule="auto"/>
              <w:ind w:right="65"/>
              <w:jc w:val="center"/>
              <w:rPr>
                <w:rFonts w:ascii="Times New Roman" w:eastAsia="Times New Roman" w:hAnsi="Times New Roman" w:cs="Times New Roman"/>
                <w:noProof/>
                <w:sz w:val="12"/>
                <w:szCs w:val="12"/>
              </w:rPr>
            </w:pPr>
            <w:r>
              <w:rPr>
                <w:rFonts w:ascii="Times New Roman" w:hAnsi="Times New Roman" w:cs="Times New Roman"/>
                <w:b/>
                <w:noProof/>
                <w:sz w:val="12"/>
              </w:rPr>
              <w:t>67 - 68 + annexe VII (art. 1 (2) point d))</w:t>
            </w:r>
          </w:p>
        </w:tc>
        <w:tc>
          <w:tcPr>
            <w:tcW w:w="255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4" w:after="0" w:line="247" w:lineRule="auto"/>
              <w:ind w:right="201"/>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Allocation de foyer par décision spéciale</w:t>
            </w:r>
          </w:p>
        </w:tc>
        <w:tc>
          <w:tcPr>
            <w:tcW w:w="302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 w:after="0" w:line="240" w:lineRule="auto"/>
              <w:jc w:val="center"/>
              <w:rPr>
                <w:rFonts w:ascii="Times New Roman" w:eastAsia="Times New Roman" w:hAnsi="Times New Roman" w:cs="Times New Roman"/>
                <w:noProof/>
                <w:sz w:val="11"/>
                <w:szCs w:val="11"/>
              </w:rPr>
            </w:pPr>
          </w:p>
          <w:p>
            <w:pPr>
              <w:widowControl w:val="0"/>
              <w:spacing w:after="0" w:line="254" w:lineRule="auto"/>
              <w:ind w:right="150"/>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315/04 portant adoption des dispositions générales d'exécution concernant l'allocation de foyer par décision spéciale</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1.5.2004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52"/>
        </w:trPr>
        <w:tc>
          <w:tcPr>
            <w:tcW w:w="1156"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1"/>
                <w:szCs w:val="11"/>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z w:val="12"/>
              </w:rPr>
              <w:t>67 - 68 + annexe VII</w:t>
            </w:r>
          </w:p>
          <w:p>
            <w:pPr>
              <w:widowControl w:val="0"/>
              <w:spacing w:before="8"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(art. 1</w:t>
            </w:r>
            <w:r>
              <w:rPr>
                <w:rFonts w:ascii="Times New Roman" w:hAnsi="Times New Roman" w:cs="Times New Roman"/>
                <w:b/>
                <w:noProof/>
                <w:spacing w:val="-1"/>
                <w:sz w:val="12"/>
                <w:vertAlign w:val="superscript"/>
              </w:rPr>
              <w:t>er</w:t>
            </w:r>
            <w:r>
              <w:rPr>
                <w:rFonts w:ascii="Times New Roman" w:hAnsi="Times New Roman" w:cs="Times New Roman"/>
                <w:b/>
                <w:noProof/>
                <w:spacing w:val="-1"/>
                <w:sz w:val="12"/>
              </w:rPr>
              <w:t>)</w:t>
            </w:r>
          </w:p>
        </w:tc>
        <w:tc>
          <w:tcPr>
            <w:tcW w:w="2551"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Allocations familiales</w:t>
            </w:r>
          </w:p>
        </w:tc>
        <w:tc>
          <w:tcPr>
            <w:tcW w:w="3029"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3"/>
                <w:szCs w:val="13"/>
              </w:rPr>
            </w:pPr>
          </w:p>
          <w:p>
            <w:pPr>
              <w:widowControl w:val="0"/>
              <w:spacing w:after="0" w:line="254" w:lineRule="auto"/>
              <w:ind w:right="61"/>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317/04 portant adoption des dispositions générales d’exécution relatives à l'application des articles 67 et 68 du statut des fonctionnaires et des articles 1</w:t>
            </w:r>
            <w:r>
              <w:rPr>
                <w:rFonts w:ascii="Times New Roman" w:hAnsi="Times New Roman" w:cs="Times New Roman"/>
                <w:noProof/>
                <w:spacing w:val="-2"/>
                <w:sz w:val="12"/>
                <w:vertAlign w:val="superscript"/>
              </w:rPr>
              <w:t>er</w:t>
            </w:r>
            <w:r>
              <w:rPr>
                <w:rFonts w:ascii="Times New Roman" w:hAnsi="Times New Roman" w:cs="Times New Roman"/>
                <w:noProof/>
                <w:spacing w:val="-2"/>
                <w:sz w:val="12"/>
              </w:rPr>
              <w:t>, 2 et 3 de son annexe VII</w:t>
            </w:r>
          </w:p>
        </w:tc>
        <w:tc>
          <w:tcPr>
            <w:tcW w:w="1322"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9"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1.5.2004</w:t>
            </w:r>
          </w:p>
        </w:tc>
        <w:tc>
          <w:tcPr>
            <w:tcW w:w="1687"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vMerge w:val="restart"/>
            <w:tcBorders>
              <w:top w:val="single" w:sz="3"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1"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68"/>
        </w:trPr>
        <w:tc>
          <w:tcPr>
            <w:tcW w:w="1156"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88"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z w:val="12"/>
              </w:rPr>
              <w:t>67 - 68 + annexe VII</w:t>
            </w:r>
          </w:p>
          <w:p>
            <w:pPr>
              <w:widowControl w:val="0"/>
              <w:spacing w:before="8"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(art. 2)</w:t>
            </w:r>
          </w:p>
        </w:tc>
        <w:tc>
          <w:tcPr>
            <w:tcW w:w="2551"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40"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Allocation pour enfant à charge</w:t>
            </w:r>
          </w:p>
        </w:tc>
        <w:tc>
          <w:tcPr>
            <w:tcW w:w="3029"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1322"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1687"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485"/>
        </w:trPr>
        <w:tc>
          <w:tcPr>
            <w:tcW w:w="1156"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98"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z w:val="12"/>
              </w:rPr>
              <w:t>67 - 68 + annexe VII</w:t>
            </w:r>
          </w:p>
          <w:p>
            <w:pPr>
              <w:widowControl w:val="0"/>
              <w:spacing w:before="8"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[art. 2 (4)]</w:t>
            </w:r>
          </w:p>
        </w:tc>
        <w:tc>
          <w:tcPr>
            <w:tcW w:w="2551"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Personnes assimilées à un enfant à charge</w:t>
            </w:r>
          </w:p>
        </w:tc>
        <w:tc>
          <w:tcPr>
            <w:tcW w:w="302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5" w:after="0" w:line="254" w:lineRule="auto"/>
              <w:ind w:right="71"/>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268/98 relative aux dispositions générales d'exécution des articles 2, paragraphe 4, de l'annexe VII</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1.12.1998</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667"/>
        </w:trPr>
        <w:tc>
          <w:tcPr>
            <w:tcW w:w="1156"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z w:val="12"/>
              </w:rPr>
              <w:t>67 - 68 + annexe VII</w:t>
            </w:r>
          </w:p>
          <w:p>
            <w:pPr>
              <w:widowControl w:val="0"/>
              <w:spacing w:before="8"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(art. 3)</w:t>
            </w:r>
          </w:p>
        </w:tc>
        <w:tc>
          <w:tcPr>
            <w:tcW w:w="2551"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sz w:val="16"/>
              </w:rPr>
            </w:pPr>
          </w:p>
          <w:p>
            <w:pPr>
              <w:widowControl w:val="0"/>
              <w:spacing w:after="0" w:line="240" w:lineRule="auto"/>
              <w:jc w:val="center"/>
              <w:rPr>
                <w:rFonts w:ascii="Times New Roman" w:eastAsia="Calibri" w:hAnsi="Times New Roman" w:cs="Times New Roman"/>
                <w:b/>
                <w:noProof/>
                <w:spacing w:val="-1"/>
                <w:sz w:val="16"/>
              </w:rPr>
            </w:pPr>
            <w:r>
              <w:rPr>
                <w:rFonts w:ascii="Times New Roman" w:hAnsi="Times New Roman" w:cs="Times New Roman"/>
                <w:b/>
                <w:noProof/>
                <w:spacing w:val="-1"/>
                <w:sz w:val="16"/>
              </w:rPr>
              <w:t>Allocation scolaire</w:t>
            </w:r>
          </w:p>
        </w:tc>
        <w:tc>
          <w:tcPr>
            <w:tcW w:w="302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54" w:lineRule="auto"/>
              <w:ind w:right="16"/>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384/2013 portant dispositions générales d’exécution relatives à l’octroi de l’allocation scolaire (article 3 de l’annexe VII du statut)</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8"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91"/>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Section 3 - Remboursement de frais</w:t>
            </w:r>
          </w:p>
        </w:tc>
      </w:tr>
      <w:tr>
        <w:trPr>
          <w:trHeight w:hRule="exact" w:val="370"/>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38" w:after="0" w:line="254" w:lineRule="auto"/>
              <w:ind w:right="93"/>
              <w:jc w:val="center"/>
              <w:rPr>
                <w:rFonts w:ascii="Times New Roman" w:eastAsia="Times New Roman" w:hAnsi="Times New Roman" w:cs="Times New Roman"/>
                <w:noProof/>
                <w:sz w:val="12"/>
                <w:szCs w:val="12"/>
              </w:rPr>
            </w:pPr>
            <w:r>
              <w:rPr>
                <w:rFonts w:ascii="Times New Roman" w:hAnsi="Times New Roman" w:cs="Times New Roman"/>
                <w:b/>
                <w:noProof/>
                <w:sz w:val="12"/>
              </w:rPr>
              <w:t>71 + annexe VII (art. 7 - 8)</w:t>
            </w:r>
          </w:p>
        </w:tc>
        <w:tc>
          <w:tcPr>
            <w:tcW w:w="255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Frais de voyage</w:t>
            </w:r>
          </w:p>
        </w:tc>
        <w:tc>
          <w:tcPr>
            <w:tcW w:w="302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5" w:after="0" w:line="254" w:lineRule="auto"/>
              <w:ind w:right="71"/>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387/2013 relative à l'article 8 de l'annexe VII du statut</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28"/>
        </w:trPr>
        <w:tc>
          <w:tcPr>
            <w:tcW w:w="1156"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54" w:lineRule="auto"/>
              <w:ind w:right="93"/>
              <w:jc w:val="center"/>
              <w:rPr>
                <w:rFonts w:ascii="Times New Roman" w:eastAsia="Times New Roman" w:hAnsi="Times New Roman" w:cs="Times New Roman"/>
                <w:noProof/>
                <w:sz w:val="12"/>
                <w:szCs w:val="12"/>
              </w:rPr>
            </w:pPr>
            <w:r>
              <w:rPr>
                <w:rFonts w:ascii="Times New Roman" w:hAnsi="Times New Roman" w:cs="Times New Roman"/>
                <w:b/>
                <w:noProof/>
                <w:sz w:val="12"/>
              </w:rPr>
              <w:t>71 + annexe VII (art. 8)</w:t>
            </w:r>
          </w:p>
        </w:tc>
        <w:tc>
          <w:tcPr>
            <w:tcW w:w="2551"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Lieu d’origine</w:t>
            </w:r>
          </w:p>
        </w:tc>
        <w:tc>
          <w:tcPr>
            <w:tcW w:w="302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noProof/>
                <w:sz w:val="10"/>
                <w:szCs w:val="10"/>
              </w:rPr>
            </w:pPr>
          </w:p>
          <w:p>
            <w:pPr>
              <w:widowControl w:val="0"/>
              <w:spacing w:after="0" w:line="254" w:lineRule="auto"/>
              <w:ind w:right="108"/>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386/2013 relative à l’article 7, paragraphe 4, de l’annexe VII concernant la fixation du lieu d’origine</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370"/>
        </w:trPr>
        <w:tc>
          <w:tcPr>
            <w:tcW w:w="1156"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40" w:after="0" w:line="254" w:lineRule="auto"/>
              <w:ind w:right="93"/>
              <w:jc w:val="center"/>
              <w:rPr>
                <w:rFonts w:ascii="Times New Roman" w:eastAsia="Times New Roman" w:hAnsi="Times New Roman" w:cs="Times New Roman"/>
                <w:noProof/>
                <w:sz w:val="12"/>
                <w:szCs w:val="12"/>
              </w:rPr>
            </w:pPr>
            <w:r>
              <w:rPr>
                <w:rFonts w:ascii="Times New Roman" w:hAnsi="Times New Roman" w:cs="Times New Roman"/>
                <w:b/>
                <w:noProof/>
                <w:sz w:val="12"/>
              </w:rPr>
              <w:t>71 + annexe VII (art. 9)</w:t>
            </w:r>
          </w:p>
        </w:tc>
        <w:tc>
          <w:tcPr>
            <w:tcW w:w="2551"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Frais de déménagement</w:t>
            </w:r>
          </w:p>
        </w:tc>
        <w:tc>
          <w:tcPr>
            <w:tcW w:w="302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38" w:after="0" w:line="254" w:lineRule="auto"/>
              <w:ind w:right="107"/>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385/2013 portant dispositions générales d’exécution relatives au remboursement des frais de déménagement</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14"/>
        </w:trPr>
        <w:tc>
          <w:tcPr>
            <w:tcW w:w="1156"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54" w:lineRule="auto"/>
              <w:ind w:right="93"/>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71 + annexe VII (art. 11 - 13 </w:t>
            </w:r>
            <w:r>
              <w:rPr>
                <w:rFonts w:ascii="Times New Roman" w:hAnsi="Times New Roman" w:cs="Times New Roman"/>
                <w:b/>
                <w:i/>
                <w:noProof/>
                <w:sz w:val="12"/>
              </w:rPr>
              <w:t>bis</w:t>
            </w:r>
            <w:r>
              <w:rPr>
                <w:rFonts w:ascii="Times New Roman" w:hAnsi="Times New Roman" w:cs="Times New Roman"/>
                <w:b/>
                <w:noProof/>
                <w:sz w:val="12"/>
              </w:rPr>
              <w:t>)</w:t>
            </w:r>
          </w:p>
        </w:tc>
        <w:tc>
          <w:tcPr>
            <w:tcW w:w="2551"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Frais de mission et de déplacement</w:t>
            </w:r>
          </w:p>
        </w:tc>
        <w:tc>
          <w:tcPr>
            <w:tcW w:w="302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54" w:lineRule="auto"/>
              <w:ind w:right="69"/>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0053/2010 relative aux dispositions générales d’exécution portant adoption du guide des missions pour les fonctionnaires et autres agents</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 w:after="0" w:line="240" w:lineRule="auto"/>
              <w:jc w:val="center"/>
              <w:rPr>
                <w:rFonts w:ascii="Times New Roman" w:eastAsia="Times New Roman" w:hAnsi="Times New Roman" w:cs="Times New Roman"/>
                <w:noProof/>
                <w:sz w:val="15"/>
                <w:szCs w:val="15"/>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1.5.2010</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z w:val="18"/>
              </w:rPr>
              <w:t>Chapitre 3 + annexe VIII - Pensions et allocation d’invalidité</w:t>
            </w:r>
          </w:p>
        </w:tc>
      </w:tr>
      <w:tr>
        <w:trPr>
          <w:trHeight w:hRule="exact" w:val="463"/>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83" w:after="0" w:line="254" w:lineRule="auto"/>
              <w:ind w:right="31"/>
              <w:jc w:val="center"/>
              <w:rPr>
                <w:rFonts w:ascii="Times New Roman" w:eastAsia="Times New Roman" w:hAnsi="Times New Roman" w:cs="Times New Roman"/>
                <w:noProof/>
                <w:sz w:val="12"/>
                <w:szCs w:val="12"/>
              </w:rPr>
            </w:pPr>
            <w:r>
              <w:rPr>
                <w:rFonts w:ascii="Times New Roman" w:hAnsi="Times New Roman" w:cs="Times New Roman"/>
                <w:b/>
                <w:noProof/>
                <w:sz w:val="12"/>
              </w:rPr>
              <w:t>77 + annexe VIII (art. 11 - 12)</w:t>
            </w:r>
          </w:p>
        </w:tc>
        <w:tc>
          <w:tcPr>
            <w:tcW w:w="255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35"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Transfert des droits à pension</w:t>
            </w:r>
          </w:p>
        </w:tc>
        <w:tc>
          <w:tcPr>
            <w:tcW w:w="302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54" w:lineRule="auto"/>
              <w:ind w:right="121"/>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76/2011 portant dispositions générales d'exécution des articles 11 et 12 de l'annexe VIII du statut relatifs au transfert de droits à pension</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Calibri" w:hAnsi="Times New Roman" w:cs="Times New Roman"/>
          <w:noProof/>
          <w:sz w:val="13"/>
          <w:szCs w:val="13"/>
        </w:rPr>
        <w:sectPr>
          <w:headerReference w:type="even" r:id="rId153"/>
          <w:headerReference w:type="default" r:id="rId154"/>
          <w:footerReference w:type="even" r:id="rId155"/>
          <w:footerReference w:type="default" r:id="rId156"/>
          <w:headerReference w:type="first" r:id="rId157"/>
          <w:footerReference w:type="first" r:id="rId158"/>
          <w:pgSz w:w="11900" w:h="16840" w:code="9"/>
          <w:pgMar w:top="960" w:right="780" w:bottom="280" w:left="220" w:header="777" w:footer="0" w:gutter="0"/>
          <w:cols w:space="720"/>
        </w:sect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744"/>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143" w:after="0" w:line="240" w:lineRule="auto"/>
              <w:jc w:val="center"/>
              <w:rPr>
                <w:rFonts w:ascii="Times New Roman" w:eastAsia="Times New Roman" w:hAnsi="Times New Roman" w:cs="Times New Roman"/>
                <w:noProof/>
                <w:sz w:val="39"/>
                <w:szCs w:val="39"/>
              </w:rPr>
            </w:pPr>
            <w:r>
              <w:rPr>
                <w:rFonts w:ascii="Times New Roman" w:hAnsi="Times New Roman" w:cs="Times New Roman"/>
                <w:b/>
                <w:noProof/>
                <w:sz w:val="39"/>
              </w:rPr>
              <w:t>Régime applicable aux autres agents</w:t>
            </w:r>
          </w:p>
        </w:tc>
      </w:tr>
      <w:tr>
        <w:trPr>
          <w:trHeight w:hRule="exact" w:val="468"/>
        </w:trPr>
        <w:tc>
          <w:tcPr>
            <w:tcW w:w="1156"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13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Article</w:t>
            </w:r>
          </w:p>
        </w:tc>
        <w:tc>
          <w:tcPr>
            <w:tcW w:w="2551"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3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Objet</w:t>
            </w:r>
          </w:p>
        </w:tc>
        <w:tc>
          <w:tcPr>
            <w:tcW w:w="302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3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Règle d'exécution</w:t>
            </w:r>
          </w:p>
        </w:tc>
        <w:tc>
          <w:tcPr>
            <w:tcW w:w="13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3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Entrée en vigueur</w:t>
            </w:r>
          </w:p>
        </w:tc>
        <w:tc>
          <w:tcPr>
            <w:tcW w:w="1687"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13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Date d’expiration</w:t>
            </w:r>
          </w:p>
        </w:tc>
        <w:tc>
          <w:tcPr>
            <w:tcW w:w="936"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28"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2"/>
              </w:rPr>
              <w:t>Comptabilisation</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8"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II - Agents temporaires</w:t>
            </w:r>
          </w:p>
        </w:tc>
      </w:tr>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5" w:after="0" w:line="240" w:lineRule="auto"/>
              <w:ind w:right="933"/>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1 - Dispositions générales</w:t>
            </w:r>
          </w:p>
        </w:tc>
      </w:tr>
      <w:tr>
        <w:trPr>
          <w:trHeight w:hRule="exact" w:val="370"/>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cs="Times New Roman"/>
                <w:b/>
                <w:noProof/>
                <w:sz w:val="12"/>
              </w:rPr>
              <w:t>12 (5)</w:t>
            </w:r>
          </w:p>
        </w:tc>
        <w:tc>
          <w:tcPr>
            <w:tcW w:w="255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7" w:lineRule="auto"/>
              <w:ind w:right="357"/>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Procédures de recrutement des agents temporaires</w:t>
            </w:r>
          </w:p>
        </w:tc>
        <w:tc>
          <w:tcPr>
            <w:tcW w:w="302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5" w:after="0" w:line="254" w:lineRule="auto"/>
              <w:ind w:right="258"/>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23/2016 portant dispositions générales d’exécution portant sur l'engagement d'agents temporaires</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3.2.2016</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63"/>
        </w:trPr>
        <w:tc>
          <w:tcPr>
            <w:tcW w:w="1156"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11"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17 + 91</w:t>
            </w:r>
          </w:p>
        </w:tc>
        <w:tc>
          <w:tcPr>
            <w:tcW w:w="2551"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3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Congé de maternité et son paiement</w:t>
            </w:r>
          </w:p>
        </w:tc>
        <w:tc>
          <w:tcPr>
            <w:tcW w:w="302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3" w:after="0" w:line="254" w:lineRule="auto"/>
              <w:ind w:right="123"/>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461/2015 relative au congé de maternité et à son paiement pour les agents avant la fin de leur contrat</w:t>
            </w:r>
          </w:p>
        </w:tc>
        <w:tc>
          <w:tcPr>
            <w:tcW w:w="13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14.10.2015</w:t>
            </w:r>
          </w:p>
        </w:tc>
        <w:tc>
          <w:tcPr>
            <w:tcW w:w="1687"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370"/>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8" w:after="0" w:line="240" w:lineRule="auto"/>
              <w:ind w:right="936"/>
              <w:jc w:val="center"/>
              <w:rPr>
                <w:rFonts w:ascii="Times New Roman" w:eastAsia="Times New Roman" w:hAnsi="Times New Roman" w:cs="Times New Roman"/>
                <w:noProof/>
                <w:sz w:val="23"/>
                <w:szCs w:val="23"/>
              </w:rPr>
            </w:pPr>
            <w:r>
              <w:rPr>
                <w:rFonts w:ascii="Times New Roman" w:hAnsi="Times New Roman" w:cs="Times New Roman"/>
                <w:b/>
                <w:noProof/>
                <w:w w:val="105"/>
                <w:sz w:val="23"/>
              </w:rPr>
              <w:t>Titre IV - Agents contractuels</w:t>
            </w:r>
          </w:p>
        </w:tc>
      </w:tr>
      <w:tr>
        <w:trPr>
          <w:trHeight w:hRule="exact" w:val="583"/>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156" w:after="0" w:line="240" w:lineRule="auto"/>
              <w:jc w:val="center"/>
              <w:rPr>
                <w:rFonts w:ascii="Times New Roman" w:eastAsia="Times New Roman" w:hAnsi="Times New Roman" w:cs="Times New Roman"/>
                <w:noProof/>
                <w:sz w:val="23"/>
                <w:szCs w:val="23"/>
              </w:rPr>
            </w:pPr>
            <w:r>
              <w:rPr>
                <w:rFonts w:ascii="Times New Roman" w:hAnsi="Times New Roman" w:cs="Times New Roman"/>
                <w:b/>
                <w:noProof/>
                <w:spacing w:val="-1"/>
                <w:w w:val="105"/>
                <w:sz w:val="23"/>
              </w:rPr>
              <w:t>Chapitre 3 - Conditions d'engagement</w:t>
            </w:r>
          </w:p>
        </w:tc>
      </w:tr>
      <w:tr>
        <w:trPr>
          <w:trHeight w:hRule="exact" w:val="734"/>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13"/>
                <w:szCs w:val="13"/>
              </w:rPr>
            </w:pPr>
          </w:p>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cs="Times New Roman"/>
                <w:b/>
                <w:noProof/>
                <w:sz w:val="12"/>
              </w:rPr>
              <w:t>79 (2)</w:t>
            </w:r>
          </w:p>
        </w:tc>
        <w:tc>
          <w:tcPr>
            <w:tcW w:w="255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23"/>
                <w:szCs w:val="2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Recours aux agents contractuels</w:t>
            </w:r>
          </w:p>
        </w:tc>
        <w:tc>
          <w:tcPr>
            <w:tcW w:w="302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noProof/>
                <w:sz w:val="12"/>
                <w:szCs w:val="12"/>
              </w:rPr>
            </w:pPr>
          </w:p>
          <w:p>
            <w:pPr>
              <w:widowControl w:val="0"/>
              <w:spacing w:after="0" w:line="254" w:lineRule="auto"/>
              <w:ind w:right="38"/>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92/2014 portant dispositions générales d’exécution relatives aux procédures régissant les conditions d'emploi des agents contractuels (modifiée en dernier lieu par la décision 90/2015)</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3"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4.12.2014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5"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1156"/>
        <w:gridCol w:w="2551"/>
        <w:gridCol w:w="3029"/>
        <w:gridCol w:w="1322"/>
        <w:gridCol w:w="1687"/>
        <w:gridCol w:w="936"/>
      </w:tblGrid>
      <w:tr>
        <w:trPr>
          <w:trHeight w:hRule="exact" w:val="473"/>
        </w:trPr>
        <w:tc>
          <w:tcPr>
            <w:tcW w:w="10681"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126" w:after="0" w:line="240" w:lineRule="auto"/>
              <w:jc w:val="center"/>
              <w:rPr>
                <w:rFonts w:ascii="Times New Roman" w:eastAsia="Times New Roman" w:hAnsi="Times New Roman" w:cs="Times New Roman"/>
                <w:noProof/>
                <w:sz w:val="18"/>
                <w:szCs w:val="18"/>
              </w:rPr>
            </w:pPr>
            <w:r>
              <w:rPr>
                <w:rFonts w:ascii="Times New Roman" w:hAnsi="Times New Roman" w:cs="Times New Roman"/>
                <w:b/>
                <w:noProof/>
                <w:spacing w:val="-1"/>
                <w:sz w:val="18"/>
              </w:rPr>
              <w:t>Chapitre 3 - Conditions d'engagement</w:t>
            </w:r>
          </w:p>
        </w:tc>
      </w:tr>
      <w:tr>
        <w:trPr>
          <w:trHeight w:hRule="exact" w:val="784"/>
        </w:trPr>
        <w:tc>
          <w:tcPr>
            <w:tcW w:w="1156"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82</w:t>
            </w:r>
          </w:p>
        </w:tc>
        <w:tc>
          <w:tcPr>
            <w:tcW w:w="2551"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35" w:after="0" w:line="247" w:lineRule="auto"/>
              <w:ind w:right="326"/>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Procédures de recrutement des agents contractuels</w:t>
            </w:r>
          </w:p>
        </w:tc>
        <w:tc>
          <w:tcPr>
            <w:tcW w:w="302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5" w:after="0" w:line="254" w:lineRule="auto"/>
              <w:ind w:right="38"/>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92/2014 portant dispositions générales d’exécution relatives aux procédures régissant les conditions d'emploi des agents contractuels (modifiée en dernier lieu par la décision 90/2015)</w:t>
            </w:r>
          </w:p>
        </w:tc>
        <w:tc>
          <w:tcPr>
            <w:tcW w:w="13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4"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707"/>
        </w:trPr>
        <w:tc>
          <w:tcPr>
            <w:tcW w:w="1156"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4"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86</w:t>
            </w:r>
          </w:p>
        </w:tc>
        <w:tc>
          <w:tcPr>
            <w:tcW w:w="2551"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 w:after="0" w:line="240" w:lineRule="auto"/>
              <w:jc w:val="center"/>
              <w:rPr>
                <w:rFonts w:ascii="Times New Roman" w:eastAsia="Times New Roman" w:hAnsi="Times New Roman" w:cs="Times New Roman"/>
                <w:noProof/>
                <w:sz w:val="20"/>
                <w:szCs w:val="20"/>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Grades au recrutement</w:t>
            </w:r>
          </w:p>
        </w:tc>
        <w:tc>
          <w:tcPr>
            <w:tcW w:w="302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7" w:after="0" w:line="254" w:lineRule="auto"/>
              <w:ind w:right="38"/>
              <w:jc w:val="center"/>
              <w:rPr>
                <w:rFonts w:ascii="Times New Roman" w:eastAsia="Times New Roman" w:hAnsi="Times New Roman" w:cs="Times New Roman"/>
                <w:noProof/>
                <w:sz w:val="12"/>
                <w:szCs w:val="12"/>
              </w:rPr>
            </w:pPr>
            <w:r>
              <w:rPr>
                <w:rFonts w:ascii="Times New Roman" w:hAnsi="Times New Roman" w:cs="Times New Roman"/>
                <w:noProof/>
                <w:spacing w:val="-2"/>
                <w:sz w:val="12"/>
              </w:rPr>
              <w:t>Décision 92/2014 portant dispositions générales d’exécution relatives aux procédures régissant les conditions d'emploi des agents contractuels (modifiée en dernier lieu par la décision 90/2015)</w:t>
            </w:r>
          </w:p>
        </w:tc>
        <w:tc>
          <w:tcPr>
            <w:tcW w:w="13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87"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6"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07"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bl>
    <w:p>
      <w:pPr>
        <w:widowControl w:val="0"/>
        <w:spacing w:after="0" w:line="240" w:lineRule="auto"/>
        <w:jc w:val="center"/>
        <w:rPr>
          <w:rFonts w:ascii="Times New Roman" w:eastAsia="Times New Roman" w:hAnsi="Times New Roman" w:cs="Times New Roman"/>
          <w:noProof/>
          <w:sz w:val="20"/>
          <w:szCs w:val="20"/>
        </w:rPr>
      </w:pPr>
    </w:p>
    <w:p>
      <w:pPr>
        <w:rPr>
          <w:rFonts w:ascii="Times New Roman" w:eastAsia="Times New Roman" w:hAnsi="Times New Roman" w:cs="Times New Roman"/>
          <w:noProof/>
          <w:sz w:val="20"/>
          <w:szCs w:val="20"/>
        </w:rPr>
      </w:pPr>
      <w:r>
        <w:rPr>
          <w:rFonts w:ascii="Times New Roman" w:hAnsi="Times New Roman" w:cs="Times New Roman"/>
          <w:noProof/>
        </w:rPr>
        <w:br w:type="page"/>
      </w:r>
    </w:p>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912"/>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163" w:after="0" w:line="240" w:lineRule="auto"/>
              <w:jc w:val="center"/>
              <w:rPr>
                <w:rFonts w:ascii="Times New Roman" w:eastAsia="Times New Roman" w:hAnsi="Times New Roman" w:cs="Times New Roman"/>
                <w:noProof/>
                <w:sz w:val="50"/>
                <w:szCs w:val="50"/>
              </w:rPr>
            </w:pPr>
            <w:r>
              <w:rPr>
                <w:rFonts w:ascii="Times New Roman" w:hAnsi="Times New Roman" w:cs="Times New Roman"/>
                <w:b/>
                <w:noProof/>
                <w:sz w:val="50"/>
              </w:rPr>
              <w:t>MÉDIATEUR EUROPÉEN</w:t>
            </w:r>
          </w:p>
        </w:tc>
      </w:tr>
      <w:tr>
        <w:trPr>
          <w:trHeight w:hRule="exact" w:val="912"/>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89" w:after="0" w:line="240" w:lineRule="auto"/>
              <w:ind w:right="938"/>
              <w:jc w:val="center"/>
              <w:rPr>
                <w:rFonts w:ascii="Times New Roman" w:eastAsia="Times New Roman" w:hAnsi="Times New Roman" w:cs="Times New Roman"/>
                <w:noProof/>
                <w:sz w:val="42"/>
                <w:szCs w:val="42"/>
              </w:rPr>
            </w:pPr>
            <w:r>
              <w:rPr>
                <w:rFonts w:ascii="Times New Roman" w:hAnsi="Times New Roman" w:cs="Times New Roman"/>
                <w:b/>
                <w:noProof/>
                <w:sz w:val="42"/>
              </w:rPr>
              <w:t>Statut</w:t>
            </w:r>
          </w:p>
          <w:p>
            <w:pPr>
              <w:widowControl w:val="0"/>
              <w:spacing w:before="19" w:after="0" w:line="240" w:lineRule="auto"/>
              <w:ind w:right="938"/>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(applicable par analogie aux autres agents lorsque le RAA le prévoit expressément)</w:t>
            </w:r>
          </w:p>
        </w:tc>
      </w:tr>
      <w:tr>
        <w:trPr>
          <w:trHeight w:hRule="exact" w:val="389"/>
        </w:trPr>
        <w:tc>
          <w:tcPr>
            <w:tcW w:w="779"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pacing w:val="-3"/>
                <w:w w:val="105"/>
                <w:sz w:val="12"/>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Date d’expiration</w:t>
            </w:r>
          </w:p>
        </w:tc>
        <w:tc>
          <w:tcPr>
            <w:tcW w:w="938"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Comptabilisation</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94"/>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46"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 - Dispositions générales</w:t>
            </w:r>
          </w:p>
        </w:tc>
      </w:tr>
      <w:tr>
        <w:trPr>
          <w:trHeight w:hRule="exact" w:val="604"/>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1" w:after="0" w:line="240" w:lineRule="auto"/>
              <w:rPr>
                <w:rFonts w:ascii="Times New Roman" w:eastAsia="Times New Roman" w:hAnsi="Times New Roman" w:cs="Times New Roman"/>
                <w:noProof/>
                <w:sz w:val="13"/>
                <w:szCs w:val="13"/>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w w:val="105"/>
                <w:sz w:val="12"/>
              </w:rPr>
              <w:t>1</w:t>
            </w:r>
            <w:r>
              <w:rPr>
                <w:rFonts w:ascii="Times New Roman" w:hAnsi="Times New Roman" w:cs="Times New Roman"/>
                <w:b/>
                <w:noProof/>
                <w:w w:val="105"/>
                <w:sz w:val="12"/>
                <w:vertAlign w:val="superscript"/>
              </w:rPr>
              <w:t>er</w:t>
            </w:r>
            <w:r>
              <w:rPr>
                <w:rFonts w:ascii="Times New Roman" w:hAnsi="Times New Roman" w:cs="Times New Roman"/>
                <w:b/>
                <w:noProof/>
                <w:w w:val="105"/>
                <w:sz w:val="12"/>
              </w:rPr>
              <w:t xml:space="preserve"> </w:t>
            </w:r>
            <w:r>
              <w:rPr>
                <w:rFonts w:ascii="Times New Roman" w:hAnsi="Times New Roman" w:cs="Times New Roman"/>
                <w:b/>
                <w:i/>
                <w:noProof/>
                <w:w w:val="105"/>
                <w:sz w:val="12"/>
              </w:rPr>
              <w:t>quinquies</w:t>
            </w:r>
            <w:r>
              <w:rPr>
                <w:rFonts w:ascii="Times New Roman" w:hAnsi="Times New Roman" w:cs="Times New Roman"/>
                <w:b/>
                <w:noProof/>
                <w:w w:val="105"/>
                <w:sz w:val="12"/>
              </w:rPr>
              <w:t xml:space="preserve"> (4)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21" w:after="0" w:line="240" w:lineRule="auto"/>
              <w:ind w:right="3"/>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Handicap</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71" w:after="0" w:line="271" w:lineRule="auto"/>
              <w:ind w:right="120"/>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à la mise en œuvre de l’article 1</w:t>
            </w:r>
            <w:r>
              <w:rPr>
                <w:rFonts w:ascii="Times New Roman" w:hAnsi="Times New Roman" w:cs="Times New Roman"/>
                <w:noProof/>
                <w:w w:val="105"/>
                <w:sz w:val="12"/>
                <w:vertAlign w:val="superscript"/>
              </w:rPr>
              <w:t>er</w:t>
            </w:r>
            <w:r>
              <w:rPr>
                <w:rFonts w:ascii="Times New Roman" w:hAnsi="Times New Roman" w:cs="Times New Roman"/>
                <w:noProof/>
                <w:w w:val="105"/>
                <w:sz w:val="12"/>
              </w:rPr>
              <w:t> </w:t>
            </w:r>
            <w:r>
              <w:rPr>
                <w:rFonts w:ascii="Times New Roman" w:hAnsi="Times New Roman" w:cs="Times New Roman"/>
                <w:i/>
                <w:noProof/>
                <w:w w:val="105"/>
                <w:sz w:val="12"/>
              </w:rPr>
              <w:t>sexies</w:t>
            </w:r>
            <w:r>
              <w:rPr>
                <w:rFonts w:ascii="Times New Roman" w:hAnsi="Times New Roman" w:cs="Times New Roman"/>
                <w:noProof/>
                <w:w w:val="105"/>
                <w:sz w:val="12"/>
              </w:rPr>
              <w:t>, paragraphe 4, concernant le recrutement de personnes handicapées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rPr>
                <w:rFonts w:ascii="Times New Roman" w:eastAsia="Times New Roman" w:hAnsi="Times New Roman" w:cs="Times New Roman"/>
                <w:noProof/>
                <w:sz w:val="12"/>
                <w:szCs w:val="12"/>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7"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389"/>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10" w:after="0" w:line="240" w:lineRule="auto"/>
              <w:rPr>
                <w:rFonts w:ascii="Times New Roman" w:eastAsia="Times New Roman" w:hAnsi="Times New Roman" w:cs="Times New Roman"/>
                <w:noProof/>
                <w:sz w:val="10"/>
                <w:szCs w:val="10"/>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2</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4" w:after="0" w:line="240" w:lineRule="auto"/>
              <w:rPr>
                <w:rFonts w:ascii="Times New Roman" w:eastAsia="Times New Roman" w:hAnsi="Times New Roman" w:cs="Times New Roman"/>
                <w:noProof/>
                <w:sz w:val="17"/>
                <w:szCs w:val="17"/>
              </w:rPr>
            </w:pPr>
            <w:r>
              <w:rPr>
                <w:rFonts w:ascii="Times New Roman" w:hAnsi="Times New Roman" w:cs="Times New Roman"/>
                <w:b/>
                <w:noProof/>
                <w:spacing w:val="-1"/>
                <w:sz w:val="17"/>
              </w:rPr>
              <w:t>Pouvoirs de l'AIPN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noProof/>
                <w:w w:val="105"/>
                <w:sz w:val="12"/>
              </w:rPr>
              <w:t>Délégation de l'exercice des pouvoirs d'autorité investie du pouvoir de nomination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noProof/>
                <w:w w:val="105"/>
                <w:sz w:val="12"/>
              </w:rPr>
              <w:t>8.9.2015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581"/>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after="0" w:line="240" w:lineRule="auto"/>
              <w:rPr>
                <w:rFonts w:ascii="Times New Roman" w:eastAsia="Times New Roman" w:hAnsi="Times New Roman" w:cs="Times New Roman"/>
                <w:noProof/>
                <w:sz w:val="12"/>
                <w:szCs w:val="12"/>
              </w:rPr>
            </w:pPr>
          </w:p>
          <w:p>
            <w:pPr>
              <w:widowControl w:val="0"/>
              <w:spacing w:before="82" w:after="0" w:line="240" w:lineRule="auto"/>
              <w:rPr>
                <w:rFonts w:ascii="Times New Roman" w:eastAsia="Times New Roman" w:hAnsi="Times New Roman" w:cs="Times New Roman"/>
                <w:noProof/>
                <w:sz w:val="12"/>
                <w:szCs w:val="12"/>
              </w:rPr>
            </w:pPr>
            <w:r>
              <w:rPr>
                <w:rFonts w:ascii="Times New Roman" w:hAnsi="Times New Roman" w:cs="Times New Roman"/>
                <w:b/>
                <w:noProof/>
                <w:w w:val="105"/>
                <w:sz w:val="12"/>
              </w:rPr>
              <w:t>5 + annexe I</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rPr>
                <w:rFonts w:ascii="Times New Roman" w:eastAsia="Times New Roman" w:hAnsi="Times New Roman" w:cs="Times New Roman"/>
                <w:noProof/>
                <w:sz w:val="16"/>
                <w:szCs w:val="16"/>
              </w:rPr>
            </w:pPr>
          </w:p>
          <w:p>
            <w:pPr>
              <w:widowControl w:val="0"/>
              <w:spacing w:after="0" w:line="240" w:lineRule="auto"/>
              <w:rPr>
                <w:rFonts w:ascii="Times New Roman" w:eastAsia="Times New Roman" w:hAnsi="Times New Roman" w:cs="Times New Roman"/>
                <w:noProof/>
                <w:sz w:val="17"/>
                <w:szCs w:val="17"/>
              </w:rPr>
            </w:pPr>
            <w:r>
              <w:rPr>
                <w:rFonts w:ascii="Times New Roman" w:hAnsi="Times New Roman" w:cs="Times New Roman"/>
                <w:b/>
                <w:noProof/>
                <w:spacing w:val="-1"/>
                <w:sz w:val="17"/>
              </w:rPr>
              <w:t>Emplois types et intitulés d'emploi</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Times New Roman" w:hAnsi="Times New Roman" w:cs="Times New Roman"/>
                <w:noProof/>
                <w:sz w:val="12"/>
                <w:szCs w:val="12"/>
              </w:rPr>
            </w:pPr>
          </w:p>
          <w:p>
            <w:pPr>
              <w:widowControl w:val="0"/>
              <w:spacing w:before="80" w:after="0" w:line="240" w:lineRule="auto"/>
              <w:rPr>
                <w:rFonts w:ascii="Times New Roman" w:eastAsia="Times New Roman" w:hAnsi="Times New Roman" w:cs="Times New Roman"/>
                <w:noProof/>
                <w:sz w:val="12"/>
                <w:szCs w:val="12"/>
              </w:rPr>
            </w:pPr>
            <w:r>
              <w:rPr>
                <w:rFonts w:ascii="Times New Roman" w:hAnsi="Times New Roman" w:cs="Times New Roman"/>
                <w:noProof/>
                <w:w w:val="105"/>
                <w:sz w:val="12"/>
              </w:rPr>
              <w:t>Décision relative aux emplois types et aux intitulés d'emploi</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Times New Roman" w:hAnsi="Times New Roman" w:cs="Times New Roman"/>
                <w:noProof/>
                <w:sz w:val="12"/>
                <w:szCs w:val="12"/>
              </w:rPr>
            </w:pPr>
          </w:p>
          <w:p>
            <w:pPr>
              <w:widowControl w:val="0"/>
              <w:spacing w:before="80" w:after="0" w:line="240" w:lineRule="auto"/>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Calibri" w:hAnsi="Times New Roman" w:cs="Times New Roman"/>
                <w:noProof/>
              </w:rPr>
            </w:pPr>
          </w:p>
        </w:tc>
        <w:tc>
          <w:tcPr>
            <w:tcW w:w="938" w:type="dxa"/>
            <w:vMerge w:val="restart"/>
            <w:tcBorders>
              <w:top w:val="single" w:sz="3" w:space="0" w:color="000000"/>
              <w:left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974"/>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1" w:after="0" w:line="240" w:lineRule="auto"/>
              <w:rPr>
                <w:rFonts w:ascii="Times New Roman" w:eastAsia="Times New Roman" w:hAnsi="Times New Roman" w:cs="Times New Roman"/>
                <w:noProof/>
                <w:sz w:val="16"/>
                <w:szCs w:val="16"/>
              </w:rPr>
            </w:pPr>
          </w:p>
          <w:p>
            <w:pPr>
              <w:widowControl w:val="0"/>
              <w:spacing w:after="0" w:line="271" w:lineRule="auto"/>
              <w:ind w:right="28"/>
              <w:jc w:val="both"/>
              <w:rPr>
                <w:rFonts w:ascii="Times New Roman" w:eastAsia="Times New Roman" w:hAnsi="Times New Roman" w:cs="Times New Roman"/>
                <w:noProof/>
                <w:sz w:val="12"/>
                <w:szCs w:val="12"/>
              </w:rPr>
            </w:pPr>
            <w:r>
              <w:rPr>
                <w:rFonts w:ascii="Times New Roman" w:hAnsi="Times New Roman" w:cs="Times New Roman"/>
                <w:b/>
                <w:noProof/>
                <w:w w:val="105"/>
                <w:sz w:val="12"/>
              </w:rPr>
              <w:t>5 + annexe I et annexe XIII (articles 30 -</w:t>
            </w: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31)</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55" w:lineRule="auto"/>
              <w:ind w:right="118"/>
              <w:jc w:val="center"/>
              <w:rPr>
                <w:rFonts w:ascii="Times New Roman" w:eastAsia="Times New Roman" w:hAnsi="Times New Roman" w:cs="Times New Roman"/>
                <w:noProof/>
                <w:sz w:val="16"/>
                <w:szCs w:val="16"/>
              </w:rPr>
            </w:pPr>
            <w:r>
              <w:rPr>
                <w:rFonts w:ascii="Times New Roman" w:hAnsi="Times New Roman" w:cs="Times New Roman"/>
                <w:b/>
                <w:noProof/>
                <w:spacing w:val="-2"/>
                <w:sz w:val="16"/>
              </w:rPr>
              <w:t>Classement des fonctionnaires investis de responsabilités particulières en tant que «chef d'unité ou équivalent» ou «conseiller ou équivalent» avant le 31 décembre 2015</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Times New Roman" w:hAnsi="Times New Roman" w:cs="Times New Roman"/>
                <w:noProof/>
                <w:sz w:val="12"/>
                <w:szCs w:val="12"/>
              </w:rPr>
            </w:pPr>
          </w:p>
          <w:p>
            <w:pPr>
              <w:widowControl w:val="0"/>
              <w:spacing w:after="0" w:line="240" w:lineRule="auto"/>
              <w:rPr>
                <w:rFonts w:ascii="Times New Roman" w:eastAsia="Times New Roman" w:hAnsi="Times New Roman" w:cs="Times New Roman"/>
                <w:noProof/>
                <w:sz w:val="12"/>
                <w:szCs w:val="12"/>
              </w:rPr>
            </w:pPr>
          </w:p>
          <w:p>
            <w:pPr>
              <w:widowControl w:val="0"/>
              <w:spacing w:before="1" w:after="0" w:line="240" w:lineRule="auto"/>
              <w:rPr>
                <w:rFonts w:ascii="Times New Roman" w:eastAsia="Times New Roman" w:hAnsi="Times New Roman" w:cs="Times New Roman"/>
                <w:noProof/>
                <w:sz w:val="12"/>
                <w:szCs w:val="12"/>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noProof/>
                <w:w w:val="105"/>
                <w:sz w:val="12"/>
              </w:rPr>
              <w:t>Décision relative aux emplois types et aux intitulés d'emploi</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Times New Roman" w:hAnsi="Times New Roman" w:cs="Times New Roman"/>
                <w:noProof/>
                <w:sz w:val="12"/>
                <w:szCs w:val="12"/>
              </w:rPr>
            </w:pPr>
          </w:p>
          <w:p>
            <w:pPr>
              <w:widowControl w:val="0"/>
              <w:spacing w:after="0" w:line="240" w:lineRule="auto"/>
              <w:rPr>
                <w:rFonts w:ascii="Times New Roman" w:eastAsia="Times New Roman" w:hAnsi="Times New Roman" w:cs="Times New Roman"/>
                <w:noProof/>
                <w:sz w:val="12"/>
                <w:szCs w:val="12"/>
              </w:rPr>
            </w:pPr>
          </w:p>
          <w:p>
            <w:pPr>
              <w:widowControl w:val="0"/>
              <w:spacing w:before="1" w:after="0" w:line="240" w:lineRule="auto"/>
              <w:rPr>
                <w:rFonts w:ascii="Times New Roman" w:eastAsia="Times New Roman" w:hAnsi="Times New Roman" w:cs="Times New Roman"/>
                <w:noProof/>
                <w:sz w:val="12"/>
                <w:szCs w:val="12"/>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Calibri" w:hAnsi="Times New Roman" w:cs="Times New Roman"/>
                <w:noProof/>
              </w:rPr>
            </w:pPr>
          </w:p>
        </w:tc>
        <w:tc>
          <w:tcPr>
            <w:tcW w:w="938" w:type="dxa"/>
            <w:vMerge/>
            <w:tcBorders>
              <w:left w:val="single" w:sz="3" w:space="0" w:color="000000"/>
              <w:bottom w:val="single" w:sz="3" w:space="0" w:color="000000"/>
              <w:right w:val="single" w:sz="7" w:space="0" w:color="000000"/>
            </w:tcBorders>
            <w:shd w:val="clear" w:color="auto" w:fill="DA9694"/>
          </w:tcPr>
          <w:p>
            <w:pPr>
              <w:widowControl w:val="0"/>
              <w:spacing w:after="0" w:line="240" w:lineRule="auto"/>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92"/>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9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II - Droits et obligations du fonctionnaire</w:t>
            </w:r>
          </w:p>
        </w:tc>
      </w:tr>
      <w:tr>
        <w:trPr>
          <w:trHeight w:hRule="exact" w:val="676"/>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9" w:after="0" w:line="240" w:lineRule="auto"/>
              <w:rPr>
                <w:rFonts w:ascii="Times New Roman" w:eastAsia="Times New Roman" w:hAnsi="Times New Roman" w:cs="Times New Roman"/>
                <w:noProof/>
                <w:sz w:val="13"/>
                <w:szCs w:val="13"/>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12 </w:t>
            </w:r>
            <w:r>
              <w:rPr>
                <w:rFonts w:ascii="Times New Roman" w:hAnsi="Times New Roman" w:cs="Times New Roman"/>
                <w:b/>
                <w:i/>
                <w:noProof/>
                <w:w w:val="105"/>
                <w:sz w:val="12"/>
              </w:rPr>
              <w:t>ter</w:t>
            </w:r>
            <w:r>
              <w:rPr>
                <w:rFonts w:ascii="Times New Roman" w:hAnsi="Times New Roman" w:cs="Times New Roman"/>
                <w:b/>
                <w:noProof/>
                <w:w w:val="105"/>
                <w:sz w:val="12"/>
              </w:rPr>
              <w:t xml:space="preserve"> - 16 - 17</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28" w:after="0" w:line="240" w:lineRule="auto"/>
              <w:rPr>
                <w:rFonts w:ascii="Times New Roman" w:eastAsia="Times New Roman" w:hAnsi="Times New Roman" w:cs="Times New Roman"/>
                <w:noProof/>
                <w:sz w:val="17"/>
                <w:szCs w:val="17"/>
              </w:rPr>
            </w:pPr>
            <w:r>
              <w:rPr>
                <w:rFonts w:ascii="Times New Roman" w:hAnsi="Times New Roman" w:cs="Times New Roman"/>
                <w:b/>
                <w:noProof/>
                <w:spacing w:val="-1"/>
                <w:sz w:val="17"/>
              </w:rPr>
              <w:t>Activités extérieures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2" w:after="0" w:line="271" w:lineRule="auto"/>
              <w:ind w:right="135"/>
              <w:jc w:val="both"/>
              <w:rPr>
                <w:rFonts w:ascii="Times New Roman" w:eastAsia="Times New Roman" w:hAnsi="Times New Roman" w:cs="Times New Roman"/>
                <w:noProof/>
                <w:sz w:val="12"/>
                <w:szCs w:val="12"/>
              </w:rPr>
            </w:pPr>
            <w:r>
              <w:rPr>
                <w:rFonts w:ascii="Times New Roman" w:hAnsi="Times New Roman" w:cs="Times New Roman"/>
                <w:noProof/>
                <w:w w:val="105"/>
                <w:sz w:val="12"/>
              </w:rPr>
              <w:t>Décision du Médiateur européen relative aux règles internes applicables à l’exercice d’une activité professionnelle après la cessation des fonctions auprès de l’Union européenne (article 16 du statut)</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6" w:after="0" w:line="240" w:lineRule="auto"/>
              <w:rPr>
                <w:rFonts w:ascii="Times New Roman" w:eastAsia="Times New Roman" w:hAnsi="Times New Roman" w:cs="Times New Roman"/>
                <w:noProof/>
                <w:sz w:val="13"/>
                <w:szCs w:val="13"/>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noProof/>
                <w:w w:val="105"/>
                <w:sz w:val="12"/>
              </w:rPr>
              <w:t>7.3.2016</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479"/>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93" w:after="0" w:line="240" w:lineRule="auto"/>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22 </w:t>
            </w:r>
            <w:r>
              <w:rPr>
                <w:rFonts w:ascii="Times New Roman" w:hAnsi="Times New Roman" w:cs="Times New Roman"/>
                <w:b/>
                <w:i/>
                <w:noProof/>
                <w:w w:val="105"/>
                <w:sz w:val="12"/>
              </w:rPr>
              <w:t>bis</w:t>
            </w:r>
            <w:r>
              <w:rPr>
                <w:rFonts w:ascii="Times New Roman" w:hAnsi="Times New Roman" w:cs="Times New Roman"/>
                <w:b/>
                <w:noProof/>
                <w:w w:val="105"/>
                <w:sz w:val="12"/>
              </w:rPr>
              <w:t xml:space="preserve"> - </w:t>
            </w:r>
            <w:r>
              <w:rPr>
                <w:rFonts w:ascii="Times New Roman" w:hAnsi="Times New Roman" w:cs="Times New Roman"/>
                <w:b/>
                <w:i/>
                <w:noProof/>
                <w:w w:val="105"/>
                <w:sz w:val="12"/>
              </w:rPr>
              <w:t>quater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1" w:after="0" w:line="240" w:lineRule="auto"/>
              <w:rPr>
                <w:rFonts w:ascii="Times New Roman" w:eastAsia="Times New Roman" w:hAnsi="Times New Roman" w:cs="Times New Roman"/>
                <w:noProof/>
                <w:sz w:val="17"/>
                <w:szCs w:val="17"/>
              </w:rPr>
            </w:pPr>
            <w:r>
              <w:rPr>
                <w:rFonts w:ascii="Times New Roman" w:hAnsi="Times New Roman" w:cs="Times New Roman"/>
                <w:b/>
                <w:noProof/>
                <w:spacing w:val="-1"/>
                <w:sz w:val="17"/>
              </w:rPr>
              <w:t>Dénonciation des dysfonctionnements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1" w:after="0" w:line="271" w:lineRule="auto"/>
              <w:ind w:right="30"/>
              <w:rPr>
                <w:rFonts w:ascii="Times New Roman" w:eastAsia="Times New Roman" w:hAnsi="Times New Roman" w:cs="Times New Roman"/>
                <w:noProof/>
                <w:sz w:val="12"/>
                <w:szCs w:val="12"/>
              </w:rPr>
            </w:pPr>
            <w:r>
              <w:rPr>
                <w:rFonts w:ascii="Times New Roman" w:hAnsi="Times New Roman" w:cs="Times New Roman"/>
                <w:noProof/>
                <w:w w:val="105"/>
                <w:sz w:val="12"/>
              </w:rPr>
              <w:t>Décision du Médiateur européen relative aux règles internes applicables à la divulgation d’informations dans l’intérêt public («dénonciation des dysfonctionnements»)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1" w:after="0" w:line="240" w:lineRule="auto"/>
              <w:rPr>
                <w:rFonts w:ascii="Times New Roman" w:eastAsia="Times New Roman" w:hAnsi="Times New Roman" w:cs="Times New Roman"/>
                <w:noProof/>
                <w:sz w:val="12"/>
                <w:szCs w:val="12"/>
              </w:rPr>
            </w:pPr>
            <w:r>
              <w:rPr>
                <w:rFonts w:ascii="Times New Roman" w:hAnsi="Times New Roman" w:cs="Times New Roman"/>
                <w:noProof/>
                <w:w w:val="105"/>
                <w:sz w:val="12"/>
              </w:rPr>
              <w:t>2.12.2015</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84"/>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7" w:after="0" w:line="240" w:lineRule="auto"/>
              <w:rPr>
                <w:rFonts w:ascii="Times New Roman" w:eastAsia="Times New Roman" w:hAnsi="Times New Roman" w:cs="Times New Roman"/>
                <w:noProof/>
                <w:sz w:val="10"/>
                <w:szCs w:val="10"/>
              </w:rPr>
            </w:pPr>
          </w:p>
          <w:p>
            <w:pPr>
              <w:widowControl w:val="0"/>
              <w:spacing w:after="0" w:line="240" w:lineRule="auto"/>
              <w:ind w:right="5"/>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24 </w:t>
            </w:r>
            <w:r>
              <w:rPr>
                <w:rFonts w:ascii="Times New Roman" w:hAnsi="Times New Roman" w:cs="Times New Roman"/>
                <w:b/>
                <w:i/>
                <w:noProof/>
                <w:w w:val="105"/>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2"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Formation</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noProof/>
                <w:w w:val="105"/>
                <w:sz w:val="12"/>
              </w:rPr>
              <w:t>Décision portant adoption du guide pour la formation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noProof/>
                <w:w w:val="105"/>
                <w:sz w:val="12"/>
              </w:rPr>
              <w:t>12.9.2013</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z w:val="25"/>
              </w:rPr>
              <w:t>Titre III - De la carrière du fonctionnaire</w:t>
            </w:r>
          </w:p>
        </w:tc>
      </w:tr>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ind w:right="937"/>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Recrutement</w:t>
            </w:r>
          </w:p>
        </w:tc>
      </w:tr>
      <w:tr>
        <w:trPr>
          <w:trHeight w:hRule="exact" w:val="520"/>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83"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27 - 34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1" w:after="0" w:line="240" w:lineRule="auto"/>
              <w:ind w:right="1"/>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Recrutement</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4" w:after="0" w:line="271" w:lineRule="auto"/>
              <w:ind w:right="34"/>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aux critères applicables au classement en échelon lors de la nomination ou de l'engagement</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2 - Positions</w:t>
            </w:r>
          </w:p>
        </w:tc>
      </w:tr>
      <w:tr>
        <w:trPr>
          <w:trHeight w:hRule="exact" w:val="362"/>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85" w:after="0" w:line="240" w:lineRule="auto"/>
              <w:ind w:right="938"/>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Section 6 - Congé parental ou familial</w:t>
            </w:r>
          </w:p>
        </w:tc>
      </w:tr>
      <w:tr>
        <w:trPr>
          <w:trHeight w:hRule="exact" w:val="338"/>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98"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42 </w:t>
            </w:r>
            <w:r>
              <w:rPr>
                <w:rFonts w:ascii="Times New Roman" w:hAnsi="Times New Roman" w:cs="Times New Roman"/>
                <w:b/>
                <w:i/>
                <w:noProof/>
                <w:spacing w:val="1"/>
                <w:w w:val="105"/>
                <w:sz w:val="12"/>
              </w:rPr>
              <w:t>bis</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6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Congé parental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6" w:after="0" w:line="271" w:lineRule="auto"/>
              <w:ind w:right="59"/>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de l’article 42 </w:t>
            </w:r>
            <w:r>
              <w:rPr>
                <w:rFonts w:ascii="Times New Roman" w:hAnsi="Times New Roman" w:cs="Times New Roman"/>
                <w:i/>
                <w:noProof/>
                <w:w w:val="105"/>
                <w:sz w:val="12"/>
              </w:rPr>
              <w:t>bis</w:t>
            </w:r>
            <w:r>
              <w:rPr>
                <w:rFonts w:ascii="Times New Roman" w:hAnsi="Times New Roman" w:cs="Times New Roman"/>
                <w:noProof/>
                <w:w w:val="105"/>
                <w:sz w:val="12"/>
              </w:rPr>
              <w:t xml:space="preserve"> relatif au congé parental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5"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82"/>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26"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Notation, avancement d'échelon et promotion</w:t>
            </w:r>
          </w:p>
        </w:tc>
      </w:tr>
      <w:tr>
        <w:trPr>
          <w:trHeight w:hRule="exact" w:val="484"/>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64"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43</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4"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z w:val="17"/>
              </w:rPr>
              <w:t>Rapport annuel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123" w:lineRule="exact"/>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de l'article 43</w:t>
            </w:r>
          </w:p>
          <w:p>
            <w:pPr>
              <w:widowControl w:val="0"/>
              <w:spacing w:before="18" w:after="0" w:line="123" w:lineRule="exact"/>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du statut et de l'article 15, paragraphe 2 et de l'article 87, paragraphe 1, du RAA</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62"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1.1.2010</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274"/>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67"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45</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6"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Promotions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126" w:lineRule="exact"/>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Médiateur européen relative à la politique de promotion</w:t>
            </w:r>
          </w:p>
          <w:p>
            <w:pPr>
              <w:widowControl w:val="0"/>
              <w:spacing w:before="18" w:after="0" w:line="123" w:lineRule="exact"/>
              <w:jc w:val="center"/>
              <w:rPr>
                <w:rFonts w:ascii="Times New Roman" w:eastAsia="Times New Roman" w:hAnsi="Times New Roman" w:cs="Times New Roman"/>
                <w:noProof/>
                <w:sz w:val="12"/>
                <w:szCs w:val="12"/>
              </w:rPr>
            </w:pPr>
            <w:r>
              <w:rPr>
                <w:rFonts w:ascii="Times New Roman" w:hAnsi="Times New Roman" w:cs="Times New Roman"/>
                <w:noProof/>
                <w:w w:val="105"/>
                <w:sz w:val="12"/>
              </w:rPr>
              <w:t>et à la progression des carrières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12.9.2013</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274"/>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67"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 xml:space="preserve">45 </w:t>
            </w:r>
            <w:r>
              <w:rPr>
                <w:rFonts w:ascii="Times New Roman" w:hAnsi="Times New Roman" w:cs="Times New Roman"/>
                <w:b/>
                <w:i/>
                <w:noProof/>
                <w:spacing w:val="1"/>
                <w:w w:val="105"/>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37"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Certification</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 xml:space="preserve">Dispositions générales d'exécution de l'article 45 </w:t>
            </w:r>
            <w:r>
              <w:rPr>
                <w:rFonts w:ascii="Times New Roman" w:hAnsi="Times New Roman" w:cs="Times New Roman"/>
                <w:i/>
                <w:noProof/>
                <w:w w:val="105"/>
                <w:sz w:val="12"/>
              </w:rPr>
              <w:t>bis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4"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21.7.2005</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274"/>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after="0" w:line="262" w:lineRule="exact"/>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IV - Des conditions de travail du fonctionnaire</w:t>
            </w:r>
          </w:p>
        </w:tc>
      </w:tr>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ind w:right="936"/>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Durée du travail</w:t>
            </w:r>
          </w:p>
        </w:tc>
      </w:tr>
      <w:tr>
        <w:trPr>
          <w:trHeight w:hRule="exact" w:val="340"/>
        </w:trPr>
        <w:tc>
          <w:tcPr>
            <w:tcW w:w="779"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79"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55</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6"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Temps de travail</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6"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Règles internes relatives à la durée du travail et à l’horaire flexible</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76"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30.9.2009</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89"/>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47" w:after="0" w:line="271" w:lineRule="auto"/>
              <w:ind w:right="79"/>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55 </w:t>
            </w:r>
            <w:r>
              <w:rPr>
                <w:rFonts w:ascii="Times New Roman" w:hAnsi="Times New Roman" w:cs="Times New Roman"/>
                <w:b/>
                <w:i/>
                <w:noProof/>
                <w:w w:val="105"/>
                <w:sz w:val="12"/>
              </w:rPr>
              <w:t>bis</w:t>
            </w:r>
            <w:r>
              <w:rPr>
                <w:rFonts w:ascii="Times New Roman" w:hAnsi="Times New Roman" w:cs="Times New Roman"/>
                <w:b/>
                <w:noProof/>
                <w:w w:val="105"/>
                <w:sz w:val="12"/>
              </w:rPr>
              <w:t xml:space="preserve"> + annexe IV </w:t>
            </w:r>
            <w:r>
              <w:rPr>
                <w:rFonts w:ascii="Times New Roman" w:hAnsi="Times New Roman" w:cs="Times New Roman"/>
                <w:b/>
                <w:i/>
                <w:noProof/>
                <w:w w:val="105"/>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94"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Télétravail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5" w:after="0" w:line="271" w:lineRule="auto"/>
              <w:ind w:right="24"/>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du Médiateur européen relative à la mise en œuvre du télétravail dans les services du Médiateur européen</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30.9.2014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389"/>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47" w:after="0" w:line="271" w:lineRule="auto"/>
              <w:ind w:right="79"/>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56 + annexe VI</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104"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Heures supplémentaires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5" w:after="0" w:line="271" w:lineRule="auto"/>
              <w:ind w:right="88"/>
              <w:jc w:val="center"/>
              <w:rPr>
                <w:rFonts w:ascii="Times New Roman" w:eastAsia="Times New Roman" w:hAnsi="Times New Roman" w:cs="Times New Roman"/>
                <w:noProof/>
                <w:sz w:val="12"/>
                <w:szCs w:val="12"/>
              </w:rPr>
            </w:pPr>
            <w:r>
              <w:rPr>
                <w:rFonts w:ascii="Times New Roman" w:hAnsi="Times New Roman" w:cs="Times New Roman"/>
                <w:noProof/>
                <w:spacing w:val="-1"/>
                <w:w w:val="105"/>
                <w:sz w:val="12"/>
              </w:rPr>
              <w:t xml:space="preserve">Règles internes - compensation des heures supplémentaires (article 55 - 56 </w:t>
            </w:r>
            <w:r>
              <w:rPr>
                <w:rFonts w:ascii="Times New Roman" w:hAnsi="Times New Roman" w:cs="Times New Roman"/>
                <w:i/>
                <w:noProof/>
                <w:spacing w:val="-1"/>
                <w:w w:val="105"/>
                <w:sz w:val="12"/>
              </w:rPr>
              <w:t>ter</w:t>
            </w:r>
            <w:r>
              <w:rPr>
                <w:rFonts w:ascii="Times New Roman" w:hAnsi="Times New Roman" w:cs="Times New Roman"/>
                <w:noProof/>
                <w:spacing w:val="-1"/>
                <w:w w:val="105"/>
                <w:sz w:val="12"/>
              </w:rPr>
              <w:t xml:space="preserve"> et annexe VII)</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1.5.2014</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rPr>
          <w:rFonts w:ascii="Times New Roman" w:eastAsia="Calibri" w:hAnsi="Times New Roman" w:cs="Times New Roman"/>
          <w:noProof/>
          <w:sz w:val="14"/>
          <w:szCs w:val="14"/>
        </w:rPr>
        <w:sectPr>
          <w:headerReference w:type="even" r:id="rId159"/>
          <w:headerReference w:type="default" r:id="rId160"/>
          <w:footerReference w:type="even" r:id="rId161"/>
          <w:footerReference w:type="default" r:id="rId162"/>
          <w:headerReference w:type="first" r:id="rId163"/>
          <w:footerReference w:type="first" r:id="rId164"/>
          <w:pgSz w:w="11900" w:h="16840" w:code="9"/>
          <w:pgMar w:top="1040" w:right="580" w:bottom="280" w:left="220" w:header="854" w:footer="72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80"/>
        <w:gridCol w:w="2722"/>
        <w:gridCol w:w="3230"/>
        <w:gridCol w:w="1409"/>
        <w:gridCol w:w="1800"/>
        <w:gridCol w:w="938"/>
      </w:tblGrid>
      <w:tr>
        <w:trPr>
          <w:trHeight w:hRule="exact" w:val="389"/>
        </w:trPr>
        <w:tc>
          <w:tcPr>
            <w:tcW w:w="78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w w:val="105"/>
                <w:sz w:val="12"/>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0"/>
                <w:szCs w:val="10"/>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pacing w:val="-3"/>
                <w:w w:val="105"/>
                <w:sz w:val="12"/>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w w:val="105"/>
                <w:sz w:val="12"/>
              </w:rPr>
              <w:t>Date d’expiration</w:t>
            </w:r>
          </w:p>
        </w:tc>
        <w:tc>
          <w:tcPr>
            <w:tcW w:w="938"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5"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Comptabilisation</w:t>
            </w:r>
          </w:p>
        </w:tc>
      </w:tr>
    </w:tbl>
    <w:p>
      <w:pPr>
        <w:widowControl w:val="0"/>
        <w:spacing w:after="0" w:line="240" w:lineRule="auto"/>
        <w:jc w:val="center"/>
        <w:rPr>
          <w:rFonts w:ascii="Times New Roman" w:eastAsia="Times New Roman" w:hAnsi="Times New Roman" w:cs="Times New Roman"/>
          <w:noProof/>
          <w:sz w:val="23"/>
          <w:szCs w:val="23"/>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66"/>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82"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V + annexe VII - Du régime pécuniaire et des avantages sociaux du fonctionnaire</w:t>
            </w:r>
          </w:p>
        </w:tc>
      </w:tr>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Rémunération et remboursement de frais</w:t>
            </w:r>
          </w:p>
        </w:tc>
      </w:tr>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Annexe VII - Règles relatives à la rémunération et aux remboursements de frais</w:t>
            </w:r>
          </w:p>
        </w:tc>
      </w:tr>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9" w:after="0" w:line="240" w:lineRule="auto"/>
              <w:ind w:right="935"/>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Section 1 - Allocations familiales</w:t>
            </w:r>
          </w:p>
        </w:tc>
      </w:tr>
      <w:tr>
        <w:trPr>
          <w:trHeight w:hRule="exact" w:val="487"/>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16" w:after="0" w:line="240" w:lineRule="auto"/>
              <w:jc w:val="center"/>
              <w:rPr>
                <w:rFonts w:ascii="Times New Roman" w:eastAsia="Times New Roman" w:hAnsi="Times New Roman" w:cs="Times New Roman"/>
                <w:noProof/>
                <w:sz w:val="12"/>
                <w:szCs w:val="12"/>
                <w:lang w:val="da-DK"/>
              </w:rPr>
            </w:pPr>
            <w:r>
              <w:rPr>
                <w:rFonts w:ascii="Times New Roman" w:hAnsi="Times New Roman" w:cs="Times New Roman"/>
                <w:b/>
                <w:noProof/>
                <w:w w:val="105"/>
                <w:sz w:val="12"/>
                <w:lang w:val="da-DK"/>
              </w:rPr>
              <w:t>67 - 68 +</w:t>
            </w:r>
          </w:p>
          <w:p>
            <w:pPr>
              <w:widowControl w:val="0"/>
              <w:spacing w:before="18" w:after="0" w:line="271" w:lineRule="auto"/>
              <w:ind w:right="45"/>
              <w:jc w:val="center"/>
              <w:rPr>
                <w:rFonts w:ascii="Times New Roman" w:eastAsia="Times New Roman" w:hAnsi="Times New Roman" w:cs="Times New Roman"/>
                <w:noProof/>
                <w:sz w:val="12"/>
                <w:szCs w:val="12"/>
                <w:lang w:val="da-DK"/>
              </w:rPr>
            </w:pPr>
            <w:r>
              <w:rPr>
                <w:rFonts w:ascii="Times New Roman" w:hAnsi="Times New Roman" w:cs="Times New Roman"/>
                <w:b/>
                <w:noProof/>
                <w:spacing w:val="-2"/>
                <w:w w:val="105"/>
                <w:sz w:val="12"/>
                <w:lang w:val="da-DK"/>
              </w:rPr>
              <w:t>annexe VII [art. 1</w:t>
            </w:r>
            <w:r>
              <w:rPr>
                <w:rFonts w:ascii="Times New Roman" w:hAnsi="Times New Roman" w:cs="Times New Roman"/>
                <w:b/>
                <w:noProof/>
                <w:spacing w:val="-2"/>
                <w:w w:val="105"/>
                <w:sz w:val="12"/>
                <w:vertAlign w:val="superscript"/>
                <w:lang w:val="da-DK"/>
              </w:rPr>
              <w:t>er</w:t>
            </w:r>
            <w:r>
              <w:rPr>
                <w:rFonts w:ascii="Times New Roman" w:hAnsi="Times New Roman" w:cs="Times New Roman"/>
                <w:b/>
                <w:noProof/>
                <w:spacing w:val="-2"/>
                <w:w w:val="105"/>
                <w:sz w:val="12"/>
                <w:lang w:val="da-DK"/>
              </w:rPr>
              <w:t xml:space="preserve"> (2) point d)]</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9" w:after="0" w:line="247" w:lineRule="auto"/>
              <w:ind w:right="221"/>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Allocation de foyer par décision spéciale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1" w:after="0" w:line="271" w:lineRule="auto"/>
              <w:ind w:right="96"/>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à l'allocation de foyer par décision spéciale</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87"/>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19"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 1</w:t>
            </w:r>
            <w:r>
              <w:rPr>
                <w:rFonts w:ascii="Times New Roman" w:hAnsi="Times New Roman" w:cs="Times New Roman"/>
                <w:b/>
                <w:noProof/>
                <w:spacing w:val="-2"/>
                <w:w w:val="105"/>
                <w:sz w:val="12"/>
                <w:vertAlign w:val="superscript"/>
              </w:rPr>
              <w:t>er</w:t>
            </w:r>
            <w:r>
              <w:rPr>
                <w:rFonts w:ascii="Times New Roman" w:hAnsi="Times New Roman" w:cs="Times New Roman"/>
                <w:b/>
                <w:noProof/>
                <w:spacing w:val="-2"/>
                <w:w w:val="105"/>
                <w:sz w:val="12"/>
              </w:rPr>
              <w:t>)</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3"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w w:val="105"/>
                <w:sz w:val="16"/>
              </w:rPr>
              <w:t>Allocations familiales</w:t>
            </w:r>
          </w:p>
        </w:tc>
        <w:tc>
          <w:tcPr>
            <w:tcW w:w="3230"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3" w:after="0" w:line="271" w:lineRule="auto"/>
              <w:ind w:right="38"/>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des articles 67 et 68 du statut et des articles 1</w:t>
            </w:r>
            <w:r>
              <w:rPr>
                <w:rFonts w:ascii="Times New Roman" w:hAnsi="Times New Roman" w:cs="Times New Roman"/>
                <w:noProof/>
                <w:w w:val="105"/>
                <w:sz w:val="12"/>
                <w:vertAlign w:val="superscript"/>
              </w:rPr>
              <w:t>er</w:t>
            </w:r>
            <w:r>
              <w:rPr>
                <w:rFonts w:ascii="Times New Roman" w:hAnsi="Times New Roman" w:cs="Times New Roman"/>
                <w:noProof/>
                <w:w w:val="105"/>
                <w:sz w:val="12"/>
              </w:rPr>
              <w:t>,2, et 3, de l'annexe VII concernant le paiement des allocations familiales</w:t>
            </w:r>
          </w:p>
        </w:tc>
        <w:tc>
          <w:tcPr>
            <w:tcW w:w="1409"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p>
          <w:p>
            <w:pPr>
              <w:widowControl w:val="0"/>
              <w:spacing w:before="9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vMerge w:val="restart"/>
            <w:tcBorders>
              <w:top w:val="single" w:sz="3"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vMerge w:val="restart"/>
            <w:tcBorders>
              <w:top w:val="single" w:sz="3"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3"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03"/>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after="0" w:line="111" w:lineRule="exact"/>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6" w:after="0" w:line="150" w:lineRule="atLeast"/>
              <w:ind w:right="10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 2)</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6"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Allocation pour enfant à charge</w:t>
            </w:r>
          </w:p>
        </w:tc>
        <w:tc>
          <w:tcPr>
            <w:tcW w:w="3230"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1409"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1800"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587"/>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 2 (4)]</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38"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Personnes assimilées à un enfant à charge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de l’article 2, paragraphe 4, de l’annexe VII</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11"/>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31"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67 - 68 +</w:t>
            </w:r>
          </w:p>
          <w:p>
            <w:pPr>
              <w:widowControl w:val="0"/>
              <w:spacing w:before="18" w:after="0" w:line="271" w:lineRule="auto"/>
              <w:ind w:right="10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annexe VII (art. 3)</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w w:val="95"/>
                <w:sz w:val="17"/>
              </w:rPr>
              <w:t>Allocation scolaire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5" w:after="0" w:line="271" w:lineRule="auto"/>
              <w:ind w:right="176"/>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à l'octroi de l'allocation scolaire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0"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Section 3 - Remboursement de frais</w:t>
            </w:r>
          </w:p>
        </w:tc>
      </w:tr>
      <w:tr>
        <w:trPr>
          <w:trHeight w:hRule="exact" w:val="389"/>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45" w:after="0" w:line="271" w:lineRule="auto"/>
              <w:ind w:right="16"/>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71 + annexe VII (art. 7 - 8)</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2"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Lieu d’origine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43" w:after="0" w:line="271" w:lineRule="auto"/>
              <w:ind w:right="175"/>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 lieu d'origine</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22"/>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64" w:after="0" w:line="271" w:lineRule="auto"/>
              <w:ind w:right="85"/>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71 + annexe VII (art. 8)</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1"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Frais de voyage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2" w:after="0" w:line="271" w:lineRule="auto"/>
              <w:ind w:right="53"/>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de l’article 8 de l’annexe VII concernant le paiement des frais de voyage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21"/>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71" w:lineRule="auto"/>
              <w:ind w:right="85"/>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71 + annexe VII (art. 9)</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w w:val="105"/>
                <w:sz w:val="16"/>
              </w:rPr>
              <w:t>Frais de déménagement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9"/>
                <w:szCs w:val="9"/>
              </w:rPr>
            </w:pPr>
          </w:p>
          <w:p>
            <w:pPr>
              <w:widowControl w:val="0"/>
              <w:spacing w:after="0" w:line="271" w:lineRule="auto"/>
              <w:ind w:right="363"/>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portant dispositions générales d’exécution relatives au remboursement des frais de déménagement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40"/>
        </w:trPr>
        <w:tc>
          <w:tcPr>
            <w:tcW w:w="779"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45" w:after="0" w:line="271" w:lineRule="auto"/>
              <w:ind w:right="62"/>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 xml:space="preserve">71 + annexe VII (art. 11 - 13 </w:t>
            </w:r>
            <w:r>
              <w:rPr>
                <w:rFonts w:ascii="Times New Roman" w:hAnsi="Times New Roman" w:cs="Times New Roman"/>
                <w:b/>
                <w:i/>
                <w:noProof/>
                <w:w w:val="105"/>
                <w:sz w:val="12"/>
              </w:rPr>
              <w:t>bis</w:t>
            </w:r>
            <w:r>
              <w:rPr>
                <w:rFonts w:ascii="Times New Roman" w:hAnsi="Times New Roman" w:cs="Times New Roman"/>
                <w:b/>
                <w:noProof/>
                <w:w w:val="105"/>
                <w:sz w:val="12"/>
              </w:rPr>
              <w:t>)</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3"/>
                <w:sz w:val="17"/>
              </w:rPr>
              <w:t>Frais de mission et de déplacement</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interne relative au guide des missions</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1.7.2008</w:t>
            </w:r>
          </w:p>
        </w:tc>
        <w:tc>
          <w:tcPr>
            <w:tcW w:w="180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before="90"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44" w:after="0" w:line="240" w:lineRule="auto"/>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VI - Du régime disciplinaire</w:t>
            </w:r>
          </w:p>
        </w:tc>
      </w:tr>
      <w:tr>
        <w:trPr>
          <w:trHeight w:hRule="exact" w:val="389"/>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45" w:after="0" w:line="271" w:lineRule="auto"/>
              <w:ind w:right="79"/>
              <w:jc w:val="center"/>
              <w:rPr>
                <w:rFonts w:ascii="Times New Roman" w:eastAsia="Times New Roman" w:hAnsi="Times New Roman" w:cs="Times New Roman"/>
                <w:noProof/>
                <w:sz w:val="12"/>
                <w:szCs w:val="12"/>
              </w:rPr>
            </w:pPr>
            <w:r>
              <w:rPr>
                <w:rFonts w:ascii="Times New Roman" w:hAnsi="Times New Roman" w:cs="Times New Roman"/>
                <w:b/>
                <w:noProof/>
                <w:w w:val="105"/>
                <w:sz w:val="12"/>
              </w:rPr>
              <w:t>86 + annexe IX</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58" w:lineRule="auto"/>
              <w:ind w:right="311"/>
              <w:jc w:val="center"/>
              <w:rPr>
                <w:rFonts w:ascii="Times New Roman" w:eastAsia="Times New Roman" w:hAnsi="Times New Roman" w:cs="Times New Roman"/>
                <w:noProof/>
                <w:sz w:val="16"/>
                <w:szCs w:val="16"/>
              </w:rPr>
            </w:pPr>
            <w:r>
              <w:rPr>
                <w:rFonts w:ascii="Times New Roman" w:hAnsi="Times New Roman" w:cs="Times New Roman"/>
                <w:b/>
                <w:noProof/>
                <w:spacing w:val="-1"/>
                <w:sz w:val="17"/>
              </w:rPr>
              <w:t>Procédures disciplinaires et enquêtes administratives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43" w:after="0" w:line="271" w:lineRule="auto"/>
              <w:ind w:right="56"/>
              <w:jc w:val="center"/>
              <w:rPr>
                <w:rFonts w:ascii="Times New Roman" w:eastAsia="Times New Roman" w:hAnsi="Times New Roman" w:cs="Times New Roman"/>
                <w:noProof/>
                <w:sz w:val="12"/>
                <w:szCs w:val="12"/>
              </w:rPr>
            </w:pPr>
            <w:r>
              <w:rPr>
                <w:rFonts w:ascii="Times New Roman" w:hAnsi="Times New Roman" w:cs="Times New Roman"/>
                <w:noProof/>
                <w:w w:val="105"/>
                <w:sz w:val="12"/>
              </w:rPr>
              <w:t>Dispositions générales d’exécution relatives aux procédures disciplinaires et aux enquêtes administratives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1.5.2004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rPr>
          <w:rFonts w:ascii="Times New Roman" w:eastAsia="Calibri" w:hAnsi="Times New Roman" w:cs="Times New Roman"/>
          <w:noProof/>
          <w:sz w:val="14"/>
          <w:szCs w:val="14"/>
        </w:rPr>
        <w:sectPr>
          <w:headerReference w:type="even" r:id="rId165"/>
          <w:headerReference w:type="default" r:id="rId166"/>
          <w:footerReference w:type="even" r:id="rId167"/>
          <w:footerReference w:type="default" r:id="rId168"/>
          <w:headerReference w:type="first" r:id="rId169"/>
          <w:footerReference w:type="first" r:id="rId170"/>
          <w:pgSz w:w="11900" w:h="16840" w:code="9"/>
          <w:pgMar w:top="1040" w:right="580" w:bottom="280" w:left="220" w:header="854" w:footer="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778"/>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139" w:after="0" w:line="240" w:lineRule="auto"/>
              <w:jc w:val="center"/>
              <w:rPr>
                <w:rFonts w:ascii="Times New Roman" w:eastAsia="Times New Roman" w:hAnsi="Times New Roman" w:cs="Times New Roman"/>
                <w:noProof/>
                <w:sz w:val="42"/>
                <w:szCs w:val="42"/>
              </w:rPr>
            </w:pPr>
            <w:r>
              <w:rPr>
                <w:rFonts w:ascii="Times New Roman" w:hAnsi="Times New Roman" w:cs="Times New Roman"/>
                <w:b/>
                <w:noProof/>
                <w:sz w:val="42"/>
              </w:rPr>
              <w:t>Régime applicable aux autres agents</w:t>
            </w:r>
          </w:p>
        </w:tc>
      </w:tr>
      <w:tr>
        <w:trPr>
          <w:trHeight w:hRule="exact" w:val="389"/>
        </w:trPr>
        <w:tc>
          <w:tcPr>
            <w:tcW w:w="779"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w w:val="105"/>
                <w:sz w:val="12"/>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0"/>
                <w:szCs w:val="10"/>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0"/>
                <w:szCs w:val="10"/>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pacing w:val="-3"/>
                <w:w w:val="105"/>
                <w:sz w:val="12"/>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Entrée en vigueur</w:t>
            </w:r>
          </w:p>
        </w:tc>
        <w:tc>
          <w:tcPr>
            <w:tcW w:w="180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7"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w w:val="105"/>
                <w:sz w:val="12"/>
              </w:rPr>
              <w:t>Date d’expiration</w:t>
            </w:r>
          </w:p>
        </w:tc>
        <w:tc>
          <w:tcPr>
            <w:tcW w:w="938"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5"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spacing w:val="-2"/>
                <w:w w:val="105"/>
                <w:sz w:val="12"/>
              </w:rPr>
              <w:t>Comptabilisation</w:t>
            </w:r>
          </w:p>
        </w:tc>
      </w:tr>
    </w:tbl>
    <w:p>
      <w:pPr>
        <w:widowControl w:val="0"/>
        <w:spacing w:after="0" w:line="240" w:lineRule="auto"/>
        <w:jc w:val="center"/>
        <w:rPr>
          <w:rFonts w:ascii="Times New Roman" w:eastAsia="Times New Roman" w:hAnsi="Times New Roman" w:cs="Times New Roman"/>
          <w:noProof/>
          <w:sz w:val="24"/>
          <w:szCs w:val="24"/>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4" w:after="0" w:line="240" w:lineRule="auto"/>
              <w:ind w:right="941"/>
              <w:jc w:val="center"/>
              <w:rPr>
                <w:rFonts w:ascii="Times New Roman" w:eastAsia="Times New Roman" w:hAnsi="Times New Roman" w:cs="Times New Roman"/>
                <w:noProof/>
                <w:sz w:val="25"/>
                <w:szCs w:val="25"/>
              </w:rPr>
            </w:pPr>
            <w:r>
              <w:rPr>
                <w:rFonts w:ascii="Times New Roman" w:hAnsi="Times New Roman" w:cs="Times New Roman"/>
                <w:b/>
                <w:noProof/>
                <w:spacing w:val="-1"/>
                <w:sz w:val="25"/>
              </w:rPr>
              <w:t>Titre IV - Agents contractuels</w:t>
            </w:r>
          </w:p>
        </w:tc>
      </w:tr>
      <w:tr>
        <w:trPr>
          <w:trHeight w:hRule="exact" w:val="389"/>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81" w:after="0" w:line="240" w:lineRule="auto"/>
              <w:ind w:right="938"/>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1 - Dispositions générales</w:t>
            </w:r>
          </w:p>
        </w:tc>
      </w:tr>
      <w:tr>
        <w:trPr>
          <w:trHeight w:hRule="exact" w:val="389"/>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79 (2)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01"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w w:val="105"/>
                <w:sz w:val="16"/>
              </w:rPr>
              <w:t>Recours aux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relative aux procédures d’engagement des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779"/>
        <w:gridCol w:w="2722"/>
        <w:gridCol w:w="3230"/>
        <w:gridCol w:w="1409"/>
        <w:gridCol w:w="1800"/>
        <w:gridCol w:w="938"/>
      </w:tblGrid>
      <w:tr>
        <w:trPr>
          <w:trHeight w:hRule="exact" w:val="497"/>
        </w:trPr>
        <w:tc>
          <w:tcPr>
            <w:tcW w:w="10878"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133"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w w:val="105"/>
                <w:sz w:val="19"/>
              </w:rPr>
              <w:t>Chapitre 3 - Conditions d'engagement</w:t>
            </w:r>
          </w:p>
        </w:tc>
      </w:tr>
      <w:tr>
        <w:trPr>
          <w:trHeight w:hRule="exact" w:val="389"/>
        </w:trPr>
        <w:tc>
          <w:tcPr>
            <w:tcW w:w="779"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1" w:after="0" w:line="250" w:lineRule="auto"/>
              <w:ind w:right="354"/>
              <w:jc w:val="center"/>
              <w:rPr>
                <w:rFonts w:ascii="Times New Roman" w:eastAsia="Times New Roman" w:hAnsi="Times New Roman" w:cs="Times New Roman"/>
                <w:noProof/>
                <w:sz w:val="17"/>
                <w:szCs w:val="17"/>
              </w:rPr>
            </w:pPr>
            <w:r>
              <w:rPr>
                <w:rFonts w:ascii="Times New Roman" w:hAnsi="Times New Roman" w:cs="Times New Roman"/>
                <w:b/>
                <w:noProof/>
                <w:spacing w:val="-2"/>
                <w:w w:val="105"/>
                <w:sz w:val="16"/>
              </w:rPr>
              <w:t>Procédures de recrutement des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relative aux procédures d’engagement des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389"/>
        </w:trPr>
        <w:tc>
          <w:tcPr>
            <w:tcW w:w="779"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10" w:after="0" w:line="240" w:lineRule="auto"/>
              <w:jc w:val="center"/>
              <w:rPr>
                <w:rFonts w:ascii="Times New Roman" w:eastAsia="Times New Roman" w:hAnsi="Times New Roman" w:cs="Times New Roman"/>
                <w:noProof/>
                <w:sz w:val="10"/>
                <w:szCs w:val="10"/>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w w:val="105"/>
                <w:sz w:val="12"/>
              </w:rPr>
              <w:t>86</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94" w:after="0" w:line="240" w:lineRule="auto"/>
              <w:jc w:val="center"/>
              <w:rPr>
                <w:rFonts w:ascii="Times New Roman" w:eastAsia="Times New Roman" w:hAnsi="Times New Roman" w:cs="Times New Roman"/>
                <w:noProof/>
                <w:sz w:val="17"/>
                <w:szCs w:val="17"/>
              </w:rPr>
            </w:pPr>
            <w:r>
              <w:rPr>
                <w:rFonts w:ascii="Times New Roman" w:hAnsi="Times New Roman" w:cs="Times New Roman"/>
                <w:b/>
                <w:noProof/>
                <w:spacing w:val="-1"/>
                <w:sz w:val="17"/>
              </w:rPr>
              <w:t>Grades au 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Décision relative aux procédures d’engagement des agents contractuels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w w:val="105"/>
                <w:sz w:val="12"/>
              </w:rPr>
              <w:t>1.1.2014</w:t>
            </w:r>
          </w:p>
        </w:tc>
        <w:tc>
          <w:tcPr>
            <w:tcW w:w="180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38"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bl>
    <w:p>
      <w:pPr>
        <w:jc w:val="center"/>
        <w:rPr>
          <w:rFonts w:ascii="Times New Roman" w:eastAsia="Times New Roman" w:hAnsi="Times New Roman" w:cs="Times New Roman"/>
          <w:b/>
          <w:bCs/>
          <w:noProof/>
          <w:sz w:val="20"/>
          <w:szCs w:val="20"/>
        </w:rPr>
      </w:pPr>
    </w:p>
    <w:p>
      <w:pPr>
        <w:rPr>
          <w:rFonts w:ascii="Times New Roman" w:hAnsi="Times New Roman" w:cs="Times New Roman"/>
          <w:noProof/>
        </w:rPr>
      </w:pPr>
      <w:r>
        <w:rPr>
          <w:rFonts w:ascii="Times New Roman" w:hAnsi="Times New Roman" w:cs="Times New Roman"/>
          <w:noProof/>
        </w:rPr>
        <w:br w:type="page"/>
      </w: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635"/>
        <w:gridCol w:w="964"/>
      </w:tblGrid>
      <w:tr>
        <w:trPr>
          <w:trHeight w:hRule="exact" w:val="504"/>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after="0" w:line="492" w:lineRule="exact"/>
              <w:jc w:val="center"/>
              <w:rPr>
                <w:rFonts w:ascii="Times New Roman" w:eastAsia="Times New Roman" w:hAnsi="Times New Roman" w:cs="Times New Roman"/>
                <w:noProof/>
                <w:sz w:val="49"/>
                <w:szCs w:val="49"/>
              </w:rPr>
            </w:pPr>
            <w:r>
              <w:rPr>
                <w:rFonts w:ascii="Times New Roman" w:hAnsi="Times New Roman" w:cs="Times New Roman"/>
                <w:b/>
                <w:noProof/>
                <w:spacing w:val="-1"/>
                <w:sz w:val="49"/>
              </w:rPr>
              <w:t>Contrôleur européen de la protection des données</w:t>
            </w:r>
          </w:p>
        </w:tc>
      </w:tr>
      <w:tr>
        <w:trPr>
          <w:trHeight w:hRule="exact" w:val="864"/>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B8CCE4"/>
          </w:tcPr>
          <w:p>
            <w:pPr>
              <w:widowControl w:val="0"/>
              <w:spacing w:before="72" w:after="0" w:line="240" w:lineRule="auto"/>
              <w:ind w:right="798"/>
              <w:jc w:val="center"/>
              <w:rPr>
                <w:rFonts w:ascii="Times New Roman" w:eastAsia="Times New Roman" w:hAnsi="Times New Roman" w:cs="Times New Roman"/>
                <w:noProof/>
                <w:sz w:val="41"/>
                <w:szCs w:val="41"/>
              </w:rPr>
            </w:pPr>
            <w:r>
              <w:rPr>
                <w:rFonts w:ascii="Times New Roman" w:hAnsi="Times New Roman" w:cs="Times New Roman"/>
                <w:b/>
                <w:noProof/>
                <w:sz w:val="41"/>
              </w:rPr>
              <w:t>Statut</w:t>
            </w:r>
          </w:p>
          <w:p>
            <w:pPr>
              <w:widowControl w:val="0"/>
              <w:spacing w:before="14" w:after="0" w:line="240" w:lineRule="auto"/>
              <w:ind w:right="799"/>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(applicable par analogie aux autres agents lorsque le RAA le prévoit expressément)</w:t>
            </w:r>
          </w:p>
        </w:tc>
      </w:tr>
      <w:tr>
        <w:trPr>
          <w:trHeight w:hRule="exact" w:val="379"/>
        </w:trPr>
        <w:tc>
          <w:tcPr>
            <w:tcW w:w="1232" w:type="dxa"/>
            <w:tcBorders>
              <w:top w:val="single" w:sz="5" w:space="0" w:color="000000"/>
              <w:left w:val="single" w:sz="4" w:space="0" w:color="000000"/>
              <w:bottom w:val="single" w:sz="3" w:space="0" w:color="000000"/>
              <w:right w:val="single" w:sz="3" w:space="0" w:color="000000"/>
            </w:tcBorders>
            <w:shd w:val="clear" w:color="auto" w:fill="DAEEF3"/>
          </w:tcPr>
          <w:p>
            <w:pPr>
              <w:widowControl w:val="0"/>
              <w:spacing w:before="2" w:after="0" w:line="240" w:lineRule="auto"/>
              <w:rPr>
                <w:rFonts w:ascii="Times New Roman" w:eastAsia="Times New Roman" w:hAnsi="Times New Roman" w:cs="Times New Roman"/>
                <w:noProof/>
                <w:sz w:val="10"/>
                <w:szCs w:val="10"/>
              </w:rPr>
            </w:pPr>
          </w:p>
          <w:p>
            <w:pPr>
              <w:widowControl w:val="0"/>
              <w:spacing w:after="0" w:line="240" w:lineRule="auto"/>
              <w:ind w:right="3"/>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2" w:after="0" w:line="240" w:lineRule="auto"/>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2" w:after="0" w:line="240" w:lineRule="auto"/>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2"/>
                <w:sz w:val="12"/>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2"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spacing w:val="-1"/>
                <w:sz w:val="12"/>
              </w:rPr>
              <w:t>Entrée en vigueur</w:t>
            </w:r>
          </w:p>
        </w:tc>
        <w:tc>
          <w:tcPr>
            <w:tcW w:w="1635"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2"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sz w:val="12"/>
              </w:rPr>
              <w:t>Date d’expiration</w:t>
            </w:r>
          </w:p>
        </w:tc>
        <w:tc>
          <w:tcPr>
            <w:tcW w:w="964"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1" w:after="0" w:line="240" w:lineRule="auto"/>
              <w:rPr>
                <w:rFonts w:ascii="Times New Roman" w:eastAsia="Times New Roman" w:hAnsi="Times New Roman" w:cs="Times New Roman"/>
                <w:noProof/>
                <w:sz w:val="9"/>
                <w:szCs w:val="9"/>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eastAsia="Times New Roman" w:hAnsi="Times New Roman" w:cs="Times New Roman"/>
          <w:noProof/>
          <w:sz w:val="26"/>
          <w:szCs w:val="26"/>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635"/>
        <w:gridCol w:w="964"/>
      </w:tblGrid>
      <w:tr>
        <w:trPr>
          <w:trHeight w:hRule="exact" w:val="379"/>
        </w:trPr>
        <w:tc>
          <w:tcPr>
            <w:tcW w:w="11192"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46" w:after="0" w:line="240" w:lineRule="auto"/>
              <w:ind w:right="797"/>
              <w:jc w:val="center"/>
              <w:rPr>
                <w:rFonts w:ascii="Times New Roman" w:eastAsia="Times New Roman" w:hAnsi="Times New Roman" w:cs="Times New Roman"/>
                <w:noProof/>
                <w:sz w:val="24"/>
                <w:szCs w:val="24"/>
              </w:rPr>
            </w:pPr>
            <w:r>
              <w:rPr>
                <w:rFonts w:ascii="Times New Roman" w:hAnsi="Times New Roman" w:cs="Times New Roman"/>
                <w:b/>
                <w:noProof/>
                <w:spacing w:val="-1"/>
                <w:sz w:val="24"/>
              </w:rPr>
              <w:t>Titre I - Dispositions générales</w:t>
            </w:r>
          </w:p>
        </w:tc>
      </w:tr>
      <w:tr>
        <w:trPr>
          <w:trHeight w:hRule="exact" w:val="350"/>
        </w:trPr>
        <w:tc>
          <w:tcPr>
            <w:tcW w:w="1232"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103"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z w:val="12"/>
              </w:rPr>
              <w:t>9</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80"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sz w:val="16"/>
              </w:rPr>
              <w:t>Comités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Décision relative à l'institution d’un comité du personnel</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8"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8.2.2006</w:t>
            </w:r>
          </w:p>
        </w:tc>
        <w:tc>
          <w:tcPr>
            <w:tcW w:w="1635"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64" w:type="dxa"/>
            <w:tcBorders>
              <w:top w:val="single" w:sz="5"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5"/>
          <w:szCs w:val="25"/>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635"/>
        <w:gridCol w:w="964"/>
      </w:tblGrid>
      <w:tr>
        <w:trPr>
          <w:trHeight w:hRule="exact" w:val="379"/>
        </w:trPr>
        <w:tc>
          <w:tcPr>
            <w:tcW w:w="11192"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46" w:after="0" w:line="240" w:lineRule="auto"/>
              <w:jc w:val="center"/>
              <w:rPr>
                <w:rFonts w:ascii="Times New Roman" w:eastAsia="Times New Roman" w:hAnsi="Times New Roman" w:cs="Times New Roman"/>
                <w:noProof/>
                <w:sz w:val="24"/>
                <w:szCs w:val="24"/>
              </w:rPr>
            </w:pPr>
            <w:r>
              <w:rPr>
                <w:rFonts w:ascii="Times New Roman" w:hAnsi="Times New Roman" w:cs="Times New Roman"/>
                <w:b/>
                <w:noProof/>
                <w:sz w:val="24"/>
              </w:rPr>
              <w:t>Titre II - Droits et obligations du fonctionnaire</w:t>
            </w:r>
          </w:p>
        </w:tc>
      </w:tr>
      <w:tr>
        <w:trPr>
          <w:trHeight w:hRule="exact" w:val="379"/>
        </w:trPr>
        <w:tc>
          <w:tcPr>
            <w:tcW w:w="1232"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12 </w:t>
            </w:r>
            <w:r>
              <w:rPr>
                <w:rFonts w:ascii="Times New Roman" w:hAnsi="Times New Roman" w:cs="Times New Roman"/>
                <w:b/>
                <w:i/>
                <w:noProof/>
                <w:sz w:val="12"/>
              </w:rPr>
              <w:t>ter</w:t>
            </w:r>
            <w:r>
              <w:rPr>
                <w:rFonts w:ascii="Times New Roman" w:hAnsi="Times New Roman" w:cs="Times New Roman"/>
                <w:b/>
                <w:noProof/>
                <w:sz w:val="12"/>
              </w:rPr>
              <w:t xml:space="preserve"> - 16 - 17</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4"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Activités extérieures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Décision relative aux activités extérieures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35"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64" w:type="dxa"/>
            <w:tcBorders>
              <w:top w:val="single" w:sz="5"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269"/>
        </w:trPr>
        <w:tc>
          <w:tcPr>
            <w:tcW w:w="1232"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64" w:after="0" w:line="240" w:lineRule="auto"/>
              <w:ind w:right="3"/>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22 </w:t>
            </w:r>
            <w:r>
              <w:rPr>
                <w:rFonts w:ascii="Times New Roman" w:hAnsi="Times New Roman" w:cs="Times New Roman"/>
                <w:b/>
                <w:i/>
                <w:noProof/>
                <w:sz w:val="12"/>
              </w:rPr>
              <w:t>bis</w:t>
            </w:r>
            <w:r>
              <w:rPr>
                <w:rFonts w:ascii="Times New Roman" w:hAnsi="Times New Roman" w:cs="Times New Roman"/>
                <w:b/>
                <w:noProof/>
                <w:sz w:val="12"/>
              </w:rPr>
              <w:t xml:space="preserve"> - </w:t>
            </w:r>
            <w:r>
              <w:rPr>
                <w:rFonts w:ascii="Times New Roman" w:hAnsi="Times New Roman" w:cs="Times New Roman"/>
                <w:b/>
                <w:i/>
                <w:noProof/>
                <w:sz w:val="12"/>
              </w:rPr>
              <w:t>quater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1"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Dénonciation des dysfonctionnements</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Décision relative aux règles internes relatives aux lanceurs d’alerte</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14.6.2016</w:t>
            </w:r>
          </w:p>
        </w:tc>
        <w:tc>
          <w:tcPr>
            <w:tcW w:w="1635"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64" w:type="dxa"/>
            <w:tcBorders>
              <w:top w:val="single" w:sz="3" w:space="0" w:color="000000"/>
              <w:left w:val="single" w:sz="3" w:space="0" w:color="000000"/>
              <w:bottom w:val="single" w:sz="3" w:space="0" w:color="000000"/>
              <w:right w:val="single" w:sz="7"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5"/>
          <w:szCs w:val="25"/>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635"/>
        <w:gridCol w:w="964"/>
      </w:tblGrid>
      <w:tr>
        <w:trPr>
          <w:trHeight w:hRule="exact" w:val="26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after="0" w:line="257" w:lineRule="exact"/>
              <w:jc w:val="center"/>
              <w:rPr>
                <w:rFonts w:ascii="Times New Roman" w:eastAsia="Times New Roman" w:hAnsi="Times New Roman" w:cs="Times New Roman"/>
                <w:noProof/>
                <w:sz w:val="24"/>
                <w:szCs w:val="24"/>
              </w:rPr>
            </w:pPr>
            <w:r>
              <w:rPr>
                <w:rFonts w:ascii="Times New Roman" w:hAnsi="Times New Roman" w:cs="Times New Roman"/>
                <w:b/>
                <w:noProof/>
                <w:spacing w:val="-1"/>
                <w:sz w:val="24"/>
              </w:rPr>
              <w:t>Titre III - De la carrière du fonctionnaire</w:t>
            </w:r>
          </w:p>
        </w:tc>
      </w:tr>
      <w:tr>
        <w:trPr>
          <w:trHeight w:hRule="exact" w:val="26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8" w:after="0" w:line="240" w:lineRule="auto"/>
              <w:ind w:right="796"/>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Chapitre 1 - Recrutement</w:t>
            </w:r>
          </w:p>
        </w:tc>
      </w:tr>
      <w:tr>
        <w:trPr>
          <w:trHeight w:hRule="exact" w:val="532"/>
        </w:trPr>
        <w:tc>
          <w:tcPr>
            <w:tcW w:w="1232"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4"/>
                <w:szCs w:val="14"/>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27 - 34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sz w:val="16"/>
              </w:rPr>
              <w:t>Recrutement</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1" w:after="0" w:line="254" w:lineRule="auto"/>
              <w:ind w:right="141"/>
              <w:jc w:val="center"/>
              <w:rPr>
                <w:rFonts w:ascii="Times New Roman" w:eastAsia="Times New Roman" w:hAnsi="Times New Roman" w:cs="Times New Roman"/>
                <w:noProof/>
                <w:sz w:val="12"/>
                <w:szCs w:val="12"/>
              </w:rPr>
            </w:pPr>
            <w:r>
              <w:rPr>
                <w:rFonts w:ascii="Times New Roman" w:hAnsi="Times New Roman" w:cs="Times New Roman"/>
                <w:noProof/>
                <w:sz w:val="12"/>
              </w:rPr>
              <w:t>Décision n° 54 portant dispositions générales d’exécution relatives au classement en échelon lors du recrutement ou de l’engagement</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2"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35"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64"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5"/>
          <w:szCs w:val="25"/>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635"/>
        <w:gridCol w:w="964"/>
      </w:tblGrid>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3" w:after="0" w:line="240" w:lineRule="auto"/>
              <w:ind w:right="800"/>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Chapitre 2 - Positions</w:t>
            </w:r>
          </w:p>
        </w:tc>
      </w:tr>
      <w:tr>
        <w:trPr>
          <w:trHeight w:hRule="exact" w:val="26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37" w:after="0" w:line="240" w:lineRule="auto"/>
              <w:ind w:right="796"/>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Section 3 - Le congé de convenance personnelle</w:t>
            </w:r>
          </w:p>
        </w:tc>
      </w:tr>
      <w:tr>
        <w:trPr>
          <w:trHeight w:hRule="exact" w:val="496"/>
        </w:trPr>
        <w:tc>
          <w:tcPr>
            <w:tcW w:w="1232"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3" w:after="0" w:line="240" w:lineRule="auto"/>
              <w:jc w:val="center"/>
              <w:rPr>
                <w:rFonts w:ascii="Times New Roman" w:eastAsia="Times New Roman" w:hAnsi="Times New Roman" w:cs="Times New Roman"/>
                <w:noProof/>
                <w:sz w:val="11"/>
                <w:szCs w:val="11"/>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40</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6"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Congés de convenance personnelle</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2" w:after="0" w:line="254" w:lineRule="auto"/>
              <w:ind w:right="73"/>
              <w:jc w:val="center"/>
              <w:rPr>
                <w:rFonts w:ascii="Times New Roman" w:eastAsia="Times New Roman" w:hAnsi="Times New Roman" w:cs="Times New Roman"/>
                <w:noProof/>
                <w:sz w:val="12"/>
                <w:szCs w:val="12"/>
              </w:rPr>
            </w:pPr>
            <w:r>
              <w:rPr>
                <w:rFonts w:ascii="Times New Roman" w:hAnsi="Times New Roman" w:cs="Times New Roman"/>
                <w:noProof/>
                <w:sz w:val="12"/>
              </w:rPr>
              <w:t>Décision n° 50 relative aux mesures concernant le congé de convenance personnelle des fonctionnaires et le congé sans rémunération des agents temporaires et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0" w:after="0" w:line="240" w:lineRule="auto"/>
              <w:jc w:val="center"/>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35"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64" w:type="dxa"/>
            <w:tcBorders>
              <w:top w:val="single" w:sz="5" w:space="0" w:color="000000"/>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5"/>
          <w:szCs w:val="25"/>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635"/>
        <w:gridCol w:w="964"/>
      </w:tblGrid>
      <w:tr>
        <w:trPr>
          <w:trHeight w:hRule="exact" w:val="26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B7DEE8"/>
          </w:tcPr>
          <w:p>
            <w:pPr>
              <w:widowControl w:val="0"/>
              <w:spacing w:before="37" w:after="0" w:line="240" w:lineRule="auto"/>
              <w:ind w:right="798"/>
              <w:jc w:val="center"/>
              <w:rPr>
                <w:rFonts w:ascii="Times New Roman" w:eastAsia="Times New Roman" w:hAnsi="Times New Roman" w:cs="Times New Roman"/>
                <w:noProof/>
                <w:sz w:val="16"/>
                <w:szCs w:val="16"/>
              </w:rPr>
            </w:pPr>
            <w:r>
              <w:rPr>
                <w:rFonts w:ascii="Times New Roman" w:hAnsi="Times New Roman" w:cs="Times New Roman"/>
                <w:b/>
                <w:noProof/>
                <w:sz w:val="16"/>
              </w:rPr>
              <w:t>Section 6 - Congé parental ou familial</w:t>
            </w:r>
          </w:p>
        </w:tc>
      </w:tr>
      <w:tr>
        <w:trPr>
          <w:trHeight w:hRule="exact" w:val="269"/>
        </w:trPr>
        <w:tc>
          <w:tcPr>
            <w:tcW w:w="1232"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62"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42 </w:t>
            </w:r>
            <w:r>
              <w:rPr>
                <w:rFonts w:ascii="Times New Roman" w:hAnsi="Times New Roman" w:cs="Times New Roman"/>
                <w:b/>
                <w:i/>
                <w:noProof/>
                <w:sz w:val="12"/>
              </w:rPr>
              <w:t>bis</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Congé parental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123" w:lineRule="exact"/>
              <w:jc w:val="center"/>
              <w:rPr>
                <w:rFonts w:ascii="Times New Roman" w:eastAsia="Times New Roman" w:hAnsi="Times New Roman" w:cs="Times New Roman"/>
                <w:noProof/>
                <w:sz w:val="12"/>
                <w:szCs w:val="12"/>
              </w:rPr>
            </w:pPr>
            <w:r>
              <w:rPr>
                <w:rFonts w:ascii="Times New Roman" w:hAnsi="Times New Roman" w:cs="Times New Roman"/>
                <w:noProof/>
                <w:sz w:val="12"/>
              </w:rPr>
              <w:t>Dispositions générales d'exécution de l’article 42 </w:t>
            </w:r>
            <w:r>
              <w:rPr>
                <w:rFonts w:ascii="Times New Roman" w:hAnsi="Times New Roman" w:cs="Times New Roman"/>
                <w:i/>
                <w:noProof/>
                <w:sz w:val="12"/>
              </w:rPr>
              <w:t>bis</w:t>
            </w:r>
            <w:r>
              <w:rPr>
                <w:rFonts w:ascii="Times New Roman" w:hAnsi="Times New Roman" w:cs="Times New Roman"/>
                <w:noProof/>
                <w:sz w:val="12"/>
              </w:rPr>
              <w:t xml:space="preserve"> relatif au</w:t>
            </w:r>
          </w:p>
          <w:p>
            <w:pPr>
              <w:widowControl w:val="0"/>
              <w:spacing w:before="8" w:after="0" w:line="128" w:lineRule="exact"/>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congé parental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5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1.7.2005</w:t>
            </w:r>
          </w:p>
        </w:tc>
        <w:tc>
          <w:tcPr>
            <w:tcW w:w="1635"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64"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371"/>
        </w:trPr>
        <w:tc>
          <w:tcPr>
            <w:tcW w:w="1232" w:type="dxa"/>
            <w:tcBorders>
              <w:top w:val="single" w:sz="3" w:space="0" w:color="000000"/>
              <w:left w:val="single" w:sz="4" w:space="0" w:color="000000"/>
              <w:bottom w:val="single" w:sz="3" w:space="0" w:color="000000"/>
              <w:right w:val="single" w:sz="3" w:space="0" w:color="000000"/>
            </w:tcBorders>
            <w:shd w:val="clear" w:color="auto" w:fill="DA9694"/>
          </w:tcPr>
          <w:p>
            <w:pPr>
              <w:widowControl w:val="0"/>
              <w:spacing w:before="86"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42 </w:t>
            </w:r>
            <w:r>
              <w:rPr>
                <w:rFonts w:ascii="Times New Roman" w:hAnsi="Times New Roman" w:cs="Times New Roman"/>
                <w:b/>
                <w:i/>
                <w:noProof/>
                <w:sz w:val="12"/>
              </w:rPr>
              <w:t>ter</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63"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sz w:val="16"/>
              </w:rPr>
              <w:t>Congé familial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Décision n° 14 portant création des dispositions d’application en matière de congé familial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81"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1.5.2004</w:t>
            </w:r>
          </w:p>
        </w:tc>
        <w:tc>
          <w:tcPr>
            <w:tcW w:w="1635"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6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sz w:val="25"/>
          <w:szCs w:val="25"/>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635"/>
        <w:gridCol w:w="964"/>
      </w:tblGrid>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3"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Chapitre 3 - Notation, avancement d'échelon et promotion</w:t>
            </w:r>
          </w:p>
        </w:tc>
      </w:tr>
      <w:tr>
        <w:trPr>
          <w:trHeight w:hRule="exact" w:val="379"/>
        </w:trPr>
        <w:tc>
          <w:tcPr>
            <w:tcW w:w="1232" w:type="dxa"/>
            <w:vMerge w:val="restart"/>
            <w:tcBorders>
              <w:top w:val="single" w:sz="5" w:space="0" w:color="000000"/>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6" w:after="0" w:line="240" w:lineRule="auto"/>
              <w:jc w:val="center"/>
              <w:rPr>
                <w:rFonts w:ascii="Times New Roman" w:eastAsia="Times New Roman" w:hAnsi="Times New Roman" w:cs="Times New Roman"/>
                <w:noProof/>
                <w:sz w:val="14"/>
                <w:szCs w:val="14"/>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Art. 43</w:t>
            </w:r>
          </w:p>
        </w:tc>
        <w:tc>
          <w:tcPr>
            <w:tcW w:w="2722" w:type="dxa"/>
            <w:vMerge w:val="restart"/>
            <w:tcBorders>
              <w:top w:val="single" w:sz="5" w:space="0" w:color="000000"/>
              <w:left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97"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Rapport annuel</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Dispositions générales d'exécution de l'article 43</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30.3.2007</w:t>
            </w:r>
          </w:p>
        </w:tc>
        <w:tc>
          <w:tcPr>
            <w:tcW w:w="1635"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15.12.2014</w:t>
            </w:r>
          </w:p>
        </w:tc>
        <w:tc>
          <w:tcPr>
            <w:tcW w:w="964" w:type="dxa"/>
            <w:vMerge w:val="restart"/>
            <w:tcBorders>
              <w:top w:val="single" w:sz="5"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5"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379"/>
        </w:trPr>
        <w:tc>
          <w:tcPr>
            <w:tcW w:w="1232"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3" w:after="0" w:line="254" w:lineRule="auto"/>
              <w:ind w:right="83"/>
              <w:jc w:val="center"/>
              <w:rPr>
                <w:rFonts w:ascii="Times New Roman" w:eastAsia="Times New Roman" w:hAnsi="Times New Roman" w:cs="Times New Roman"/>
                <w:noProof/>
                <w:sz w:val="12"/>
                <w:szCs w:val="12"/>
              </w:rPr>
            </w:pPr>
            <w:r>
              <w:rPr>
                <w:rFonts w:ascii="Times New Roman" w:hAnsi="Times New Roman" w:cs="Times New Roman"/>
                <w:noProof/>
                <w:sz w:val="12"/>
              </w:rPr>
              <w:t>Décision n° 30-</w:t>
            </w:r>
            <w:r>
              <w:rPr>
                <w:rFonts w:ascii="Times New Roman" w:hAnsi="Times New Roman" w:cs="Times New Roman"/>
                <w:i/>
                <w:noProof/>
                <w:sz w:val="12"/>
              </w:rPr>
              <w:t>bis</w:t>
            </w:r>
            <w:r>
              <w:rPr>
                <w:rFonts w:ascii="Times New Roman" w:hAnsi="Times New Roman" w:cs="Times New Roman"/>
                <w:noProof/>
                <w:sz w:val="12"/>
              </w:rPr>
              <w:t xml:space="preserve"> portant création des dispositions générales d’exécution relatives à la notation du personnel</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15.12.2014</w:t>
            </w:r>
          </w:p>
        </w:tc>
        <w:tc>
          <w:tcPr>
            <w:tcW w:w="1635"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64"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tc>
      </w:tr>
      <w:tr>
        <w:trPr>
          <w:trHeight w:hRule="exact" w:val="442"/>
        </w:trPr>
        <w:tc>
          <w:tcPr>
            <w:tcW w:w="1232"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1"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45</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28"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Promotions</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4" w:after="0" w:line="254" w:lineRule="auto"/>
              <w:ind w:right="148"/>
              <w:jc w:val="center"/>
              <w:rPr>
                <w:rFonts w:ascii="Times New Roman" w:eastAsia="Times New Roman" w:hAnsi="Times New Roman" w:cs="Times New Roman"/>
                <w:noProof/>
                <w:sz w:val="12"/>
                <w:szCs w:val="12"/>
              </w:rPr>
            </w:pPr>
            <w:r>
              <w:rPr>
                <w:rFonts w:ascii="Times New Roman" w:hAnsi="Times New Roman" w:cs="Times New Roman"/>
                <w:noProof/>
                <w:sz w:val="12"/>
              </w:rPr>
              <w:t>Décision n° 38-</w:t>
            </w:r>
            <w:r>
              <w:rPr>
                <w:rFonts w:ascii="Times New Roman" w:hAnsi="Times New Roman" w:cs="Times New Roman"/>
                <w:i/>
                <w:noProof/>
                <w:sz w:val="12"/>
              </w:rPr>
              <w:t>bis</w:t>
            </w:r>
            <w:r>
              <w:rPr>
                <w:rFonts w:ascii="Times New Roman" w:hAnsi="Times New Roman" w:cs="Times New Roman"/>
                <w:noProof/>
                <w:sz w:val="12"/>
              </w:rPr>
              <w:t xml:space="preserve"> portant création des dispositions générales d’exécution relatives aux promotions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14.5.2014</w:t>
            </w:r>
          </w:p>
        </w:tc>
        <w:tc>
          <w:tcPr>
            <w:tcW w:w="1635"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64"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42"/>
        </w:trPr>
        <w:tc>
          <w:tcPr>
            <w:tcW w:w="1232" w:type="dxa"/>
            <w:vMerge w:val="restart"/>
            <w:tcBorders>
              <w:top w:val="single" w:sz="3" w:space="0" w:color="000000"/>
              <w:left w:val="single" w:sz="4"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Art. 45</w:t>
            </w:r>
            <w:r>
              <w:rPr>
                <w:rFonts w:ascii="Times New Roman" w:hAnsi="Times New Roman" w:cs="Times New Roman"/>
                <w:b/>
                <w:i/>
                <w:noProof/>
                <w:spacing w:val="-1"/>
                <w:sz w:val="12"/>
              </w:rPr>
              <w:t xml:space="preserve"> bis</w:t>
            </w:r>
          </w:p>
        </w:tc>
        <w:tc>
          <w:tcPr>
            <w:tcW w:w="2722" w:type="dxa"/>
            <w:vMerge w:val="restart"/>
            <w:tcBorders>
              <w:top w:val="single" w:sz="3" w:space="0" w:color="000000"/>
              <w:left w:val="single" w:sz="3" w:space="0" w:color="000000"/>
              <w:right w:val="single" w:sz="3" w:space="0" w:color="000000"/>
            </w:tcBorders>
            <w:shd w:val="clear" w:color="auto" w:fill="FFFF65"/>
          </w:tcPr>
          <w:p>
            <w:pPr>
              <w:widowControl w:val="0"/>
              <w:spacing w:before="7" w:after="0" w:line="240" w:lineRule="auto"/>
              <w:jc w:val="center"/>
              <w:rPr>
                <w:rFonts w:ascii="Times New Roman" w:eastAsia="Times New Roman" w:hAnsi="Times New Roman" w:cs="Times New Roman"/>
                <w:noProof/>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Certification</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74" w:after="0" w:line="254" w:lineRule="auto"/>
              <w:ind w:right="90"/>
              <w:jc w:val="center"/>
              <w:rPr>
                <w:rFonts w:ascii="Times New Roman" w:eastAsia="Times New Roman" w:hAnsi="Times New Roman" w:cs="Times New Roman"/>
                <w:noProof/>
                <w:sz w:val="12"/>
                <w:szCs w:val="12"/>
              </w:rPr>
            </w:pPr>
            <w:r>
              <w:rPr>
                <w:rFonts w:ascii="Times New Roman" w:hAnsi="Times New Roman" w:cs="Times New Roman"/>
                <w:noProof/>
                <w:sz w:val="12"/>
              </w:rPr>
              <w:t>Dispositions générales d’exécution relatives à la procédure de certification</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16.2.2012</w:t>
            </w:r>
          </w:p>
        </w:tc>
        <w:tc>
          <w:tcPr>
            <w:tcW w:w="1635"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noProof/>
                <w:sz w:val="12"/>
                <w:szCs w:val="12"/>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15.12.2014</w:t>
            </w:r>
          </w:p>
        </w:tc>
        <w:tc>
          <w:tcPr>
            <w:tcW w:w="964" w:type="dxa"/>
            <w:vMerge w:val="restart"/>
            <w:tcBorders>
              <w:top w:val="single" w:sz="3" w:space="0" w:color="000000"/>
              <w:left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before="110"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47"/>
        </w:trPr>
        <w:tc>
          <w:tcPr>
            <w:tcW w:w="1232" w:type="dxa"/>
            <w:vMerge/>
            <w:tcBorders>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2722" w:type="dxa"/>
            <w:vMerge/>
            <w:tcBorders>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126" w:lineRule="exact"/>
              <w:jc w:val="center"/>
              <w:rPr>
                <w:rFonts w:ascii="Times New Roman" w:eastAsia="Times New Roman" w:hAnsi="Times New Roman" w:cs="Times New Roman"/>
                <w:noProof/>
                <w:sz w:val="12"/>
                <w:szCs w:val="12"/>
              </w:rPr>
            </w:pPr>
            <w:r>
              <w:rPr>
                <w:rFonts w:ascii="Times New Roman" w:hAnsi="Times New Roman" w:cs="Times New Roman"/>
                <w:noProof/>
                <w:sz w:val="12"/>
              </w:rPr>
              <w:t>Décision n° 43-</w:t>
            </w:r>
            <w:r>
              <w:rPr>
                <w:rFonts w:ascii="Times New Roman" w:hAnsi="Times New Roman" w:cs="Times New Roman"/>
                <w:i/>
                <w:noProof/>
                <w:sz w:val="12"/>
              </w:rPr>
              <w:t>ter</w:t>
            </w:r>
            <w:r>
              <w:rPr>
                <w:rFonts w:ascii="Times New Roman" w:hAnsi="Times New Roman" w:cs="Times New Roman"/>
                <w:noProof/>
                <w:sz w:val="12"/>
              </w:rPr>
              <w:t xml:space="preserve"> portant création des dispositions générales d'exécution</w:t>
            </w:r>
          </w:p>
          <w:p>
            <w:pPr>
              <w:widowControl w:val="0"/>
              <w:spacing w:before="8" w:after="0" w:line="128" w:lineRule="exact"/>
              <w:jc w:val="center"/>
              <w:rPr>
                <w:rFonts w:ascii="Times New Roman" w:eastAsia="Times New Roman" w:hAnsi="Times New Roman" w:cs="Times New Roman"/>
                <w:noProof/>
                <w:sz w:val="12"/>
                <w:szCs w:val="12"/>
              </w:rPr>
            </w:pPr>
            <w:r>
              <w:rPr>
                <w:rFonts w:ascii="Times New Roman" w:hAnsi="Times New Roman" w:cs="Times New Roman"/>
                <w:noProof/>
                <w:sz w:val="12"/>
              </w:rPr>
              <w:t xml:space="preserve">de l'article 45 </w:t>
            </w:r>
            <w:r>
              <w:rPr>
                <w:rFonts w:ascii="Times New Roman" w:hAnsi="Times New Roman" w:cs="Times New Roman"/>
                <w:i/>
                <w:noProof/>
                <w:sz w:val="12"/>
              </w:rPr>
              <w:t>bis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15.12.2014</w:t>
            </w:r>
          </w:p>
        </w:tc>
        <w:tc>
          <w:tcPr>
            <w:tcW w:w="1635"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64" w:type="dxa"/>
            <w:vMerge/>
            <w:tcBorders>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Times New Roman" w:hAnsi="Times New Roman" w:cs="Times New Roman"/>
          <w:noProof/>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635"/>
        <w:gridCol w:w="964"/>
      </w:tblGrid>
      <w:tr>
        <w:trPr>
          <w:trHeight w:hRule="exact" w:val="26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after="0" w:line="257" w:lineRule="exact"/>
              <w:jc w:val="center"/>
              <w:rPr>
                <w:rFonts w:ascii="Times New Roman" w:eastAsia="Times New Roman" w:hAnsi="Times New Roman" w:cs="Times New Roman"/>
                <w:noProof/>
                <w:sz w:val="24"/>
                <w:szCs w:val="24"/>
              </w:rPr>
            </w:pPr>
            <w:r>
              <w:rPr>
                <w:rFonts w:ascii="Times New Roman" w:hAnsi="Times New Roman" w:cs="Times New Roman"/>
                <w:b/>
                <w:noProof/>
                <w:spacing w:val="-1"/>
                <w:sz w:val="24"/>
              </w:rPr>
              <w:t>Titre IV - Des conditions de travail du fonctionnaire</w:t>
            </w:r>
          </w:p>
        </w:tc>
      </w:tr>
      <w:tr>
        <w:trPr>
          <w:trHeight w:hRule="exact" w:val="26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8" w:after="0" w:line="240" w:lineRule="auto"/>
              <w:ind w:right="795"/>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Chapitre 1 - Durée du travail</w:t>
            </w:r>
          </w:p>
        </w:tc>
      </w:tr>
      <w:tr>
        <w:trPr>
          <w:trHeight w:hRule="exact" w:val="269"/>
        </w:trPr>
        <w:tc>
          <w:tcPr>
            <w:tcW w:w="1232"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62"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55</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3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2"/>
                <w:sz w:val="16"/>
              </w:rPr>
              <w:t>Temps de travail</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Décision relative au temps de travail</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7"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35"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64"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269"/>
        </w:trPr>
        <w:tc>
          <w:tcPr>
            <w:tcW w:w="1232" w:type="dxa"/>
            <w:vMerge w:val="restart"/>
            <w:tcBorders>
              <w:top w:val="single" w:sz="3" w:space="0" w:color="000000"/>
              <w:left w:val="single" w:sz="4" w:space="0" w:color="000000"/>
              <w:right w:val="single" w:sz="3" w:space="0" w:color="000000"/>
            </w:tcBorders>
            <w:shd w:val="clear" w:color="auto" w:fill="DA9694"/>
          </w:tcPr>
          <w:p>
            <w:pPr>
              <w:widowControl w:val="0"/>
              <w:spacing w:before="1" w:after="0" w:line="240" w:lineRule="auto"/>
              <w:jc w:val="center"/>
              <w:rPr>
                <w:rFonts w:ascii="Times New Roman" w:eastAsia="Times New Roman" w:hAnsi="Times New Roman" w:cs="Times New Roman"/>
                <w:noProof/>
                <w:sz w:val="17"/>
                <w:szCs w:val="17"/>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 xml:space="preserve">55 </w:t>
            </w:r>
            <w:r>
              <w:rPr>
                <w:rFonts w:ascii="Times New Roman" w:hAnsi="Times New Roman" w:cs="Times New Roman"/>
                <w:b/>
                <w:i/>
                <w:noProof/>
                <w:sz w:val="12"/>
              </w:rPr>
              <w:t>bis</w:t>
            </w:r>
            <w:r>
              <w:rPr>
                <w:rFonts w:ascii="Times New Roman" w:hAnsi="Times New Roman" w:cs="Times New Roman"/>
                <w:b/>
                <w:noProof/>
                <w:sz w:val="12"/>
              </w:rPr>
              <w:t xml:space="preserve"> + annexe IV </w:t>
            </w:r>
            <w:r>
              <w:rPr>
                <w:rFonts w:ascii="Times New Roman" w:hAnsi="Times New Roman" w:cs="Times New Roman"/>
                <w:b/>
                <w:i/>
                <w:noProof/>
                <w:sz w:val="12"/>
              </w:rPr>
              <w:t>bis</w:t>
            </w: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1"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Travail à temps partiel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Décision n° 10 relative aux règles sur le travail à temps partiel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1.5.2004</w:t>
            </w:r>
          </w:p>
        </w:tc>
        <w:tc>
          <w:tcPr>
            <w:tcW w:w="1635"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6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269"/>
        </w:trPr>
        <w:tc>
          <w:tcPr>
            <w:tcW w:w="1232"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2722"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41"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Télétravail</w:t>
            </w:r>
          </w:p>
        </w:tc>
        <w:tc>
          <w:tcPr>
            <w:tcW w:w="3230"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Décision relative au télétravail</w:t>
            </w:r>
          </w:p>
        </w:tc>
        <w:tc>
          <w:tcPr>
            <w:tcW w:w="1409"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before="59"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18.12.2014</w:t>
            </w:r>
          </w:p>
        </w:tc>
        <w:tc>
          <w:tcPr>
            <w:tcW w:w="1635" w:type="dxa"/>
            <w:tcBorders>
              <w:top w:val="single" w:sz="3"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64" w:type="dxa"/>
            <w:tcBorders>
              <w:top w:val="single" w:sz="3"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26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18" w:after="0" w:line="240" w:lineRule="auto"/>
              <w:ind w:right="796"/>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Chapitre 2 - Congés</w:t>
            </w:r>
          </w:p>
        </w:tc>
      </w:tr>
      <w:tr>
        <w:trPr>
          <w:trHeight w:hRule="exact" w:val="269"/>
        </w:trPr>
        <w:tc>
          <w:tcPr>
            <w:tcW w:w="1232" w:type="dxa"/>
            <w:tcBorders>
              <w:top w:val="single" w:sz="5" w:space="0" w:color="000000"/>
              <w:left w:val="single" w:sz="4" w:space="0" w:color="000000"/>
              <w:bottom w:val="single" w:sz="4" w:space="0" w:color="000000"/>
              <w:right w:val="single" w:sz="3" w:space="0" w:color="000000"/>
            </w:tcBorders>
            <w:shd w:val="clear" w:color="auto" w:fill="DA9694"/>
          </w:tcPr>
          <w:p>
            <w:pPr>
              <w:widowControl w:val="0"/>
              <w:spacing w:before="62"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57 + annexe V</w:t>
            </w:r>
          </w:p>
        </w:tc>
        <w:tc>
          <w:tcPr>
            <w:tcW w:w="2722" w:type="dxa"/>
            <w:tcBorders>
              <w:top w:val="single" w:sz="5" w:space="0" w:color="000000"/>
              <w:left w:val="single" w:sz="3" w:space="0" w:color="000000"/>
              <w:bottom w:val="single" w:sz="4" w:space="0" w:color="000000"/>
              <w:right w:val="single" w:sz="4" w:space="0" w:color="000000"/>
            </w:tcBorders>
            <w:shd w:val="clear" w:color="auto" w:fill="DA9694"/>
          </w:tcPr>
          <w:p>
            <w:pPr>
              <w:widowControl w:val="0"/>
              <w:spacing w:before="39"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Congés annuels et congés spéciaux</w:t>
            </w:r>
          </w:p>
        </w:tc>
        <w:tc>
          <w:tcPr>
            <w:tcW w:w="3230" w:type="dxa"/>
            <w:vMerge w:val="restart"/>
            <w:tcBorders>
              <w:top w:val="single" w:sz="6" w:space="0" w:color="000000"/>
              <w:left w:val="single" w:sz="4" w:space="0" w:color="000000"/>
              <w:bottom w:val="single" w:sz="4" w:space="0" w:color="auto"/>
              <w:right w:val="single" w:sz="4"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noProof/>
                <w:sz w:val="12"/>
              </w:rPr>
              <w:t>Décision relative aux congés</w:t>
            </w:r>
          </w:p>
        </w:tc>
        <w:tc>
          <w:tcPr>
            <w:tcW w:w="1409" w:type="dxa"/>
            <w:vMerge w:val="restart"/>
            <w:tcBorders>
              <w:top w:val="single" w:sz="6" w:space="0" w:color="000000"/>
              <w:left w:val="single" w:sz="4" w:space="0" w:color="000000"/>
              <w:bottom w:val="single" w:sz="4" w:space="0" w:color="auto"/>
              <w:right w:val="single" w:sz="4" w:space="0" w:color="000000"/>
            </w:tcBorders>
            <w:shd w:val="clear" w:color="auto" w:fill="DA9694"/>
          </w:tcPr>
          <w:p>
            <w:pPr>
              <w:widowControl w:val="0"/>
              <w:spacing w:before="5" w:after="0" w:line="240" w:lineRule="auto"/>
              <w:jc w:val="center"/>
              <w:rPr>
                <w:rFonts w:ascii="Times New Roman" w:eastAsia="Times New Roman" w:hAnsi="Times New Roman" w:cs="Times New Roman"/>
                <w:noProof/>
                <w:sz w:val="16"/>
                <w:szCs w:val="16"/>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800" w:type="dxa"/>
            <w:vMerge w:val="restart"/>
            <w:tcBorders>
              <w:top w:val="single" w:sz="5" w:space="0" w:color="000000"/>
              <w:left w:val="single" w:sz="4"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799" w:type="dxa"/>
            <w:vMerge w:val="restart"/>
            <w:tcBorders>
              <w:top w:val="single" w:sz="5" w:space="0" w:color="000000"/>
              <w:left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r>
        <w:trPr>
          <w:trHeight w:hRule="exact" w:val="271"/>
        </w:trPr>
        <w:tc>
          <w:tcPr>
            <w:tcW w:w="1232" w:type="dxa"/>
            <w:tcBorders>
              <w:top w:val="single" w:sz="4" w:space="0" w:color="000000"/>
              <w:left w:val="single" w:sz="4" w:space="0" w:color="000000"/>
              <w:bottom w:val="single" w:sz="4" w:space="0" w:color="auto"/>
              <w:right w:val="single" w:sz="4" w:space="0" w:color="000000"/>
            </w:tcBorders>
            <w:shd w:val="clear" w:color="auto" w:fill="DA9694"/>
          </w:tcPr>
          <w:p>
            <w:pPr>
              <w:widowControl w:val="0"/>
              <w:spacing w:before="64"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58</w:t>
            </w:r>
          </w:p>
        </w:tc>
        <w:tc>
          <w:tcPr>
            <w:tcW w:w="2722" w:type="dxa"/>
            <w:tcBorders>
              <w:top w:val="single" w:sz="4" w:space="0" w:color="000000"/>
              <w:left w:val="single" w:sz="4" w:space="0" w:color="000000"/>
              <w:bottom w:val="single" w:sz="4" w:space="0" w:color="auto"/>
              <w:right w:val="single" w:sz="4" w:space="0" w:color="000000"/>
            </w:tcBorders>
            <w:shd w:val="clear" w:color="auto" w:fill="DA9694"/>
          </w:tcPr>
          <w:p>
            <w:pPr>
              <w:widowControl w:val="0"/>
              <w:spacing w:before="41"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z w:val="16"/>
              </w:rPr>
              <w:t>Congé de maternité</w:t>
            </w:r>
          </w:p>
        </w:tc>
        <w:tc>
          <w:tcPr>
            <w:tcW w:w="3230" w:type="dxa"/>
            <w:vMerge/>
            <w:tcBorders>
              <w:left w:val="single" w:sz="4" w:space="0" w:color="000000"/>
              <w:bottom w:val="single" w:sz="4" w:space="0" w:color="auto"/>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1409" w:type="dxa"/>
            <w:vMerge/>
            <w:tcBorders>
              <w:left w:val="single" w:sz="4" w:space="0" w:color="000000"/>
              <w:bottom w:val="single" w:sz="4" w:space="0" w:color="auto"/>
              <w:right w:val="single" w:sz="4"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1800" w:type="dxa"/>
            <w:vMerge/>
            <w:tcBorders>
              <w:left w:val="single" w:sz="4"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799" w:type="dxa"/>
            <w:vMerge/>
            <w:tcBorders>
              <w:left w:val="single" w:sz="3" w:space="0" w:color="000000"/>
              <w:bottom w:val="single" w:sz="3" w:space="0" w:color="000000"/>
              <w:right w:val="single" w:sz="5"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r>
    </w:tbl>
    <w:p>
      <w:pPr>
        <w:widowControl w:val="0"/>
        <w:spacing w:after="0" w:line="240" w:lineRule="auto"/>
        <w:jc w:val="center"/>
        <w:rPr>
          <w:rFonts w:ascii="Times New Roman" w:eastAsia="Calibri" w:hAnsi="Times New Roman" w:cs="Times New Roman"/>
          <w:noProof/>
        </w:rPr>
        <w:sectPr>
          <w:headerReference w:type="even" r:id="rId171"/>
          <w:headerReference w:type="default" r:id="rId172"/>
          <w:footerReference w:type="even" r:id="rId173"/>
          <w:footerReference w:type="default" r:id="rId174"/>
          <w:headerReference w:type="first" r:id="rId175"/>
          <w:footerReference w:type="first" r:id="rId176"/>
          <w:pgSz w:w="11900" w:h="16840" w:code="9"/>
          <w:pgMar w:top="920" w:right="260" w:bottom="280" w:left="240" w:header="735" w:footer="720" w:gutter="0"/>
          <w:cols w:space="720"/>
        </w:sectPr>
      </w:pPr>
    </w:p>
    <w:tbl>
      <w:tblPr>
        <w:tblW w:w="0" w:type="auto"/>
        <w:tblInd w:w="97" w:type="dxa"/>
        <w:tblLayout w:type="fixed"/>
        <w:tblCellMar>
          <w:left w:w="0" w:type="dxa"/>
          <w:right w:w="0" w:type="dxa"/>
        </w:tblCellMar>
        <w:tblLook w:val="01E0" w:firstRow="1" w:lastRow="1" w:firstColumn="1" w:lastColumn="1" w:noHBand="0" w:noVBand="0"/>
      </w:tblPr>
      <w:tblGrid>
        <w:gridCol w:w="1234"/>
        <w:gridCol w:w="2722"/>
        <w:gridCol w:w="3230"/>
        <w:gridCol w:w="1409"/>
        <w:gridCol w:w="1632"/>
        <w:gridCol w:w="967"/>
      </w:tblGrid>
      <w:tr>
        <w:trPr>
          <w:trHeight w:hRule="exact" w:val="379"/>
        </w:trPr>
        <w:tc>
          <w:tcPr>
            <w:tcW w:w="1234"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2" w:after="0" w:line="240" w:lineRule="auto"/>
              <w:rPr>
                <w:rFonts w:ascii="Times New Roman" w:eastAsia="Times New Roman" w:hAnsi="Times New Roman" w:cs="Times New Roman"/>
                <w:noProof/>
                <w:sz w:val="10"/>
                <w:szCs w:val="10"/>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Article</w:t>
            </w:r>
          </w:p>
        </w:tc>
        <w:tc>
          <w:tcPr>
            <w:tcW w:w="272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2" w:after="0" w:line="240" w:lineRule="auto"/>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Objet</w:t>
            </w:r>
          </w:p>
        </w:tc>
        <w:tc>
          <w:tcPr>
            <w:tcW w:w="3230"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2" w:after="0" w:line="240" w:lineRule="auto"/>
              <w:rPr>
                <w:rFonts w:ascii="Times New Roman" w:eastAsia="Times New Roman" w:hAnsi="Times New Roman" w:cs="Times New Roman"/>
                <w:noProof/>
                <w:sz w:val="10"/>
                <w:szCs w:val="10"/>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2"/>
                <w:sz w:val="12"/>
              </w:rPr>
              <w:t>Règle d'exécution</w:t>
            </w:r>
          </w:p>
        </w:tc>
        <w:tc>
          <w:tcPr>
            <w:tcW w:w="1409"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2"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spacing w:val="-1"/>
                <w:sz w:val="12"/>
              </w:rPr>
              <w:t>Entrée en vigueur</w:t>
            </w:r>
          </w:p>
        </w:tc>
        <w:tc>
          <w:tcPr>
            <w:tcW w:w="1632" w:type="dxa"/>
            <w:tcBorders>
              <w:top w:val="single" w:sz="5" w:space="0" w:color="000000"/>
              <w:left w:val="single" w:sz="3" w:space="0" w:color="000000"/>
              <w:bottom w:val="single" w:sz="3" w:space="0" w:color="000000"/>
              <w:right w:val="single" w:sz="3" w:space="0" w:color="000000"/>
            </w:tcBorders>
            <w:shd w:val="clear" w:color="auto" w:fill="DAEEF3"/>
          </w:tcPr>
          <w:p>
            <w:pPr>
              <w:widowControl w:val="0"/>
              <w:spacing w:before="2" w:after="0" w:line="240" w:lineRule="auto"/>
              <w:rPr>
                <w:rFonts w:ascii="Times New Roman" w:eastAsia="Times New Roman" w:hAnsi="Times New Roman" w:cs="Times New Roman"/>
                <w:noProof/>
                <w:sz w:val="10"/>
                <w:szCs w:val="10"/>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sz w:val="12"/>
              </w:rPr>
              <w:t>Date d’expiration</w:t>
            </w:r>
          </w:p>
        </w:tc>
        <w:tc>
          <w:tcPr>
            <w:tcW w:w="967" w:type="dxa"/>
            <w:tcBorders>
              <w:top w:val="single" w:sz="5" w:space="0" w:color="000000"/>
              <w:left w:val="single" w:sz="3" w:space="0" w:color="000000"/>
              <w:bottom w:val="single" w:sz="3" w:space="0" w:color="000000"/>
              <w:right w:val="single" w:sz="5" w:space="0" w:color="000000"/>
            </w:tcBorders>
            <w:shd w:val="clear" w:color="auto" w:fill="DAEEF3"/>
          </w:tcPr>
          <w:p>
            <w:pPr>
              <w:widowControl w:val="0"/>
              <w:spacing w:before="11" w:after="0" w:line="240" w:lineRule="auto"/>
              <w:rPr>
                <w:rFonts w:ascii="Times New Roman" w:eastAsia="Times New Roman" w:hAnsi="Times New Roman" w:cs="Times New Roman"/>
                <w:noProof/>
                <w:sz w:val="9"/>
                <w:szCs w:val="9"/>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b/>
                <w:noProof/>
                <w:spacing w:val="-1"/>
                <w:sz w:val="12"/>
              </w:rPr>
              <w:t>Comptabilisation</w:t>
            </w:r>
          </w:p>
        </w:tc>
      </w:tr>
    </w:tbl>
    <w:p>
      <w:pPr>
        <w:widowControl w:val="0"/>
        <w:spacing w:after="0" w:line="240" w:lineRule="auto"/>
        <w:jc w:val="center"/>
        <w:rPr>
          <w:rFonts w:ascii="Times New Roman" w:eastAsia="Times New Roman" w:hAnsi="Times New Roman" w:cs="Times New Roman"/>
          <w:noProof/>
          <w:sz w:val="26"/>
          <w:szCs w:val="26"/>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635"/>
        <w:gridCol w:w="964"/>
      </w:tblGrid>
      <w:tr>
        <w:trPr>
          <w:trHeight w:hRule="exact" w:val="456"/>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C5D9F1"/>
          </w:tcPr>
          <w:p>
            <w:pPr>
              <w:widowControl w:val="0"/>
              <w:spacing w:before="84" w:after="0" w:line="240" w:lineRule="auto"/>
              <w:jc w:val="center"/>
              <w:rPr>
                <w:rFonts w:ascii="Times New Roman" w:eastAsia="Times New Roman" w:hAnsi="Times New Roman" w:cs="Times New Roman"/>
                <w:noProof/>
                <w:sz w:val="24"/>
                <w:szCs w:val="24"/>
              </w:rPr>
            </w:pPr>
            <w:r>
              <w:rPr>
                <w:rFonts w:ascii="Times New Roman" w:hAnsi="Times New Roman" w:cs="Times New Roman"/>
                <w:b/>
                <w:noProof/>
                <w:spacing w:val="-1"/>
                <w:sz w:val="24"/>
              </w:rPr>
              <w:t>Titre V + annexe VII - Du régime pécuniaire et des avantages sociaux du fonctionnaire</w:t>
            </w:r>
          </w:p>
        </w:tc>
      </w:tr>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3"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Chapitre 1 - Rémunération et remboursement de frais</w:t>
            </w:r>
          </w:p>
        </w:tc>
      </w:tr>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2"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Annexe VII - Règles relatives à la rémunération et aux remboursements de frais</w:t>
            </w:r>
          </w:p>
        </w:tc>
      </w:tr>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2" w:after="0" w:line="240" w:lineRule="auto"/>
              <w:ind w:right="798"/>
              <w:jc w:val="center"/>
              <w:rPr>
                <w:rFonts w:ascii="Times New Roman" w:eastAsia="Times New Roman" w:hAnsi="Times New Roman" w:cs="Times New Roman"/>
                <w:noProof/>
                <w:sz w:val="16"/>
                <w:szCs w:val="16"/>
              </w:rPr>
            </w:pPr>
            <w:r>
              <w:rPr>
                <w:rFonts w:ascii="Times New Roman" w:hAnsi="Times New Roman" w:cs="Times New Roman"/>
                <w:b/>
                <w:noProof/>
                <w:sz w:val="16"/>
              </w:rPr>
              <w:t>Section 1 - Allocations familiales</w:t>
            </w:r>
          </w:p>
        </w:tc>
      </w:tr>
      <w:tr>
        <w:trPr>
          <w:trHeight w:hRule="exact" w:val="379"/>
        </w:trPr>
        <w:tc>
          <w:tcPr>
            <w:tcW w:w="1232"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before="43" w:after="0" w:line="258" w:lineRule="auto"/>
              <w:ind w:right="93"/>
              <w:jc w:val="center"/>
              <w:rPr>
                <w:rFonts w:ascii="Times New Roman" w:eastAsia="Times New Roman" w:hAnsi="Times New Roman" w:cs="Times New Roman"/>
                <w:noProof/>
                <w:sz w:val="12"/>
                <w:szCs w:val="12"/>
              </w:rPr>
            </w:pPr>
            <w:r>
              <w:rPr>
                <w:rFonts w:ascii="Times New Roman" w:hAnsi="Times New Roman" w:cs="Times New Roman"/>
                <w:b/>
                <w:noProof/>
                <w:sz w:val="12"/>
              </w:rPr>
              <w:t>67 - 68 + annexe VII (art. 1 (2) point d))</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56" w:lineRule="auto"/>
              <w:ind w:right="254"/>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Allocation de foyer par décision spéciale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54" w:lineRule="auto"/>
              <w:ind w:right="34"/>
              <w:jc w:val="center"/>
              <w:rPr>
                <w:rFonts w:ascii="Times New Roman" w:eastAsia="Calibri" w:hAnsi="Times New Roman" w:cs="Times New Roman"/>
                <w:noProof/>
                <w:spacing w:val="-1"/>
                <w:sz w:val="12"/>
              </w:rPr>
            </w:pPr>
            <w:r>
              <w:rPr>
                <w:rFonts w:ascii="Times New Roman" w:hAnsi="Times New Roman" w:cs="Times New Roman"/>
                <w:noProof/>
                <w:spacing w:val="-1"/>
                <w:sz w:val="12"/>
              </w:rPr>
              <w:t>Dispositions générales d’exécution relatives à l’allocation de foyer par décision spéciale - Décision n° 21</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40" w:lineRule="auto"/>
              <w:ind w:right="34"/>
              <w:jc w:val="center"/>
              <w:rPr>
                <w:rFonts w:ascii="Times New Roman" w:eastAsia="Calibri" w:hAnsi="Times New Roman" w:cs="Times New Roman"/>
                <w:noProof/>
                <w:spacing w:val="-1"/>
                <w:sz w:val="12"/>
              </w:rPr>
            </w:pPr>
          </w:p>
          <w:p>
            <w:pPr>
              <w:widowControl w:val="0"/>
              <w:spacing w:before="2" w:after="0" w:line="240" w:lineRule="auto"/>
              <w:ind w:right="34"/>
              <w:jc w:val="center"/>
              <w:rPr>
                <w:rFonts w:ascii="Times New Roman" w:eastAsia="Calibri" w:hAnsi="Times New Roman" w:cs="Times New Roman"/>
                <w:noProof/>
                <w:spacing w:val="-1"/>
                <w:sz w:val="12"/>
              </w:rPr>
            </w:pPr>
            <w:r>
              <w:rPr>
                <w:rFonts w:ascii="Times New Roman" w:hAnsi="Times New Roman" w:cs="Times New Roman"/>
                <w:noProof/>
                <w:spacing w:val="-1"/>
                <w:sz w:val="12"/>
              </w:rPr>
              <w:t>1.5.2004</w:t>
            </w:r>
          </w:p>
        </w:tc>
        <w:tc>
          <w:tcPr>
            <w:tcW w:w="1635"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40" w:lineRule="auto"/>
              <w:ind w:right="34"/>
              <w:jc w:val="center"/>
              <w:rPr>
                <w:rFonts w:ascii="Times New Roman" w:eastAsia="Calibri" w:hAnsi="Times New Roman" w:cs="Times New Roman"/>
                <w:noProof/>
                <w:spacing w:val="-1"/>
                <w:sz w:val="12"/>
              </w:rPr>
            </w:pPr>
          </w:p>
        </w:tc>
        <w:tc>
          <w:tcPr>
            <w:tcW w:w="964"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27"/>
        </w:trPr>
        <w:tc>
          <w:tcPr>
            <w:tcW w:w="1232"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before="45"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67 - 68 + annexe VII</w:t>
            </w:r>
          </w:p>
          <w:p>
            <w:pPr>
              <w:widowControl w:val="0"/>
              <w:spacing w:before="11"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[art. 2 (4)]</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45"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Personnes assimilées à un enfant à charge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54" w:lineRule="auto"/>
              <w:ind w:right="34"/>
              <w:jc w:val="center"/>
              <w:rPr>
                <w:rFonts w:ascii="Times New Roman" w:eastAsia="Calibri" w:hAnsi="Times New Roman" w:cs="Times New Roman"/>
                <w:noProof/>
                <w:spacing w:val="-1"/>
                <w:sz w:val="12"/>
              </w:rPr>
            </w:pPr>
            <w:r>
              <w:rPr>
                <w:rFonts w:ascii="Times New Roman" w:hAnsi="Times New Roman" w:cs="Times New Roman"/>
                <w:noProof/>
                <w:spacing w:val="-1"/>
                <w:sz w:val="12"/>
              </w:rPr>
              <w:t>Dispositions générales d’exécution en matière de personne assimilée à l'enfant à charge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40" w:lineRule="auto"/>
              <w:ind w:right="34"/>
              <w:jc w:val="center"/>
              <w:rPr>
                <w:rFonts w:ascii="Times New Roman" w:eastAsia="Calibri" w:hAnsi="Times New Roman" w:cs="Times New Roman"/>
                <w:noProof/>
                <w:spacing w:val="-1"/>
                <w:sz w:val="12"/>
              </w:rPr>
            </w:pPr>
          </w:p>
          <w:p>
            <w:pPr>
              <w:widowControl w:val="0"/>
              <w:spacing w:before="2" w:after="0" w:line="254" w:lineRule="auto"/>
              <w:ind w:right="34"/>
              <w:jc w:val="center"/>
              <w:rPr>
                <w:rFonts w:ascii="Times New Roman" w:eastAsia="Calibri" w:hAnsi="Times New Roman" w:cs="Times New Roman"/>
                <w:noProof/>
                <w:spacing w:val="-1"/>
                <w:sz w:val="12"/>
              </w:rPr>
            </w:pPr>
            <w:r>
              <w:rPr>
                <w:rFonts w:ascii="Times New Roman" w:hAnsi="Times New Roman" w:cs="Times New Roman"/>
                <w:noProof/>
                <w:spacing w:val="-1"/>
                <w:sz w:val="12"/>
              </w:rPr>
              <w:t>1.5.2004</w:t>
            </w:r>
          </w:p>
        </w:tc>
        <w:tc>
          <w:tcPr>
            <w:tcW w:w="1635"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40" w:lineRule="auto"/>
              <w:ind w:right="34"/>
              <w:jc w:val="center"/>
              <w:rPr>
                <w:rFonts w:ascii="Times New Roman" w:eastAsia="Calibri" w:hAnsi="Times New Roman" w:cs="Times New Roman"/>
                <w:noProof/>
                <w:spacing w:val="-1"/>
                <w:sz w:val="12"/>
              </w:rPr>
            </w:pPr>
          </w:p>
        </w:tc>
        <w:tc>
          <w:tcPr>
            <w:tcW w:w="964"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99"/>
        </w:trPr>
        <w:tc>
          <w:tcPr>
            <w:tcW w:w="1232"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before="105"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67 - 68 + annexe VII</w:t>
            </w:r>
          </w:p>
          <w:p>
            <w:pPr>
              <w:widowControl w:val="0"/>
              <w:spacing w:before="11"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(art. 3)</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7"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Allocation scolaire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54" w:lineRule="auto"/>
              <w:ind w:right="34"/>
              <w:jc w:val="center"/>
              <w:rPr>
                <w:rFonts w:ascii="Times New Roman" w:eastAsia="Calibri" w:hAnsi="Times New Roman" w:cs="Times New Roman"/>
                <w:noProof/>
                <w:spacing w:val="-1"/>
                <w:sz w:val="12"/>
              </w:rPr>
            </w:pPr>
            <w:r>
              <w:rPr>
                <w:rFonts w:ascii="Times New Roman" w:hAnsi="Times New Roman" w:cs="Times New Roman"/>
                <w:noProof/>
                <w:spacing w:val="-1"/>
                <w:sz w:val="12"/>
              </w:rPr>
              <w:t>Dispositions générales d'exécution relatives à l'octroi de l'allocation scolaire - Décision n°55</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40" w:lineRule="auto"/>
              <w:ind w:right="34"/>
              <w:jc w:val="center"/>
              <w:rPr>
                <w:rFonts w:ascii="Times New Roman" w:eastAsia="Calibri" w:hAnsi="Times New Roman" w:cs="Times New Roman"/>
                <w:noProof/>
                <w:spacing w:val="-1"/>
                <w:sz w:val="12"/>
              </w:rPr>
            </w:pPr>
          </w:p>
          <w:p>
            <w:pPr>
              <w:widowControl w:val="0"/>
              <w:spacing w:before="2" w:after="0" w:line="240" w:lineRule="auto"/>
              <w:ind w:right="34"/>
              <w:jc w:val="center"/>
              <w:rPr>
                <w:rFonts w:ascii="Times New Roman" w:eastAsia="Calibri" w:hAnsi="Times New Roman" w:cs="Times New Roman"/>
                <w:noProof/>
                <w:spacing w:val="-1"/>
                <w:sz w:val="12"/>
              </w:rPr>
            </w:pPr>
            <w:r>
              <w:rPr>
                <w:rFonts w:ascii="Times New Roman" w:hAnsi="Times New Roman" w:cs="Times New Roman"/>
                <w:noProof/>
                <w:spacing w:val="-1"/>
                <w:sz w:val="12"/>
              </w:rPr>
              <w:t>14.7.2014</w:t>
            </w:r>
          </w:p>
        </w:tc>
        <w:tc>
          <w:tcPr>
            <w:tcW w:w="1635"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40" w:lineRule="auto"/>
              <w:ind w:right="34"/>
              <w:jc w:val="center"/>
              <w:rPr>
                <w:rFonts w:ascii="Times New Roman" w:eastAsia="Calibri" w:hAnsi="Times New Roman" w:cs="Times New Roman"/>
                <w:noProof/>
                <w:spacing w:val="-1"/>
                <w:sz w:val="12"/>
              </w:rPr>
            </w:pPr>
          </w:p>
        </w:tc>
        <w:tc>
          <w:tcPr>
            <w:tcW w:w="964"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635"/>
        <w:gridCol w:w="964"/>
      </w:tblGrid>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92" w:after="0" w:line="240" w:lineRule="auto"/>
              <w:ind w:right="796"/>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Section 3 - Remboursement de frais</w:t>
            </w:r>
          </w:p>
        </w:tc>
      </w:tr>
      <w:tr>
        <w:trPr>
          <w:trHeight w:hRule="exact" w:val="379"/>
        </w:trPr>
        <w:tc>
          <w:tcPr>
            <w:tcW w:w="1232"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45" w:after="0" w:line="240" w:lineRule="auto"/>
              <w:jc w:val="center"/>
              <w:rPr>
                <w:rFonts w:ascii="Times New Roman" w:eastAsia="Calibri" w:hAnsi="Times New Roman" w:cs="Times New Roman"/>
                <w:b/>
                <w:noProof/>
                <w:spacing w:val="4"/>
                <w:sz w:val="16"/>
                <w:szCs w:val="16"/>
              </w:rPr>
            </w:pPr>
            <w:r>
              <w:rPr>
                <w:rFonts w:ascii="Times New Roman" w:hAnsi="Times New Roman" w:cs="Times New Roman"/>
                <w:b/>
                <w:noProof/>
                <w:spacing w:val="4"/>
                <w:sz w:val="16"/>
              </w:rPr>
              <w:t>71 + annexe VII (art. 7 - 8)</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45" w:after="0" w:line="240" w:lineRule="auto"/>
              <w:jc w:val="center"/>
              <w:rPr>
                <w:rFonts w:ascii="Times New Roman" w:eastAsia="Calibri" w:hAnsi="Times New Roman" w:cs="Times New Roman"/>
                <w:b/>
                <w:noProof/>
                <w:spacing w:val="4"/>
                <w:sz w:val="16"/>
                <w:szCs w:val="16"/>
              </w:rPr>
            </w:pPr>
            <w:r>
              <w:rPr>
                <w:rFonts w:ascii="Times New Roman" w:hAnsi="Times New Roman" w:cs="Times New Roman"/>
                <w:b/>
                <w:noProof/>
                <w:spacing w:val="4"/>
                <w:sz w:val="16"/>
              </w:rPr>
              <w:t>Frais de voyage</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40" w:after="0" w:line="254" w:lineRule="auto"/>
              <w:ind w:right="57"/>
              <w:jc w:val="center"/>
              <w:rPr>
                <w:rFonts w:ascii="Times New Roman" w:eastAsia="Times New Roman" w:hAnsi="Times New Roman" w:cs="Times New Roman"/>
                <w:noProof/>
                <w:sz w:val="12"/>
                <w:szCs w:val="12"/>
              </w:rPr>
            </w:pPr>
            <w:r>
              <w:rPr>
                <w:rFonts w:ascii="Times New Roman" w:hAnsi="Times New Roman" w:cs="Times New Roman"/>
                <w:noProof/>
                <w:sz w:val="12"/>
              </w:rPr>
              <w:t>Décision portant adoption des dispositions générales d’exécution relatives aux frais de voyage annuel</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35"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64"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535"/>
        </w:trPr>
        <w:tc>
          <w:tcPr>
            <w:tcW w:w="1232"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45" w:after="0" w:line="240" w:lineRule="auto"/>
              <w:jc w:val="center"/>
              <w:rPr>
                <w:rFonts w:ascii="Times New Roman" w:eastAsia="Calibri" w:hAnsi="Times New Roman" w:cs="Times New Roman"/>
                <w:b/>
                <w:noProof/>
                <w:spacing w:val="4"/>
                <w:sz w:val="16"/>
                <w:szCs w:val="16"/>
              </w:rPr>
            </w:pPr>
            <w:r>
              <w:rPr>
                <w:rFonts w:ascii="Times New Roman" w:hAnsi="Times New Roman" w:cs="Times New Roman"/>
                <w:b/>
                <w:noProof/>
                <w:spacing w:val="4"/>
                <w:sz w:val="16"/>
              </w:rPr>
              <w:t>71 + annexe VII (art. 8)</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5" w:after="0" w:line="240" w:lineRule="auto"/>
              <w:jc w:val="center"/>
              <w:rPr>
                <w:rFonts w:ascii="Times New Roman" w:eastAsia="Calibri" w:hAnsi="Times New Roman" w:cs="Times New Roman"/>
                <w:b/>
                <w:noProof/>
                <w:spacing w:val="4"/>
                <w:sz w:val="16"/>
                <w:szCs w:val="16"/>
              </w:rPr>
            </w:pPr>
            <w:r>
              <w:rPr>
                <w:rFonts w:ascii="Times New Roman" w:hAnsi="Times New Roman" w:cs="Times New Roman"/>
                <w:b/>
                <w:noProof/>
                <w:spacing w:val="4"/>
                <w:sz w:val="16"/>
              </w:rPr>
              <w:t>Lieu d’origine</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83" w:after="0" w:line="254" w:lineRule="auto"/>
              <w:ind w:right="30"/>
              <w:jc w:val="center"/>
              <w:rPr>
                <w:rFonts w:ascii="Times New Roman" w:eastAsia="Times New Roman" w:hAnsi="Times New Roman" w:cs="Times New Roman"/>
                <w:noProof/>
                <w:sz w:val="12"/>
                <w:szCs w:val="12"/>
              </w:rPr>
            </w:pPr>
            <w:r>
              <w:rPr>
                <w:rFonts w:ascii="Times New Roman" w:hAnsi="Times New Roman" w:cs="Times New Roman"/>
                <w:noProof/>
                <w:sz w:val="12"/>
              </w:rPr>
              <w:t>Décision portant création des dispositions générales d’exécution de l’article 7, paragraphe 4, de l’annexe VII relatif au lieu d’origine</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35"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64"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379"/>
        </w:trPr>
        <w:tc>
          <w:tcPr>
            <w:tcW w:w="1232"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45" w:after="0" w:line="240" w:lineRule="auto"/>
              <w:jc w:val="center"/>
              <w:rPr>
                <w:rFonts w:ascii="Times New Roman" w:eastAsia="Calibri" w:hAnsi="Times New Roman" w:cs="Times New Roman"/>
                <w:b/>
                <w:noProof/>
                <w:spacing w:val="4"/>
                <w:sz w:val="16"/>
                <w:szCs w:val="16"/>
              </w:rPr>
            </w:pPr>
            <w:r>
              <w:rPr>
                <w:rFonts w:ascii="Times New Roman" w:hAnsi="Times New Roman" w:cs="Times New Roman"/>
                <w:b/>
                <w:noProof/>
                <w:spacing w:val="4"/>
                <w:sz w:val="16"/>
              </w:rPr>
              <w:t>71 + annexe VII (art. 9)</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5" w:after="0" w:line="240" w:lineRule="auto"/>
              <w:jc w:val="center"/>
              <w:rPr>
                <w:rFonts w:ascii="Times New Roman" w:eastAsia="Calibri" w:hAnsi="Times New Roman" w:cs="Times New Roman"/>
                <w:b/>
                <w:noProof/>
                <w:spacing w:val="4"/>
                <w:sz w:val="16"/>
                <w:szCs w:val="16"/>
              </w:rPr>
            </w:pPr>
            <w:r>
              <w:rPr>
                <w:rFonts w:ascii="Times New Roman" w:hAnsi="Times New Roman" w:cs="Times New Roman"/>
                <w:b/>
                <w:noProof/>
                <w:spacing w:val="4"/>
                <w:sz w:val="16"/>
              </w:rPr>
              <w:t>Frais de déménagement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43" w:after="0" w:line="254" w:lineRule="auto"/>
              <w:ind w:right="162"/>
              <w:jc w:val="center"/>
              <w:rPr>
                <w:rFonts w:ascii="Times New Roman" w:eastAsia="Times New Roman" w:hAnsi="Times New Roman" w:cs="Times New Roman"/>
                <w:noProof/>
                <w:sz w:val="12"/>
                <w:szCs w:val="12"/>
              </w:rPr>
            </w:pPr>
            <w:r>
              <w:rPr>
                <w:rFonts w:ascii="Times New Roman" w:hAnsi="Times New Roman" w:cs="Times New Roman"/>
                <w:noProof/>
                <w:sz w:val="12"/>
              </w:rPr>
              <w:t>Décision n° 53 portant adoption des dispositions générales d’exécution relatives aux frais de déménagement</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35"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64"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456"/>
        </w:trPr>
        <w:tc>
          <w:tcPr>
            <w:tcW w:w="1232"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45" w:after="0" w:line="240" w:lineRule="auto"/>
              <w:jc w:val="center"/>
              <w:rPr>
                <w:rFonts w:ascii="Times New Roman" w:eastAsia="Calibri" w:hAnsi="Times New Roman" w:cs="Times New Roman"/>
                <w:b/>
                <w:noProof/>
                <w:spacing w:val="4"/>
                <w:sz w:val="16"/>
                <w:szCs w:val="16"/>
              </w:rPr>
            </w:pPr>
            <w:r>
              <w:rPr>
                <w:rFonts w:ascii="Times New Roman" w:hAnsi="Times New Roman" w:cs="Times New Roman"/>
                <w:b/>
                <w:noProof/>
                <w:spacing w:val="4"/>
                <w:sz w:val="16"/>
              </w:rPr>
              <w:t xml:space="preserve">71 + annexe VII (art. 11 - 13 </w:t>
            </w:r>
            <w:r>
              <w:rPr>
                <w:rFonts w:ascii="Times New Roman" w:hAnsi="Times New Roman" w:cs="Times New Roman"/>
                <w:b/>
                <w:i/>
                <w:noProof/>
                <w:spacing w:val="4"/>
                <w:sz w:val="16"/>
              </w:rPr>
              <w:t>bis</w:t>
            </w:r>
            <w:r>
              <w:rPr>
                <w:rFonts w:ascii="Times New Roman" w:hAnsi="Times New Roman" w:cs="Times New Roman"/>
                <w:b/>
                <w:noProof/>
                <w:spacing w:val="4"/>
                <w:sz w:val="16"/>
              </w:rPr>
              <w:t>)</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5" w:after="0" w:line="240" w:lineRule="auto"/>
              <w:jc w:val="center"/>
              <w:rPr>
                <w:rFonts w:ascii="Times New Roman" w:eastAsia="Calibri" w:hAnsi="Times New Roman" w:cs="Times New Roman"/>
                <w:b/>
                <w:noProof/>
                <w:spacing w:val="4"/>
                <w:sz w:val="16"/>
                <w:szCs w:val="16"/>
              </w:rPr>
            </w:pPr>
            <w:r>
              <w:rPr>
                <w:rFonts w:ascii="Times New Roman" w:hAnsi="Times New Roman" w:cs="Times New Roman"/>
                <w:b/>
                <w:noProof/>
                <w:spacing w:val="4"/>
                <w:sz w:val="16"/>
              </w:rPr>
              <w:t>Frais de mission et de déplacement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81" w:after="0" w:line="254" w:lineRule="auto"/>
              <w:ind w:right="233"/>
              <w:jc w:val="center"/>
              <w:rPr>
                <w:rFonts w:ascii="Times New Roman" w:eastAsia="Times New Roman" w:hAnsi="Times New Roman" w:cs="Times New Roman"/>
                <w:noProof/>
                <w:sz w:val="12"/>
                <w:szCs w:val="12"/>
              </w:rPr>
            </w:pPr>
            <w:r>
              <w:rPr>
                <w:rFonts w:ascii="Times New Roman" w:hAnsi="Times New Roman" w:cs="Times New Roman"/>
                <w:noProof/>
                <w:sz w:val="12"/>
              </w:rPr>
              <w:t>Dispositions générales d'exécution portant adoption du guide des missions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4"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9.12.2004</w:t>
            </w:r>
          </w:p>
        </w:tc>
        <w:tc>
          <w:tcPr>
            <w:tcW w:w="1635"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64"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635"/>
        <w:gridCol w:w="964"/>
      </w:tblGrid>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3"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Chapitre 3 + annexe VIII - Pensions et allocation d’invalidité</w:t>
            </w:r>
          </w:p>
        </w:tc>
      </w:tr>
      <w:tr>
        <w:trPr>
          <w:trHeight w:hRule="exact" w:val="643"/>
        </w:trPr>
        <w:tc>
          <w:tcPr>
            <w:tcW w:w="1232"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8"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pacing w:val="-1"/>
                <w:sz w:val="12"/>
              </w:rPr>
              <w:t>77 + annexe XIII (art. 4)</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 w:after="0" w:line="240" w:lineRule="auto"/>
              <w:jc w:val="center"/>
              <w:rPr>
                <w:rFonts w:ascii="Times New Roman" w:eastAsia="Times New Roman" w:hAnsi="Times New Roman" w:cs="Times New Roman"/>
                <w:noProof/>
                <w:sz w:val="19"/>
                <w:szCs w:val="19"/>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Calcul des droits à pension</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98" w:after="0" w:line="254" w:lineRule="auto"/>
              <w:ind w:right="138"/>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Dispositions générales d’exécution de l’article 4 de l’annexe VIII relatif au calcul des droits à pension pour la période de travail précédant l’entrée en service</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6"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1.10.2007</w:t>
            </w:r>
          </w:p>
        </w:tc>
        <w:tc>
          <w:tcPr>
            <w:tcW w:w="1635"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64" w:type="dxa"/>
            <w:tcBorders>
              <w:top w:val="single" w:sz="5"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r>
        <w:trPr>
          <w:trHeight w:hRule="exact" w:val="643"/>
        </w:trPr>
        <w:tc>
          <w:tcPr>
            <w:tcW w:w="1232" w:type="dxa"/>
            <w:tcBorders>
              <w:top w:val="single" w:sz="3" w:space="0" w:color="000000"/>
              <w:left w:val="single" w:sz="4" w:space="0" w:color="000000"/>
              <w:bottom w:val="single" w:sz="3" w:space="0" w:color="000000"/>
              <w:right w:val="single" w:sz="3" w:space="0" w:color="000000"/>
            </w:tcBorders>
            <w:shd w:val="clear" w:color="auto" w:fill="FFFF65"/>
          </w:tcPr>
          <w:p>
            <w:pPr>
              <w:widowControl w:val="0"/>
              <w:spacing w:before="5" w:after="0" w:line="240" w:lineRule="auto"/>
              <w:jc w:val="center"/>
              <w:rPr>
                <w:rFonts w:ascii="Times New Roman" w:eastAsia="Times New Roman" w:hAnsi="Times New Roman" w:cs="Times New Roman"/>
                <w:noProof/>
                <w:sz w:val="15"/>
                <w:szCs w:val="15"/>
              </w:rPr>
            </w:pPr>
          </w:p>
          <w:p>
            <w:pPr>
              <w:widowControl w:val="0"/>
              <w:spacing w:after="0" w:line="258" w:lineRule="auto"/>
              <w:ind w:right="57"/>
              <w:jc w:val="center"/>
              <w:rPr>
                <w:rFonts w:ascii="Times New Roman" w:eastAsia="Times New Roman" w:hAnsi="Times New Roman" w:cs="Times New Roman"/>
                <w:noProof/>
                <w:sz w:val="12"/>
                <w:szCs w:val="12"/>
              </w:rPr>
            </w:pPr>
            <w:r>
              <w:rPr>
                <w:rFonts w:ascii="Times New Roman" w:hAnsi="Times New Roman" w:cs="Times New Roman"/>
                <w:b/>
                <w:noProof/>
                <w:sz w:val="12"/>
              </w:rPr>
              <w:t>77 + annexe VIII (art. 11 - 12)</w:t>
            </w:r>
          </w:p>
        </w:tc>
        <w:tc>
          <w:tcPr>
            <w:tcW w:w="2722"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 w:after="0" w:line="240" w:lineRule="auto"/>
              <w:jc w:val="center"/>
              <w:rPr>
                <w:rFonts w:ascii="Times New Roman" w:eastAsia="Times New Roman" w:hAnsi="Times New Roman" w:cs="Times New Roman"/>
                <w:noProof/>
                <w:sz w:val="19"/>
                <w:szCs w:val="19"/>
              </w:rPr>
            </w:pPr>
          </w:p>
          <w:p>
            <w:pPr>
              <w:widowControl w:val="0"/>
              <w:spacing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Transfert des droits à pension</w:t>
            </w:r>
          </w:p>
        </w:tc>
        <w:tc>
          <w:tcPr>
            <w:tcW w:w="3230"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before="100" w:after="0" w:line="254" w:lineRule="auto"/>
              <w:ind w:right="77"/>
              <w:jc w:val="center"/>
              <w:rPr>
                <w:rFonts w:ascii="Times New Roman" w:eastAsia="Times New Roman" w:hAnsi="Times New Roman" w:cs="Times New Roman"/>
                <w:noProof/>
                <w:sz w:val="12"/>
                <w:szCs w:val="12"/>
              </w:rPr>
            </w:pPr>
            <w:r>
              <w:rPr>
                <w:rFonts w:ascii="Times New Roman" w:hAnsi="Times New Roman" w:cs="Times New Roman"/>
                <w:noProof/>
                <w:sz w:val="12"/>
              </w:rPr>
              <w:t>Décision n° 36-</w:t>
            </w:r>
            <w:r>
              <w:rPr>
                <w:rFonts w:ascii="Times New Roman" w:hAnsi="Times New Roman" w:cs="Times New Roman"/>
                <w:i/>
                <w:noProof/>
                <w:sz w:val="12"/>
              </w:rPr>
              <w:t>bis</w:t>
            </w:r>
            <w:r>
              <w:rPr>
                <w:rFonts w:ascii="Times New Roman" w:hAnsi="Times New Roman" w:cs="Times New Roman"/>
                <w:noProof/>
                <w:sz w:val="12"/>
              </w:rPr>
              <w:t xml:space="preserve"> portant adoption des dispositions générales d'exécution des articles 11 et 12 de l'annexe VIII relatifs au transfert de droits à pension</w:t>
            </w:r>
          </w:p>
        </w:tc>
        <w:tc>
          <w:tcPr>
            <w:tcW w:w="1409"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5"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16.2.2012</w:t>
            </w:r>
          </w:p>
        </w:tc>
        <w:tc>
          <w:tcPr>
            <w:tcW w:w="1635" w:type="dxa"/>
            <w:tcBorders>
              <w:top w:val="single" w:sz="3"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64" w:type="dxa"/>
            <w:tcBorders>
              <w:top w:val="single" w:sz="3" w:space="0" w:color="000000"/>
              <w:left w:val="single" w:sz="3" w:space="0" w:color="000000"/>
              <w:bottom w:val="single" w:sz="3" w:space="0" w:color="000000"/>
              <w:right w:val="single" w:sz="5"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635"/>
        <w:gridCol w:w="964"/>
      </w:tblGrid>
      <w:tr>
        <w:trPr>
          <w:trHeight w:hRule="exact" w:val="379"/>
        </w:trPr>
        <w:tc>
          <w:tcPr>
            <w:tcW w:w="11192"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46" w:after="0" w:line="240" w:lineRule="auto"/>
              <w:jc w:val="center"/>
              <w:rPr>
                <w:rFonts w:ascii="Times New Roman" w:eastAsia="Times New Roman" w:hAnsi="Times New Roman" w:cs="Times New Roman"/>
                <w:noProof/>
                <w:sz w:val="24"/>
                <w:szCs w:val="24"/>
              </w:rPr>
            </w:pPr>
            <w:r>
              <w:rPr>
                <w:rFonts w:ascii="Times New Roman" w:hAnsi="Times New Roman" w:cs="Times New Roman"/>
                <w:b/>
                <w:noProof/>
                <w:spacing w:val="-1"/>
                <w:sz w:val="24"/>
              </w:rPr>
              <w:t>Titre VI - Du régime disciplinaire</w:t>
            </w:r>
          </w:p>
        </w:tc>
      </w:tr>
      <w:tr>
        <w:trPr>
          <w:trHeight w:hRule="exact" w:val="544"/>
        </w:trPr>
        <w:tc>
          <w:tcPr>
            <w:tcW w:w="1232" w:type="dxa"/>
            <w:tcBorders>
              <w:top w:val="single" w:sz="5" w:space="0" w:color="000000"/>
              <w:left w:val="single" w:sz="4" w:space="0" w:color="000000"/>
              <w:bottom w:val="single" w:sz="3" w:space="0" w:color="000000"/>
              <w:right w:val="single" w:sz="3" w:space="0" w:color="000000"/>
            </w:tcBorders>
            <w:shd w:val="clear" w:color="auto" w:fill="FFFF65"/>
          </w:tcPr>
          <w:p>
            <w:pPr>
              <w:widowControl w:val="0"/>
              <w:spacing w:before="11"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86 + annexe IX</w:t>
            </w:r>
          </w:p>
        </w:tc>
        <w:tc>
          <w:tcPr>
            <w:tcW w:w="2722"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39" w:after="0" w:line="256" w:lineRule="auto"/>
              <w:ind w:right="339"/>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Procédures disciplinaires et enquêtes administratives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83" w:after="0" w:line="254" w:lineRule="auto"/>
              <w:ind w:right="26"/>
              <w:jc w:val="center"/>
              <w:rPr>
                <w:rFonts w:ascii="Times New Roman" w:eastAsia="Times New Roman" w:hAnsi="Times New Roman" w:cs="Times New Roman"/>
                <w:noProof/>
                <w:sz w:val="12"/>
                <w:szCs w:val="12"/>
              </w:rPr>
            </w:pPr>
            <w:r>
              <w:rPr>
                <w:rFonts w:ascii="Times New Roman" w:hAnsi="Times New Roman" w:cs="Times New Roman"/>
                <w:noProof/>
                <w:sz w:val="12"/>
              </w:rPr>
              <w:t>Décision du CEPD portant adoption de dispositions d’exécution concernant la conduite des enquêtes administratives et des procédures disciplinaires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before="6"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635" w:type="dxa"/>
            <w:tcBorders>
              <w:top w:val="single" w:sz="5" w:space="0" w:color="000000"/>
              <w:left w:val="single" w:sz="3" w:space="0" w:color="000000"/>
              <w:bottom w:val="single" w:sz="3" w:space="0" w:color="000000"/>
              <w:right w:val="single" w:sz="3" w:space="0" w:color="000000"/>
            </w:tcBorders>
            <w:shd w:val="clear" w:color="auto" w:fill="FFFF65"/>
          </w:tcPr>
          <w:p>
            <w:pPr>
              <w:widowControl w:val="0"/>
              <w:spacing w:after="0" w:line="240" w:lineRule="auto"/>
              <w:jc w:val="center"/>
              <w:rPr>
                <w:rFonts w:ascii="Times New Roman" w:eastAsia="Calibri" w:hAnsi="Times New Roman" w:cs="Times New Roman"/>
                <w:noProof/>
              </w:rPr>
            </w:pPr>
          </w:p>
        </w:tc>
        <w:tc>
          <w:tcPr>
            <w:tcW w:w="964" w:type="dxa"/>
            <w:tcBorders>
              <w:top w:val="single" w:sz="5" w:space="0" w:color="000000"/>
              <w:left w:val="single" w:sz="3" w:space="0" w:color="000000"/>
              <w:bottom w:val="single" w:sz="3" w:space="0" w:color="000000"/>
              <w:right w:val="single" w:sz="7" w:space="0" w:color="000000"/>
            </w:tcBorders>
            <w:shd w:val="clear" w:color="auto" w:fill="FFFF65"/>
          </w:tcPr>
          <w:p>
            <w:pPr>
              <w:widowControl w:val="0"/>
              <w:spacing w:after="0" w:line="240" w:lineRule="auto"/>
              <w:jc w:val="center"/>
              <w:rPr>
                <w:rFonts w:ascii="Times New Roman" w:eastAsia="Calibri" w:hAnsi="Times New Roman" w:cs="Times New Roman"/>
                <w:b/>
                <w:noProof/>
                <w:spacing w:val="1"/>
                <w:w w:val="105"/>
                <w:sz w:val="16"/>
                <w:szCs w:val="16"/>
              </w:rPr>
            </w:pPr>
          </w:p>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635"/>
        <w:gridCol w:w="964"/>
      </w:tblGrid>
      <w:tr>
        <w:trPr>
          <w:trHeight w:hRule="exact" w:val="355"/>
        </w:trPr>
        <w:tc>
          <w:tcPr>
            <w:tcW w:w="11192" w:type="dxa"/>
            <w:gridSpan w:val="6"/>
            <w:tcBorders>
              <w:top w:val="single" w:sz="5" w:space="0" w:color="000000"/>
              <w:left w:val="single" w:sz="4" w:space="0" w:color="000000"/>
              <w:bottom w:val="single" w:sz="5" w:space="0" w:color="000000"/>
              <w:right w:val="single" w:sz="7" w:space="0" w:color="000000"/>
            </w:tcBorders>
            <w:shd w:val="clear" w:color="auto" w:fill="DCE6F1"/>
          </w:tcPr>
          <w:p>
            <w:pPr>
              <w:widowControl w:val="0"/>
              <w:spacing w:before="34" w:after="0" w:line="240" w:lineRule="auto"/>
              <w:ind w:right="797"/>
              <w:jc w:val="center"/>
              <w:rPr>
                <w:rFonts w:ascii="Times New Roman" w:eastAsia="Times New Roman" w:hAnsi="Times New Roman" w:cs="Times New Roman"/>
                <w:noProof/>
                <w:sz w:val="24"/>
                <w:szCs w:val="24"/>
              </w:rPr>
            </w:pPr>
            <w:r>
              <w:rPr>
                <w:rFonts w:ascii="Times New Roman" w:hAnsi="Times New Roman" w:cs="Times New Roman"/>
                <w:b/>
                <w:noProof/>
                <w:spacing w:val="-1"/>
                <w:sz w:val="24"/>
              </w:rPr>
              <w:t>Titre VII - Des voies de recours</w:t>
            </w:r>
          </w:p>
        </w:tc>
      </w:tr>
      <w:tr>
        <w:trPr>
          <w:trHeight w:hRule="exact" w:val="532"/>
        </w:trPr>
        <w:tc>
          <w:tcPr>
            <w:tcW w:w="1232"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2" w:after="0" w:line="240" w:lineRule="auto"/>
              <w:jc w:val="center"/>
              <w:rPr>
                <w:rFonts w:ascii="Times New Roman" w:eastAsia="Times New Roman" w:hAnsi="Times New Roman" w:cs="Times New Roman"/>
                <w:noProof/>
                <w:sz w:val="10"/>
                <w:szCs w:val="10"/>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90 - 91</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4"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Réclamations et recours</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40"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pacing w:val="-1"/>
                <w:sz w:val="12"/>
              </w:rPr>
              <w:t xml:space="preserve">Décision portant adoption des mesures d'exécution relatives aux articles 90 </w:t>
            </w:r>
            <w:r>
              <w:rPr>
                <w:rFonts w:ascii="Times New Roman" w:hAnsi="Times New Roman" w:cs="Times New Roman"/>
                <w:noProof/>
                <w:sz w:val="12"/>
              </w:rPr>
              <w:t>et 91</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9" w:after="0" w:line="240" w:lineRule="auto"/>
              <w:jc w:val="center"/>
              <w:rPr>
                <w:rFonts w:ascii="Times New Roman" w:eastAsia="Times New Roman" w:hAnsi="Times New Roman" w:cs="Times New Roman"/>
                <w:noProof/>
                <w:sz w:val="9"/>
                <w:szCs w:val="9"/>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11.11.2014</w:t>
            </w:r>
          </w:p>
        </w:tc>
        <w:tc>
          <w:tcPr>
            <w:tcW w:w="1635"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jc w:val="center"/>
              <w:rPr>
                <w:rFonts w:ascii="Times New Roman" w:eastAsia="Calibri" w:hAnsi="Times New Roman" w:cs="Times New Roman"/>
                <w:noProof/>
              </w:rPr>
            </w:pPr>
          </w:p>
        </w:tc>
        <w:tc>
          <w:tcPr>
            <w:tcW w:w="964" w:type="dxa"/>
            <w:tcBorders>
              <w:top w:val="single" w:sz="5" w:space="0" w:color="000000"/>
              <w:left w:val="single" w:sz="3" w:space="0" w:color="000000"/>
              <w:bottom w:val="single" w:sz="3" w:space="0" w:color="000000"/>
              <w:right w:val="single" w:sz="7" w:space="0" w:color="000000"/>
            </w:tcBorders>
            <w:shd w:val="clear" w:color="auto" w:fill="DA9694"/>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RE</w:t>
            </w:r>
          </w:p>
        </w:tc>
      </w:tr>
    </w:tbl>
    <w:p>
      <w:pPr>
        <w:widowControl w:val="0"/>
        <w:spacing w:after="0" w:line="240" w:lineRule="auto"/>
        <w:rPr>
          <w:rFonts w:ascii="Times New Roman" w:eastAsia="Calibri" w:hAnsi="Times New Roman" w:cs="Times New Roman"/>
          <w:noProof/>
          <w:sz w:val="13"/>
          <w:szCs w:val="13"/>
        </w:rPr>
        <w:sectPr>
          <w:headerReference w:type="even" r:id="rId177"/>
          <w:headerReference w:type="default" r:id="rId178"/>
          <w:footerReference w:type="even" r:id="rId179"/>
          <w:footerReference w:type="default" r:id="rId180"/>
          <w:headerReference w:type="first" r:id="rId181"/>
          <w:footerReference w:type="first" r:id="rId182"/>
          <w:pgSz w:w="11900" w:h="16840" w:code="9"/>
          <w:pgMar w:top="920" w:right="260" w:bottom="280" w:left="240" w:header="735" w:footer="0" w:gutter="0"/>
          <w:cols w:space="720"/>
        </w:sectPr>
      </w:pPr>
    </w:p>
    <w:p>
      <w:pPr>
        <w:widowControl w:val="0"/>
        <w:spacing w:after="0" w:line="200" w:lineRule="atLeas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lang w:val="en-US" w:eastAsia="en-US" w:bidi="ar-SA"/>
        </w:rPr>
        <mc:AlternateContent>
          <mc:Choice Requires="wps">
            <w:drawing>
              <wp:inline distT="0" distB="0" distL="0" distR="0">
                <wp:extent cx="7107555" cy="384175"/>
                <wp:effectExtent l="7620" t="12700" r="9525" b="12700"/>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555" cy="384175"/>
                        </a:xfrm>
                        <a:prstGeom prst="rect">
                          <a:avLst/>
                        </a:prstGeom>
                        <a:solidFill>
                          <a:srgbClr val="B8CCE4"/>
                        </a:solidFill>
                        <a:ln w="7367">
                          <a:solidFill>
                            <a:srgbClr val="000000"/>
                          </a:solidFill>
                          <a:miter lim="800000"/>
                          <a:headEnd/>
                          <a:tailEnd/>
                        </a:ln>
                      </wps:spPr>
                      <wps:txbx>
                        <w:txbxContent>
                          <w:p>
                            <w:pPr>
                              <w:spacing w:before="67"/>
                              <w:ind w:left="1233"/>
                              <w:rPr>
                                <w:rFonts w:ascii="Times New Roman" w:eastAsia="Times New Roman" w:hAnsi="Times New Roman" w:cs="Times New Roman"/>
                                <w:sz w:val="40"/>
                                <w:szCs w:val="40"/>
                              </w:rPr>
                            </w:pPr>
                            <w:r>
                              <w:rPr>
                                <w:rFonts w:ascii="Times New Roman"/>
                                <w:b/>
                                <w:sz w:val="40"/>
                              </w:rPr>
                              <w:t>R</w:t>
                            </w:r>
                            <w:r>
                              <w:rPr>
                                <w:rFonts w:ascii="Times New Roman"/>
                                <w:b/>
                                <w:sz w:val="40"/>
                              </w:rPr>
                              <w:t>é</w:t>
                            </w:r>
                            <w:r>
                              <w:rPr>
                                <w:rFonts w:ascii="Times New Roman"/>
                                <w:b/>
                                <w:sz w:val="40"/>
                              </w:rPr>
                              <w:t>gime applicable aux autres agents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7" o:spid="_x0000_s1026" type="#_x0000_t202" style="width:559.6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" fillcolor="#b8cce4" strokeweight=".20464mm">
                <v:textbox inset="0,0,0,0">
                  <w:txbxContent>
                    <w:p>
                      <w:pPr>
                        <w:spacing w:before="67"/>
                        <w:ind w:left="1233"/>
                        <w:rPr>
                          <w:rFonts w:ascii="Times New Roman" w:eastAsia="Times New Roman" w:hAnsi="Times New Roman" w:cs="Times New Roman"/>
                          <w:sz w:val="40"/>
                          <w:szCs w:val="40"/>
                        </w:rPr>
                      </w:pPr>
                      <w:r>
                        <w:rPr>
                          <w:rFonts w:ascii="Times New Roman"/>
                          <w:b/>
                          <w:sz w:val="40"/>
                        </w:rPr>
                        <w:t>R</w:t>
                      </w:r>
                      <w:r>
                        <w:rPr>
                          <w:rFonts w:ascii="Times New Roman"/>
                          <w:b/>
                          <w:sz w:val="40"/>
                        </w:rPr>
                        <w:t>é</w:t>
                      </w:r>
                      <w:r>
                        <w:rPr>
                          <w:rFonts w:ascii="Times New Roman"/>
                          <w:b/>
                          <w:sz w:val="40"/>
                        </w:rPr>
                        <w:t>gime applicable aux autres agents</w:t>
                      </w:r>
                    </w:p>
                  </w:txbxContent>
                </v:textbox>
                <w10:anchorlock/>
              </v:shape>
            </w:pict>
          </mc:Fallback>
        </mc:AlternateContent>
      </w:r>
    </w:p>
    <w:p>
      <w:pPr>
        <w:widowControl w:val="0"/>
        <w:spacing w:after="0" w:line="240" w:lineRule="auto"/>
        <w:jc w:val="center"/>
        <w:rPr>
          <w:rFonts w:ascii="Times New Roman" w:eastAsia="Times New Roman" w:hAnsi="Times New Roman" w:cs="Times New Roman"/>
          <w:noProof/>
          <w:sz w:val="24"/>
          <w:szCs w:val="24"/>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6" w:after="0" w:line="240" w:lineRule="auto"/>
              <w:ind w:right="799"/>
              <w:jc w:val="center"/>
              <w:rPr>
                <w:rFonts w:ascii="Times New Roman" w:eastAsia="Times New Roman" w:hAnsi="Times New Roman" w:cs="Times New Roman"/>
                <w:noProof/>
                <w:sz w:val="24"/>
                <w:szCs w:val="24"/>
              </w:rPr>
            </w:pPr>
            <w:r>
              <w:rPr>
                <w:rFonts w:ascii="Times New Roman" w:hAnsi="Times New Roman" w:cs="Times New Roman"/>
                <w:b/>
                <w:noProof/>
                <w:spacing w:val="-1"/>
                <w:sz w:val="24"/>
              </w:rPr>
              <w:t>Titre II - Agents temporaires</w:t>
            </w:r>
          </w:p>
        </w:tc>
      </w:tr>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3" w:after="0" w:line="240" w:lineRule="auto"/>
              <w:ind w:right="798"/>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Chapitre 1 - Dispositions générales</w:t>
            </w:r>
          </w:p>
        </w:tc>
      </w:tr>
      <w:tr>
        <w:trPr>
          <w:trHeight w:hRule="exact" w:val="568"/>
        </w:trPr>
        <w:tc>
          <w:tcPr>
            <w:tcW w:w="1232" w:type="dxa"/>
            <w:tcBorders>
              <w:top w:val="single" w:sz="5" w:space="0" w:color="000000"/>
              <w:left w:val="single" w:sz="4" w:space="0" w:color="000000"/>
              <w:bottom w:val="single" w:sz="3" w:space="0" w:color="000000"/>
              <w:right w:val="single" w:sz="3" w:space="0" w:color="000000"/>
            </w:tcBorders>
            <w:shd w:val="clear" w:color="auto" w:fill="DA9694"/>
          </w:tcPr>
          <w:p>
            <w:pPr>
              <w:widowControl w:val="0"/>
              <w:spacing w:before="8" w:after="0" w:line="240" w:lineRule="auto"/>
              <w:rPr>
                <w:rFonts w:ascii="Times New Roman" w:eastAsia="Times New Roman" w:hAnsi="Times New Roman" w:cs="Times New Roman"/>
                <w:noProof/>
                <w:sz w:val="11"/>
                <w:szCs w:val="11"/>
              </w:rPr>
            </w:pPr>
          </w:p>
          <w:p>
            <w:pPr>
              <w:widowControl w:val="0"/>
              <w:spacing w:after="0" w:line="240" w:lineRule="auto"/>
              <w:ind w:right="2"/>
              <w:jc w:val="center"/>
              <w:rPr>
                <w:rFonts w:ascii="Times New Roman" w:eastAsia="Times New Roman" w:hAnsi="Times New Roman" w:cs="Times New Roman"/>
                <w:noProof/>
                <w:sz w:val="12"/>
                <w:szCs w:val="12"/>
              </w:rPr>
            </w:pPr>
            <w:r>
              <w:rPr>
                <w:rFonts w:ascii="Times New Roman" w:hAnsi="Times New Roman" w:cs="Times New Roman"/>
                <w:b/>
                <w:noProof/>
                <w:sz w:val="12"/>
              </w:rPr>
              <w:t>17 + 91</w:t>
            </w:r>
          </w:p>
        </w:tc>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11" w:after="0" w:line="240" w:lineRule="auto"/>
              <w:rPr>
                <w:rFonts w:ascii="Times New Roman" w:eastAsia="Times New Roman" w:hAnsi="Times New Roman" w:cs="Times New Roman"/>
                <w:noProof/>
                <w:sz w:val="16"/>
                <w:szCs w:val="16"/>
              </w:rPr>
            </w:pPr>
            <w:r>
              <w:rPr>
                <w:rFonts w:ascii="Times New Roman" w:hAnsi="Times New Roman" w:cs="Times New Roman"/>
                <w:b/>
                <w:noProof/>
                <w:spacing w:val="-1"/>
                <w:sz w:val="16"/>
              </w:rPr>
              <w:t>Congé de maternité et son paiement</w:t>
            </w:r>
          </w:p>
        </w:tc>
        <w:tc>
          <w:tcPr>
            <w:tcW w:w="323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57" w:after="0" w:line="254" w:lineRule="auto"/>
              <w:ind w:right="106"/>
              <w:rPr>
                <w:rFonts w:ascii="Times New Roman" w:eastAsia="Times New Roman" w:hAnsi="Times New Roman" w:cs="Times New Roman"/>
                <w:noProof/>
                <w:sz w:val="12"/>
                <w:szCs w:val="12"/>
              </w:rPr>
            </w:pPr>
            <w:r>
              <w:rPr>
                <w:rFonts w:ascii="Times New Roman" w:hAnsi="Times New Roman" w:cs="Times New Roman"/>
                <w:noProof/>
                <w:spacing w:val="-1"/>
                <w:sz w:val="12"/>
              </w:rPr>
              <w:t>Décision n° 51 relative au congé de maternité et à son paiement pour les femmes dont le congé de maternité débute avant la fin de leur contrat</w:t>
            </w:r>
          </w:p>
        </w:tc>
        <w:tc>
          <w:tcPr>
            <w:tcW w:w="1409"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3" w:after="0" w:line="240" w:lineRule="auto"/>
              <w:rPr>
                <w:rFonts w:ascii="Times New Roman" w:eastAsia="Times New Roman" w:hAnsi="Times New Roman" w:cs="Times New Roman"/>
                <w:noProof/>
                <w:sz w:val="11"/>
                <w:szCs w:val="11"/>
              </w:rPr>
            </w:pPr>
          </w:p>
          <w:p>
            <w:pPr>
              <w:widowControl w:val="0"/>
              <w:spacing w:after="0" w:line="240" w:lineRule="auto"/>
              <w:rPr>
                <w:rFonts w:ascii="Times New Roman" w:eastAsia="Times New Roman" w:hAnsi="Times New Roman" w:cs="Times New Roman"/>
                <w:noProof/>
                <w:sz w:val="12"/>
                <w:szCs w:val="12"/>
              </w:rPr>
            </w:pPr>
            <w:r>
              <w:rPr>
                <w:rFonts w:ascii="Times New Roman" w:hAnsi="Times New Roman" w:cs="Times New Roman"/>
                <w:noProof/>
                <w:sz w:val="12"/>
              </w:rPr>
              <w:t>1.1.2014</w:t>
            </w:r>
          </w:p>
        </w:tc>
        <w:tc>
          <w:tcPr>
            <w:tcW w:w="1800"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after="0" w:line="240" w:lineRule="auto"/>
              <w:rPr>
                <w:rFonts w:ascii="Times New Roman" w:eastAsia="Calibri" w:hAnsi="Times New Roman" w:cs="Times New Roman"/>
                <w:noProof/>
              </w:rPr>
            </w:pPr>
          </w:p>
        </w:tc>
        <w:tc>
          <w:tcPr>
            <w:tcW w:w="799" w:type="dxa"/>
            <w:tcBorders>
              <w:top w:val="single" w:sz="5" w:space="0" w:color="000000"/>
              <w:left w:val="single" w:sz="3" w:space="0" w:color="000000"/>
              <w:bottom w:val="single" w:sz="3" w:space="0" w:color="000000"/>
              <w:right w:val="single" w:sz="5" w:space="0" w:color="000000"/>
            </w:tcBorders>
            <w:shd w:val="clear" w:color="auto" w:fill="DA9694"/>
            <w:vAlign w:val="center"/>
          </w:tcPr>
          <w:p>
            <w:pPr>
              <w:widowControl w:val="0"/>
              <w:spacing w:after="0" w:line="240" w:lineRule="auto"/>
              <w:jc w:val="center"/>
              <w:rPr>
                <w:rFonts w:ascii="Times New Roman" w:eastAsia="Calibri" w:hAnsi="Times New Roman" w:cs="Times New Roman"/>
                <w:noProof/>
                <w:sz w:val="13"/>
                <w:szCs w:val="13"/>
              </w:rPr>
            </w:pPr>
            <w:r>
              <w:rPr>
                <w:rFonts w:ascii="Times New Roman" w:hAnsi="Times New Roman" w:cs="Times New Roman"/>
                <w:b/>
                <w:noProof/>
                <w:spacing w:val="1"/>
                <w:w w:val="105"/>
                <w:sz w:val="16"/>
              </w:rPr>
              <w:t>1 RE</w:t>
            </w:r>
          </w:p>
        </w:tc>
      </w:tr>
    </w:tbl>
    <w:p>
      <w:pPr>
        <w:widowControl w:val="0"/>
        <w:spacing w:after="0" w:line="240" w:lineRule="auto"/>
        <w:jc w:val="center"/>
        <w:rPr>
          <w:rFonts w:ascii="Times New Roman" w:eastAsia="Times New Roman" w:hAnsi="Times New Roman" w:cs="Times New Roman"/>
          <w:noProof/>
        </w:rPr>
      </w:pPr>
    </w:p>
    <w:tbl>
      <w:tblPr>
        <w:tblW w:w="0" w:type="auto"/>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46" w:after="0" w:line="240" w:lineRule="auto"/>
              <w:ind w:right="797"/>
              <w:jc w:val="center"/>
              <w:rPr>
                <w:rFonts w:ascii="Times New Roman" w:eastAsia="Times New Roman" w:hAnsi="Times New Roman" w:cs="Times New Roman"/>
                <w:noProof/>
                <w:sz w:val="24"/>
                <w:szCs w:val="24"/>
              </w:rPr>
            </w:pPr>
            <w:r>
              <w:rPr>
                <w:rFonts w:ascii="Times New Roman" w:hAnsi="Times New Roman" w:cs="Times New Roman"/>
                <w:b/>
                <w:noProof/>
                <w:spacing w:val="-1"/>
                <w:sz w:val="24"/>
              </w:rPr>
              <w:t>Titre IV - Agents contractuels</w:t>
            </w:r>
          </w:p>
        </w:tc>
      </w:tr>
      <w:tr>
        <w:trPr>
          <w:trHeight w:hRule="exact" w:val="379"/>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AEEF3"/>
          </w:tcPr>
          <w:p>
            <w:pPr>
              <w:widowControl w:val="0"/>
              <w:spacing w:before="73" w:after="0" w:line="240" w:lineRule="auto"/>
              <w:ind w:right="798"/>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Chapitre 1 - Dispositions générales</w:t>
            </w:r>
          </w:p>
        </w:tc>
      </w:tr>
      <w:tr>
        <w:trPr>
          <w:trHeight w:hRule="exact" w:val="904"/>
        </w:trPr>
        <w:tc>
          <w:tcPr>
            <w:tcW w:w="1232"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after="0" w:line="240" w:lineRule="auto"/>
              <w:ind w:right="1"/>
              <w:jc w:val="center"/>
              <w:rPr>
                <w:rFonts w:ascii="Times New Roman" w:eastAsia="Times New Roman" w:hAnsi="Times New Roman" w:cs="Times New Roman"/>
                <w:noProof/>
                <w:sz w:val="12"/>
                <w:szCs w:val="12"/>
              </w:rPr>
            </w:pPr>
            <w:r>
              <w:rPr>
                <w:rFonts w:ascii="Times New Roman" w:hAnsi="Times New Roman" w:cs="Times New Roman"/>
                <w:b/>
                <w:noProof/>
                <w:sz w:val="12"/>
              </w:rPr>
              <w:t>79 (2)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93"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Recours aux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54" w:lineRule="auto"/>
              <w:ind w:right="34"/>
              <w:jc w:val="center"/>
              <w:rPr>
                <w:rFonts w:ascii="Times New Roman" w:eastAsia="Times New Roman" w:hAnsi="Times New Roman" w:cs="Times New Roman"/>
                <w:noProof/>
                <w:sz w:val="12"/>
                <w:szCs w:val="12"/>
              </w:rPr>
            </w:pPr>
            <w:r>
              <w:rPr>
                <w:rFonts w:ascii="Times New Roman" w:hAnsi="Times New Roman" w:cs="Times New Roman"/>
                <w:noProof/>
                <w:sz w:val="12"/>
              </w:rPr>
              <w:t xml:space="preserve">Décision n° 48 portant dispositions générales d’exécution de l’article 79, paragraphe 2, du RAA relatif aux conditions d’engagement des agents contractuels 3 </w:t>
            </w:r>
            <w:r>
              <w:rPr>
                <w:rFonts w:ascii="Times New Roman" w:hAnsi="Times New Roman" w:cs="Times New Roman"/>
                <w:i/>
                <w:noProof/>
                <w:sz w:val="12"/>
              </w:rPr>
              <w:t>bis</w:t>
            </w:r>
            <w:r>
              <w:rPr>
                <w:rFonts w:ascii="Times New Roman" w:hAnsi="Times New Roman" w:cs="Times New Roman"/>
                <w:noProof/>
                <w:sz w:val="12"/>
              </w:rPr>
              <w:t xml:space="preserve"> et 3 </w:t>
            </w:r>
            <w:r>
              <w:rPr>
                <w:rFonts w:ascii="Times New Roman" w:hAnsi="Times New Roman" w:cs="Times New Roman"/>
                <w:i/>
                <w:noProof/>
                <w:sz w:val="12"/>
              </w:rPr>
              <w:t>ter</w:t>
            </w:r>
            <w:r>
              <w:rPr>
                <w:rFonts w:ascii="Times New Roman" w:hAnsi="Times New Roman" w:cs="Times New Roman"/>
                <w:noProof/>
                <w:sz w:val="12"/>
              </w:rPr>
              <w:t xml:space="preserve"> (modifiée par la décision n° 56 du 1</w:t>
            </w:r>
            <w:r>
              <w:rPr>
                <w:rFonts w:ascii="Times New Roman" w:hAnsi="Times New Roman" w:cs="Times New Roman"/>
                <w:noProof/>
                <w:sz w:val="12"/>
                <w:vertAlign w:val="superscript"/>
              </w:rPr>
              <w:t>er</w:t>
            </w:r>
            <w:r>
              <w:rPr>
                <w:rFonts w:ascii="Times New Roman" w:hAnsi="Times New Roman" w:cs="Times New Roman"/>
                <w:noProof/>
                <w:sz w:val="12"/>
              </w:rPr>
              <w:t xml:space="preserve"> janvier 2014 portant dispositions générales d’exécution relatives aux conditions d’engagement des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16.2.2012</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noProof/>
              </w:rPr>
            </w:pPr>
          </w:p>
        </w:tc>
        <w:tc>
          <w:tcPr>
            <w:tcW w:w="799"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1 DGE</w:t>
            </w:r>
          </w:p>
        </w:tc>
      </w:tr>
    </w:tbl>
    <w:p>
      <w:pPr>
        <w:widowControl w:val="0"/>
        <w:spacing w:after="0" w:line="240" w:lineRule="auto"/>
        <w:jc w:val="center"/>
        <w:rPr>
          <w:rFonts w:ascii="Times New Roman" w:eastAsia="Times New Roman" w:hAnsi="Times New Roman" w:cs="Times New Roman"/>
          <w:noProof/>
          <w:sz w:val="20"/>
          <w:szCs w:val="20"/>
        </w:rPr>
      </w:pPr>
    </w:p>
    <w:tbl>
      <w:tblPr>
        <w:tblW w:w="11192" w:type="dxa"/>
        <w:tblInd w:w="97" w:type="dxa"/>
        <w:tblLayout w:type="fixed"/>
        <w:tblCellMar>
          <w:left w:w="0" w:type="dxa"/>
          <w:right w:w="0" w:type="dxa"/>
        </w:tblCellMar>
        <w:tblLook w:val="01E0" w:firstRow="1" w:lastRow="1" w:firstColumn="1" w:lastColumn="1" w:noHBand="0" w:noVBand="0"/>
      </w:tblPr>
      <w:tblGrid>
        <w:gridCol w:w="1232"/>
        <w:gridCol w:w="2722"/>
        <w:gridCol w:w="3230"/>
        <w:gridCol w:w="1409"/>
        <w:gridCol w:w="1800"/>
        <w:gridCol w:w="799"/>
      </w:tblGrid>
      <w:tr>
        <w:trPr>
          <w:trHeight w:hRule="exact" w:val="485"/>
        </w:trPr>
        <w:tc>
          <w:tcPr>
            <w:tcW w:w="11192" w:type="dxa"/>
            <w:gridSpan w:val="6"/>
            <w:tcBorders>
              <w:top w:val="single" w:sz="5" w:space="0" w:color="000000"/>
              <w:left w:val="single" w:sz="4" w:space="0" w:color="000000"/>
              <w:bottom w:val="single" w:sz="5" w:space="0" w:color="000000"/>
              <w:right w:val="single" w:sz="5" w:space="0" w:color="000000"/>
            </w:tcBorders>
            <w:shd w:val="clear" w:color="auto" w:fill="DCE6F1"/>
          </w:tcPr>
          <w:p>
            <w:pPr>
              <w:widowControl w:val="0"/>
              <w:spacing w:before="126" w:after="0" w:line="240" w:lineRule="auto"/>
              <w:jc w:val="center"/>
              <w:rPr>
                <w:rFonts w:ascii="Times New Roman" w:eastAsia="Times New Roman" w:hAnsi="Times New Roman" w:cs="Times New Roman"/>
                <w:noProof/>
                <w:sz w:val="19"/>
                <w:szCs w:val="19"/>
              </w:rPr>
            </w:pPr>
            <w:r>
              <w:rPr>
                <w:rFonts w:ascii="Times New Roman" w:hAnsi="Times New Roman" w:cs="Times New Roman"/>
                <w:b/>
                <w:noProof/>
                <w:spacing w:val="-1"/>
                <w:sz w:val="19"/>
              </w:rPr>
              <w:t>Chapitre 3 - Conditions d'engagement</w:t>
            </w:r>
          </w:p>
        </w:tc>
      </w:tr>
      <w:tr>
        <w:trPr>
          <w:trHeight w:hRule="exact" w:val="868"/>
        </w:trPr>
        <w:tc>
          <w:tcPr>
            <w:tcW w:w="1232" w:type="dxa"/>
            <w:tcBorders>
              <w:top w:val="single" w:sz="5"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82</w:t>
            </w:r>
          </w:p>
        </w:tc>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6" w:after="0" w:line="240" w:lineRule="auto"/>
              <w:jc w:val="center"/>
              <w:rPr>
                <w:rFonts w:ascii="Times New Roman" w:eastAsia="Times New Roman" w:hAnsi="Times New Roman" w:cs="Times New Roman"/>
                <w:noProof/>
                <w:sz w:val="15"/>
                <w:szCs w:val="15"/>
              </w:rPr>
            </w:pPr>
          </w:p>
          <w:p>
            <w:pPr>
              <w:widowControl w:val="0"/>
              <w:spacing w:after="0" w:line="256" w:lineRule="auto"/>
              <w:ind w:right="52"/>
              <w:jc w:val="center"/>
              <w:rPr>
                <w:rFonts w:ascii="Times New Roman" w:eastAsia="Times New Roman" w:hAnsi="Times New Roman" w:cs="Times New Roman"/>
                <w:noProof/>
                <w:sz w:val="16"/>
                <w:szCs w:val="16"/>
              </w:rPr>
            </w:pPr>
            <w:r>
              <w:rPr>
                <w:rFonts w:ascii="Times New Roman" w:hAnsi="Times New Roman" w:cs="Times New Roman"/>
                <w:b/>
                <w:noProof/>
                <w:spacing w:val="-2"/>
                <w:sz w:val="16"/>
              </w:rPr>
              <w:t>Procédures de recrutement des agents contractuels</w:t>
            </w:r>
          </w:p>
        </w:tc>
        <w:tc>
          <w:tcPr>
            <w:tcW w:w="323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before="2" w:after="0" w:line="254" w:lineRule="auto"/>
              <w:ind w:right="34"/>
              <w:jc w:val="center"/>
              <w:rPr>
                <w:rFonts w:ascii="Times New Roman" w:eastAsia="Times New Roman" w:hAnsi="Times New Roman" w:cs="Times New Roman"/>
                <w:noProof/>
                <w:sz w:val="12"/>
                <w:szCs w:val="12"/>
              </w:rPr>
            </w:pPr>
            <w:r>
              <w:rPr>
                <w:rFonts w:ascii="Times New Roman" w:hAnsi="Times New Roman" w:cs="Times New Roman"/>
                <w:noProof/>
                <w:sz w:val="12"/>
              </w:rPr>
              <w:t xml:space="preserve">Décision n° 48 portant dispositions générales d’exécution de l’article 79, paragraphe 2, du RAA relatif aux conditions d’engagement des agents contractuels 3 </w:t>
            </w:r>
            <w:r>
              <w:rPr>
                <w:rFonts w:ascii="Times New Roman" w:hAnsi="Times New Roman" w:cs="Times New Roman"/>
                <w:i/>
                <w:noProof/>
                <w:sz w:val="12"/>
              </w:rPr>
              <w:t>bis</w:t>
            </w:r>
            <w:r>
              <w:rPr>
                <w:rFonts w:ascii="Times New Roman" w:hAnsi="Times New Roman" w:cs="Times New Roman"/>
                <w:noProof/>
                <w:sz w:val="12"/>
              </w:rPr>
              <w:t xml:space="preserve"> et 3 </w:t>
            </w:r>
            <w:r>
              <w:rPr>
                <w:rFonts w:ascii="Times New Roman" w:hAnsi="Times New Roman" w:cs="Times New Roman"/>
                <w:i/>
                <w:noProof/>
                <w:sz w:val="12"/>
              </w:rPr>
              <w:t>ter</w:t>
            </w:r>
            <w:r>
              <w:rPr>
                <w:rFonts w:ascii="Times New Roman" w:hAnsi="Times New Roman" w:cs="Times New Roman"/>
                <w:noProof/>
                <w:sz w:val="12"/>
              </w:rPr>
              <w:t xml:space="preserve"> (modifiée par la décision n° 56 du 1</w:t>
            </w:r>
            <w:r>
              <w:rPr>
                <w:rFonts w:ascii="Times New Roman" w:hAnsi="Times New Roman" w:cs="Times New Roman"/>
                <w:noProof/>
                <w:sz w:val="12"/>
                <w:vertAlign w:val="superscript"/>
              </w:rPr>
              <w:t>er</w:t>
            </w:r>
            <w:r>
              <w:rPr>
                <w:rFonts w:ascii="Times New Roman" w:hAnsi="Times New Roman" w:cs="Times New Roman"/>
                <w:noProof/>
                <w:sz w:val="12"/>
              </w:rPr>
              <w:t xml:space="preserve"> janvier 2014 portant dispositions générales d’exécution relatives aux conditions d’engagement des agents contractuels)</w:t>
            </w:r>
          </w:p>
        </w:tc>
        <w:tc>
          <w:tcPr>
            <w:tcW w:w="1409"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7"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16.2.2012</w:t>
            </w:r>
          </w:p>
        </w:tc>
        <w:tc>
          <w:tcPr>
            <w:tcW w:w="1800"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tc>
        <w:tc>
          <w:tcPr>
            <w:tcW w:w="799" w:type="dxa"/>
            <w:tcBorders>
              <w:top w:val="single" w:sz="5"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ind w:right="182"/>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r>
        <w:trPr>
          <w:trHeight w:hRule="exact" w:val="959"/>
        </w:trPr>
        <w:tc>
          <w:tcPr>
            <w:tcW w:w="1232" w:type="dxa"/>
            <w:tcBorders>
              <w:top w:val="single" w:sz="3" w:space="0" w:color="000000"/>
              <w:left w:val="single" w:sz="4"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3" w:after="0" w:line="240" w:lineRule="auto"/>
              <w:jc w:val="center"/>
              <w:rPr>
                <w:rFonts w:ascii="Times New Roman" w:eastAsia="Times New Roman" w:hAnsi="Times New Roman" w:cs="Times New Roman"/>
                <w:noProof/>
                <w:sz w:val="14"/>
                <w:szCs w:val="14"/>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b/>
                <w:noProof/>
                <w:sz w:val="12"/>
              </w:rPr>
              <w:t>86</w:t>
            </w:r>
          </w:p>
        </w:tc>
        <w:tc>
          <w:tcPr>
            <w:tcW w:w="2722"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6"/>
                <w:szCs w:val="16"/>
              </w:rPr>
            </w:pPr>
          </w:p>
          <w:p>
            <w:pPr>
              <w:widowControl w:val="0"/>
              <w:spacing w:before="95"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Grades au recrutement</w:t>
            </w:r>
          </w:p>
        </w:tc>
        <w:tc>
          <w:tcPr>
            <w:tcW w:w="323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before="4" w:after="0" w:line="254" w:lineRule="auto"/>
              <w:ind w:right="34"/>
              <w:jc w:val="center"/>
              <w:rPr>
                <w:rFonts w:ascii="Times New Roman" w:eastAsia="Times New Roman" w:hAnsi="Times New Roman" w:cs="Times New Roman"/>
                <w:noProof/>
                <w:sz w:val="12"/>
                <w:szCs w:val="12"/>
              </w:rPr>
            </w:pPr>
            <w:r>
              <w:rPr>
                <w:rFonts w:ascii="Times New Roman" w:hAnsi="Times New Roman" w:cs="Times New Roman"/>
                <w:noProof/>
                <w:sz w:val="12"/>
              </w:rPr>
              <w:t xml:space="preserve">Décision n° 48 portant dispositions générales d’exécution de l’article 79, paragraphe 2, du RAA relatif aux conditions d’engagement des agents contractuels 3 </w:t>
            </w:r>
            <w:r>
              <w:rPr>
                <w:rFonts w:ascii="Times New Roman" w:hAnsi="Times New Roman" w:cs="Times New Roman"/>
                <w:i/>
                <w:noProof/>
                <w:sz w:val="12"/>
              </w:rPr>
              <w:t>bis</w:t>
            </w:r>
            <w:r>
              <w:rPr>
                <w:rFonts w:ascii="Times New Roman" w:hAnsi="Times New Roman" w:cs="Times New Roman"/>
                <w:noProof/>
                <w:sz w:val="12"/>
              </w:rPr>
              <w:t xml:space="preserve"> et 3 </w:t>
            </w:r>
            <w:r>
              <w:rPr>
                <w:rFonts w:ascii="Times New Roman" w:hAnsi="Times New Roman" w:cs="Times New Roman"/>
                <w:i/>
                <w:noProof/>
                <w:sz w:val="12"/>
              </w:rPr>
              <w:t>ter</w:t>
            </w:r>
            <w:r>
              <w:rPr>
                <w:rFonts w:ascii="Times New Roman" w:hAnsi="Times New Roman" w:cs="Times New Roman"/>
                <w:noProof/>
                <w:sz w:val="12"/>
              </w:rPr>
              <w:t xml:space="preserve"> (modifiée par la décision n° 56 du 1</w:t>
            </w:r>
            <w:r>
              <w:rPr>
                <w:rFonts w:ascii="Times New Roman" w:hAnsi="Times New Roman" w:cs="Times New Roman"/>
                <w:noProof/>
                <w:sz w:val="12"/>
                <w:vertAlign w:val="superscript"/>
              </w:rPr>
              <w:t>er</w:t>
            </w:r>
            <w:r>
              <w:rPr>
                <w:rFonts w:ascii="Times New Roman" w:hAnsi="Times New Roman" w:cs="Times New Roman"/>
                <w:noProof/>
                <w:sz w:val="12"/>
              </w:rPr>
              <w:t xml:space="preserve"> janvier 2014 portant dispositions générales d’exécution relatives aux conditions d’engagement des agents contractuels)</w:t>
            </w:r>
          </w:p>
        </w:tc>
        <w:tc>
          <w:tcPr>
            <w:tcW w:w="1409"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Times New Roman" w:hAnsi="Times New Roman" w:cs="Times New Roman"/>
                <w:noProof/>
                <w:sz w:val="12"/>
                <w:szCs w:val="12"/>
              </w:rPr>
            </w:pPr>
          </w:p>
          <w:p>
            <w:pPr>
              <w:widowControl w:val="0"/>
              <w:spacing w:before="10" w:after="0" w:line="240" w:lineRule="auto"/>
              <w:jc w:val="center"/>
              <w:rPr>
                <w:rFonts w:ascii="Times New Roman" w:eastAsia="Times New Roman" w:hAnsi="Times New Roman" w:cs="Times New Roman"/>
                <w:noProof/>
                <w:sz w:val="13"/>
                <w:szCs w:val="13"/>
              </w:rPr>
            </w:pPr>
          </w:p>
          <w:p>
            <w:pPr>
              <w:widowControl w:val="0"/>
              <w:spacing w:after="0" w:line="240" w:lineRule="auto"/>
              <w:jc w:val="center"/>
              <w:rPr>
                <w:rFonts w:ascii="Times New Roman" w:eastAsia="Times New Roman" w:hAnsi="Times New Roman" w:cs="Times New Roman"/>
                <w:noProof/>
                <w:sz w:val="12"/>
                <w:szCs w:val="12"/>
              </w:rPr>
            </w:pPr>
            <w:r>
              <w:rPr>
                <w:rFonts w:ascii="Times New Roman" w:hAnsi="Times New Roman" w:cs="Times New Roman"/>
                <w:noProof/>
                <w:sz w:val="12"/>
              </w:rPr>
              <w:t>16.2.2012</w:t>
            </w:r>
          </w:p>
        </w:tc>
        <w:tc>
          <w:tcPr>
            <w:tcW w:w="1800" w:type="dxa"/>
            <w:tcBorders>
              <w:top w:val="single" w:sz="3" w:space="0" w:color="000000"/>
              <w:left w:val="single" w:sz="3" w:space="0" w:color="000000"/>
              <w:bottom w:val="single" w:sz="3" w:space="0" w:color="000000"/>
              <w:right w:val="single" w:sz="3" w:space="0" w:color="000000"/>
            </w:tcBorders>
            <w:shd w:val="clear" w:color="auto" w:fill="FFFF65"/>
            <w:vAlign w:val="center"/>
          </w:tcPr>
          <w:p>
            <w:pPr>
              <w:widowControl w:val="0"/>
              <w:spacing w:after="0" w:line="240" w:lineRule="auto"/>
              <w:jc w:val="center"/>
              <w:rPr>
                <w:rFonts w:ascii="Times New Roman" w:eastAsia="Calibri" w:hAnsi="Times New Roman" w:cs="Times New Roman"/>
                <w:b/>
                <w:noProof/>
                <w:spacing w:val="1"/>
                <w:w w:val="105"/>
                <w:sz w:val="16"/>
                <w:szCs w:val="16"/>
              </w:rPr>
            </w:pPr>
          </w:p>
        </w:tc>
        <w:tc>
          <w:tcPr>
            <w:tcW w:w="799" w:type="dxa"/>
            <w:tcBorders>
              <w:top w:val="single" w:sz="3" w:space="0" w:color="000000"/>
              <w:left w:val="single" w:sz="3" w:space="0" w:color="000000"/>
              <w:bottom w:val="single" w:sz="3" w:space="0" w:color="000000"/>
              <w:right w:val="single" w:sz="5" w:space="0" w:color="000000"/>
            </w:tcBorders>
            <w:shd w:val="clear" w:color="auto" w:fill="FFFF65"/>
            <w:vAlign w:val="center"/>
          </w:tcPr>
          <w:p>
            <w:pPr>
              <w:widowControl w:val="0"/>
              <w:spacing w:after="0" w:line="240" w:lineRule="auto"/>
              <w:ind w:right="182"/>
              <w:jc w:val="center"/>
              <w:rPr>
                <w:rFonts w:ascii="Times New Roman" w:eastAsia="Calibri" w:hAnsi="Times New Roman" w:cs="Times New Roman"/>
                <w:b/>
                <w:noProof/>
                <w:spacing w:val="1"/>
                <w:w w:val="105"/>
                <w:sz w:val="16"/>
                <w:szCs w:val="16"/>
              </w:rPr>
            </w:pPr>
            <w:r>
              <w:rPr>
                <w:rFonts w:ascii="Times New Roman" w:hAnsi="Times New Roman" w:cs="Times New Roman"/>
                <w:b/>
                <w:noProof/>
                <w:spacing w:val="1"/>
                <w:w w:val="105"/>
                <w:sz w:val="16"/>
              </w:rPr>
              <w:t>0</w:t>
            </w:r>
          </w:p>
        </w:tc>
      </w:tr>
    </w:tbl>
    <w:p>
      <w:pPr>
        <w:widowControl w:val="0"/>
        <w:spacing w:after="0" w:line="240" w:lineRule="auto"/>
        <w:rPr>
          <w:rFonts w:ascii="Times New Roman" w:eastAsia="Times New Roman" w:hAnsi="Times New Roman" w:cs="Times New Roman"/>
          <w:noProof/>
          <w:sz w:val="20"/>
          <w:szCs w:val="20"/>
        </w:rPr>
      </w:pPr>
    </w:p>
    <w:p>
      <w:pPr>
        <w:widowControl w:val="0"/>
        <w:spacing w:after="0" w:line="240" w:lineRule="auto"/>
        <w:rPr>
          <w:rFonts w:ascii="Times New Roman" w:eastAsia="Times New Roman" w:hAnsi="Times New Roman" w:cs="Times New Roman"/>
          <w:noProof/>
          <w:sz w:val="20"/>
          <w:szCs w:val="20"/>
        </w:rPr>
      </w:pPr>
    </w:p>
    <w:p>
      <w:pPr>
        <w:widowControl w:val="0"/>
        <w:spacing w:after="0" w:line="240" w:lineRule="auto"/>
        <w:rPr>
          <w:rFonts w:ascii="Times New Roman" w:eastAsia="Times New Roman" w:hAnsi="Times New Roman" w:cs="Times New Roman"/>
          <w:noProof/>
          <w:sz w:val="20"/>
          <w:szCs w:val="20"/>
        </w:rPr>
      </w:pPr>
    </w:p>
    <w:p>
      <w:pPr>
        <w:widowControl w:val="0"/>
        <w:spacing w:before="88" w:after="0" w:line="240" w:lineRule="auto"/>
        <w:jc w:val="center"/>
        <w:rPr>
          <w:rFonts w:ascii="Times New Roman" w:eastAsia="Times New Roman" w:hAnsi="Times New Roman" w:cs="Times New Roman"/>
          <w:b/>
          <w:noProof/>
          <w:sz w:val="24"/>
          <w:szCs w:val="24"/>
          <w:u w:val="single"/>
        </w:rPr>
      </w:pPr>
      <w:r>
        <w:rPr>
          <w:rFonts w:ascii="Times New Roman" w:hAnsi="Times New Roman" w:cs="Times New Roman"/>
          <w:b/>
          <w:i/>
          <w:noProof/>
          <w:w w:val="105"/>
          <w:sz w:val="24"/>
          <w:u w:val="single"/>
        </w:rPr>
        <w:t>Légende</w:t>
      </w:r>
    </w:p>
    <w:p>
      <w:pPr>
        <w:widowControl w:val="0"/>
        <w:spacing w:before="10" w:after="0" w:line="240" w:lineRule="auto"/>
        <w:rPr>
          <w:rFonts w:ascii="Times New Roman" w:eastAsia="Times New Roman" w:hAnsi="Times New Roman" w:cs="Times New Roman"/>
          <w:i/>
          <w:noProof/>
          <w:sz w:val="24"/>
          <w:szCs w:val="24"/>
        </w:rPr>
      </w:pPr>
    </w:p>
    <w:tbl>
      <w:tblPr>
        <w:tblW w:w="2722" w:type="dxa"/>
        <w:tblInd w:w="96" w:type="dxa"/>
        <w:tblLayout w:type="fixed"/>
        <w:tblCellMar>
          <w:left w:w="0" w:type="dxa"/>
          <w:right w:w="0" w:type="dxa"/>
        </w:tblCellMar>
        <w:tblLook w:val="01E0" w:firstRow="1" w:lastRow="1" w:firstColumn="1" w:lastColumn="1" w:noHBand="0" w:noVBand="0"/>
      </w:tblPr>
      <w:tblGrid>
        <w:gridCol w:w="2722"/>
      </w:tblGrid>
      <w:tr>
        <w:trPr>
          <w:trHeight w:hRule="exact" w:val="744"/>
        </w:trPr>
        <w:tc>
          <w:tcPr>
            <w:tcW w:w="2722" w:type="dxa"/>
            <w:tcBorders>
              <w:top w:val="single" w:sz="5" w:space="0" w:color="000000"/>
              <w:left w:val="single" w:sz="3" w:space="0" w:color="000000"/>
              <w:bottom w:val="single" w:sz="3" w:space="0" w:color="000000"/>
              <w:right w:val="single" w:sz="3" w:space="0" w:color="000000"/>
            </w:tcBorders>
            <w:shd w:val="clear" w:color="auto" w:fill="FFFF65"/>
            <w:vAlign w:val="center"/>
          </w:tcPr>
          <w:p>
            <w:pPr>
              <w:widowControl w:val="0"/>
              <w:spacing w:after="0" w:line="256" w:lineRule="auto"/>
              <w:ind w:right="52"/>
              <w:jc w:val="center"/>
              <w:rPr>
                <w:rFonts w:ascii="Times New Roman" w:eastAsia="Times New Roman" w:hAnsi="Times New Roman" w:cs="Times New Roman"/>
                <w:noProof/>
                <w:sz w:val="16"/>
                <w:szCs w:val="16"/>
              </w:rPr>
            </w:pPr>
            <w:r>
              <w:rPr>
                <w:rFonts w:ascii="Times New Roman" w:hAnsi="Times New Roman" w:cs="Times New Roman"/>
                <w:b/>
                <w:noProof/>
                <w:spacing w:val="-2"/>
                <w:sz w:val="16"/>
              </w:rPr>
              <w:t>Disposition générale d’exécution (DGE)</w:t>
            </w:r>
          </w:p>
        </w:tc>
      </w:tr>
    </w:tbl>
    <w:p>
      <w:pPr>
        <w:widowControl w:val="0"/>
        <w:spacing w:before="79" w:after="0" w:line="527" w:lineRule="auto"/>
        <w:ind w:right="8323"/>
        <w:jc w:val="center"/>
        <w:rPr>
          <w:rFonts w:ascii="Times New Roman" w:hAnsi="Times New Roman" w:cs="Times New Roman"/>
          <w:noProof/>
          <w:sz w:val="20"/>
          <w:szCs w:val="20"/>
        </w:rPr>
      </w:pPr>
    </w:p>
    <w:tbl>
      <w:tblPr>
        <w:tblW w:w="0" w:type="auto"/>
        <w:tblInd w:w="96" w:type="dxa"/>
        <w:tblLayout w:type="fixed"/>
        <w:tblCellMar>
          <w:left w:w="0" w:type="dxa"/>
          <w:right w:w="0" w:type="dxa"/>
        </w:tblCellMar>
        <w:tblLook w:val="01E0" w:firstRow="1" w:lastRow="1" w:firstColumn="1" w:lastColumn="1" w:noHBand="0" w:noVBand="0"/>
      </w:tblPr>
      <w:tblGrid>
        <w:gridCol w:w="2722"/>
      </w:tblGrid>
      <w:tr>
        <w:trPr>
          <w:trHeight w:hRule="exact" w:val="413"/>
        </w:trPr>
        <w:tc>
          <w:tcPr>
            <w:tcW w:w="2722" w:type="dxa"/>
            <w:tcBorders>
              <w:top w:val="single" w:sz="5" w:space="0" w:color="000000"/>
              <w:left w:val="single" w:sz="3" w:space="0" w:color="000000"/>
              <w:bottom w:val="single" w:sz="3" w:space="0" w:color="000000"/>
              <w:right w:val="single" w:sz="3" w:space="0" w:color="000000"/>
            </w:tcBorders>
            <w:shd w:val="clear" w:color="auto" w:fill="DA9694"/>
          </w:tcPr>
          <w:p>
            <w:pPr>
              <w:widowControl w:val="0"/>
              <w:spacing w:before="111" w:after="0" w:line="240" w:lineRule="auto"/>
              <w:jc w:val="center"/>
              <w:rPr>
                <w:rFonts w:ascii="Times New Roman" w:eastAsia="Times New Roman" w:hAnsi="Times New Roman" w:cs="Times New Roman"/>
                <w:noProof/>
                <w:sz w:val="16"/>
                <w:szCs w:val="16"/>
              </w:rPr>
            </w:pPr>
            <w:r>
              <w:rPr>
                <w:rFonts w:ascii="Times New Roman" w:hAnsi="Times New Roman" w:cs="Times New Roman"/>
                <w:b/>
                <w:noProof/>
                <w:spacing w:val="-1"/>
                <w:sz w:val="16"/>
              </w:rPr>
              <w:t>Autre règle d'exécution (RE)</w:t>
            </w:r>
          </w:p>
        </w:tc>
      </w:tr>
    </w:tbl>
    <w:p>
      <w:pPr>
        <w:widowControl w:val="0"/>
        <w:spacing w:before="79" w:after="0" w:line="527" w:lineRule="auto"/>
        <w:ind w:right="8323"/>
        <w:rPr>
          <w:rFonts w:ascii="Times New Roman" w:hAnsi="Times New Roman" w:cs="Times New Roman"/>
          <w:noProof/>
          <w:sz w:val="20"/>
          <w:szCs w:val="20"/>
        </w:rPr>
      </w:pPr>
    </w:p>
    <w:p>
      <w:pPr>
        <w:jc w:val="both"/>
        <w:rPr>
          <w:rFonts w:ascii="Times New Roman" w:hAnsi="Times New Roman" w:cs="Times New Roman"/>
          <w:i/>
          <w:noProof/>
          <w:sz w:val="24"/>
          <w:szCs w:val="24"/>
        </w:rPr>
      </w:pPr>
      <w:r>
        <w:rPr>
          <w:rFonts w:ascii="Times New Roman" w:hAnsi="Times New Roman" w:cs="Times New Roman"/>
          <w:i/>
          <w:noProof/>
          <w:sz w:val="24"/>
        </w:rPr>
        <w:t>La méthode de comptabilisation suivante a été utilisée:</w:t>
      </w:r>
    </w:p>
    <w:p>
      <w:pPr>
        <w:pStyle w:val="ListParagraph"/>
        <w:widowControl/>
        <w:numPr>
          <w:ilvl w:val="0"/>
          <w:numId w:val="2"/>
        </w:numPr>
        <w:spacing w:after="200" w:line="276" w:lineRule="auto"/>
        <w:contextualSpacing/>
        <w:jc w:val="both"/>
        <w:rPr>
          <w:rFonts w:ascii="Times New Roman" w:hAnsi="Times New Roman" w:cs="Times New Roman"/>
          <w:i/>
          <w:noProof/>
          <w:sz w:val="20"/>
          <w:szCs w:val="20"/>
        </w:rPr>
      </w:pPr>
      <w:r>
        <w:rPr>
          <w:rFonts w:ascii="Times New Roman" w:hAnsi="Times New Roman" w:cs="Times New Roman"/>
          <w:i/>
          <w:noProof/>
          <w:sz w:val="24"/>
        </w:rPr>
        <w:t>chaque règle d'exécution a été comptabilisée une seule fois, même si elle couvrait plus d’un thème</w:t>
      </w:r>
      <w:r>
        <w:rPr>
          <w:rStyle w:val="FootnoteReference"/>
          <w:rFonts w:ascii="Times New Roman" w:hAnsi="Times New Roman" w:cs="Times New Roman"/>
          <w:i/>
          <w:noProof/>
          <w:sz w:val="20"/>
        </w:rPr>
        <w:footnoteReference w:id="1"/>
      </w:r>
      <w:r>
        <w:rPr>
          <w:rFonts w:ascii="Times New Roman" w:hAnsi="Times New Roman" w:cs="Times New Roman"/>
          <w:i/>
          <w:noProof/>
          <w:sz w:val="24"/>
        </w:rPr>
        <w:t>;</w:t>
      </w:r>
    </w:p>
    <w:p>
      <w:pPr>
        <w:pStyle w:val="ListParagraph"/>
        <w:widowControl/>
        <w:numPr>
          <w:ilvl w:val="0"/>
          <w:numId w:val="2"/>
        </w:numPr>
        <w:spacing w:after="200" w:line="276" w:lineRule="auto"/>
        <w:contextualSpacing/>
        <w:jc w:val="both"/>
        <w:rPr>
          <w:rFonts w:ascii="Times New Roman" w:hAnsi="Times New Roman" w:cs="Times New Roman"/>
          <w:i/>
          <w:noProof/>
          <w:sz w:val="24"/>
          <w:szCs w:val="24"/>
        </w:rPr>
      </w:pPr>
      <w:r>
        <w:rPr>
          <w:rFonts w:ascii="Times New Roman" w:hAnsi="Times New Roman" w:cs="Times New Roman"/>
          <w:i/>
          <w:noProof/>
          <w:sz w:val="24"/>
        </w:rPr>
        <w:t>une règle modifiant une règle existante n’a pas été comptabilisée séparément;</w:t>
      </w:r>
    </w:p>
    <w:p>
      <w:pPr>
        <w:pStyle w:val="ListParagraph"/>
        <w:widowControl/>
        <w:numPr>
          <w:ilvl w:val="0"/>
          <w:numId w:val="2"/>
        </w:numPr>
        <w:spacing w:after="200" w:line="276" w:lineRule="auto"/>
        <w:contextualSpacing/>
        <w:jc w:val="both"/>
        <w:rPr>
          <w:rFonts w:ascii="Times New Roman" w:hAnsi="Times New Roman" w:cs="Times New Roman"/>
          <w:i/>
          <w:noProof/>
          <w:sz w:val="20"/>
          <w:szCs w:val="20"/>
        </w:rPr>
      </w:pPr>
      <w:r>
        <w:rPr>
          <w:rFonts w:ascii="Times New Roman" w:hAnsi="Times New Roman" w:cs="Times New Roman"/>
          <w:i/>
          <w:noProof/>
          <w:sz w:val="24"/>
        </w:rPr>
        <w:t>si une règle d'exécution a été remplacée pendant la période couverte par le rapport, une seule règle d'exécution a été comptabilisée</w:t>
      </w:r>
      <w:r>
        <w:rPr>
          <w:rStyle w:val="FootnoteReference"/>
          <w:rFonts w:ascii="Times New Roman" w:hAnsi="Times New Roman" w:cs="Times New Roman"/>
          <w:i/>
          <w:noProof/>
          <w:sz w:val="20"/>
        </w:rPr>
        <w:footnoteReference w:id="2"/>
      </w:r>
      <w:r>
        <w:rPr>
          <w:rFonts w:ascii="Times New Roman" w:hAnsi="Times New Roman" w:cs="Times New Roman"/>
          <w:i/>
          <w:noProof/>
          <w:sz w:val="24"/>
        </w:rPr>
        <w:t>.</w:t>
      </w:r>
    </w:p>
    <w:p>
      <w:pPr>
        <w:widowControl w:val="0"/>
        <w:spacing w:before="83" w:after="0" w:line="644" w:lineRule="auto"/>
        <w:ind w:left="920" w:right="8476"/>
        <w:jc w:val="center"/>
        <w:rPr>
          <w:rFonts w:ascii="Times New Roman" w:eastAsia="Times New Roman" w:hAnsi="Times New Roman" w:cs="Times New Roman"/>
          <w:noProof/>
          <w:sz w:val="16"/>
          <w:szCs w:val="16"/>
        </w:rPr>
      </w:pPr>
    </w:p>
    <w:p>
      <w:pPr>
        <w:rPr>
          <w:rFonts w:ascii="Times New Roman" w:hAnsi="Times New Roman" w:cs="Times New Roman"/>
          <w:noProof/>
        </w:rPr>
      </w:pPr>
    </w:p>
    <w:sectPr>
      <w:headerReference w:type="even" r:id="rId183"/>
      <w:headerReference w:type="default" r:id="rId184"/>
      <w:footerReference w:type="even" r:id="rId185"/>
      <w:footerReference w:type="default" r:id="rId186"/>
      <w:headerReference w:type="first" r:id="rId187"/>
      <w:footerReference w:type="first" r:id="rId188"/>
      <w:pgSz w:w="11900" w:h="16840" w:code="9"/>
      <w:pgMar w:top="1280" w:right="560" w:bottom="280" w:left="220" w:header="108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Pr>
        <w:footnoteRef/>
      </w:r>
      <w:r>
        <w:rPr>
          <w:rFonts w:ascii="Times New Roman" w:hAnsi="Times New Roman"/>
        </w:rPr>
        <w:t xml:space="preserve"> Une exception a été faite dans le cas des «décisions omnibus» arrêtées par le SEAE, c’est-à-dire des décisions globales qui adoptent, en bloc et par analogie, plusieurs décisions particulières d’autres institutions. Dans ce cas, le nombre correspondant de décisions particulières a été comptabilisé.</w:t>
      </w:r>
    </w:p>
  </w:footnote>
  <w:footnote w:id="2">
    <w:p>
      <w:pPr>
        <w:pStyle w:val="FootnoteText"/>
        <w:jc w:val="both"/>
        <w:rPr>
          <w:rFonts w:ascii="Times New Roman" w:hAnsi="Times New Roman" w:cs="Times New Roman"/>
        </w:rPr>
      </w:pPr>
      <w:r>
        <w:rPr>
          <w:rStyle w:val="FootnoteReference"/>
        </w:rPr>
        <w:footnoteRef/>
      </w:r>
      <w:r>
        <w:rPr>
          <w:rFonts w:ascii="Times New Roman" w:hAnsi="Times New Roman"/>
        </w:rPr>
        <w:t xml:space="preserve"> Cependant, lorsqu’une disposition générale d’exécution a été remplacée par une règle d’exécution d’un autre type (ou inversement), deux règles d’exécution ont été comptabilisées (une pour chaque catégorie de règle).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249803"/>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pPr>
      <w:spacing w:line="14" w:lineRule="auto"/>
      <w:rPr>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402539"/>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pPr>
      <w:spacing w:line="14" w:lineRule="auto"/>
      <w:rPr>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587305"/>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pPr>
      <w:spacing w:line="14" w:lineRule="auto"/>
      <w:rPr>
        <w:sz w:val="20"/>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23004"/>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pPr>
      <w:spacing w:line="14" w:lineRule="auto"/>
      <w:rPr>
        <w:sz w:val="20"/>
        <w:szCs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030997"/>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16</w:t>
        </w:r>
        <w:r>
          <w:rPr>
            <w:noProof/>
          </w:rPr>
          <w:fldChar w:fldCharType="end"/>
        </w:r>
      </w:p>
    </w:sdtContent>
  </w:sdt>
  <w:p>
    <w:pPr>
      <w:spacing w:line="14" w:lineRule="auto"/>
      <w:rPr>
        <w:sz w:val="20"/>
        <w:szCs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647332"/>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18</w:t>
        </w:r>
        <w:r>
          <w:rPr>
            <w:noProof/>
          </w:rPr>
          <w:fldChar w:fldCharType="end"/>
        </w:r>
      </w:p>
    </w:sdtContent>
  </w:sdt>
  <w:p>
    <w:pPr>
      <w:spacing w:line="14" w:lineRule="auto"/>
      <w:rPr>
        <w:sz w:val="20"/>
        <w:szCs w:val="2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703640"/>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19</w:t>
        </w:r>
        <w:r>
          <w:rPr>
            <w:noProof/>
          </w:rPr>
          <w:fldChar w:fldCharType="end"/>
        </w:r>
      </w:p>
    </w:sdtContent>
  </w:sdt>
  <w:p>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433488"/>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20</w:t>
        </w:r>
        <w:r>
          <w:rPr>
            <w:noProof/>
          </w:rPr>
          <w:fldChar w:fldCharType="end"/>
        </w:r>
      </w:p>
    </w:sdtContent>
  </w:sdt>
  <w:p>
    <w:pPr>
      <w:spacing w:line="14" w:lineRule="auto"/>
      <w:rPr>
        <w:sz w:val="20"/>
        <w:szCs w:val="20"/>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951503"/>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23</w:t>
        </w:r>
        <w:r>
          <w:rPr>
            <w:noProof/>
          </w:rPr>
          <w:fldChar w:fldCharType="end"/>
        </w:r>
      </w:p>
    </w:sdtContent>
  </w:sdt>
  <w:p>
    <w:pPr>
      <w:spacing w:line="14" w:lineRule="auto"/>
      <w:rPr>
        <w:sz w:val="20"/>
        <w:szCs w:val="20"/>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098812"/>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24</w:t>
        </w:r>
        <w:r>
          <w:rPr>
            <w:noProof/>
          </w:rPr>
          <w:fldChar w:fldCharType="end"/>
        </w:r>
      </w:p>
    </w:sdtContent>
  </w:sdt>
  <w:p>
    <w:pPr>
      <w:spacing w:line="14" w:lineRule="auto"/>
      <w:rPr>
        <w:sz w:val="20"/>
        <w:szCs w:val="20"/>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476154"/>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26</w:t>
        </w:r>
        <w:r>
          <w:rPr>
            <w:noProof/>
          </w:rPr>
          <w:fldChar w:fldCharType="end"/>
        </w:r>
      </w:p>
    </w:sdtContent>
  </w:sdt>
  <w:p>
    <w:pPr>
      <w:spacing w:line="14" w:lineRule="auto"/>
      <w:rPr>
        <w:sz w:val="20"/>
        <w:szCs w:val="20"/>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856853"/>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27</w:t>
        </w:r>
        <w:r>
          <w:rPr>
            <w:noProof/>
          </w:rPr>
          <w:fldChar w:fldCharType="end"/>
        </w:r>
      </w:p>
    </w:sdtContent>
  </w:sdt>
  <w:p>
    <w:pPr>
      <w:spacing w:line="14" w:lineRule="auto"/>
      <w:rPr>
        <w:sz w:val="20"/>
        <w:szCs w:val="20"/>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753272"/>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28</w:t>
        </w:r>
        <w:r>
          <w:rPr>
            <w:noProof/>
          </w:rPr>
          <w:fldChar w:fldCharType="end"/>
        </w:r>
      </w:p>
    </w:sdtContent>
  </w:sdt>
  <w:p>
    <w:pPr>
      <w:spacing w:line="14" w:lineRule="auto"/>
      <w:rPr>
        <w:sz w:val="20"/>
        <w:szCs w:val="20"/>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250878"/>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pPr>
      <w:spacing w:line="14" w:lineRule="auto"/>
      <w:rPr>
        <w:sz w:val="20"/>
        <w:szCs w:val="20"/>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570793"/>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29</w:t>
        </w:r>
        <w:r>
          <w:rPr>
            <w:noProof/>
          </w:rPr>
          <w:fldChar w:fldCharType="end"/>
        </w:r>
      </w:p>
    </w:sdtContent>
  </w:sdt>
  <w:p>
    <w:pPr>
      <w:spacing w:line="14" w:lineRule="auto"/>
      <w:rPr>
        <w:sz w:val="20"/>
        <w:szCs w:val="20"/>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54445"/>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30</w:t>
        </w:r>
        <w:r>
          <w:rPr>
            <w:noProof/>
          </w:rPr>
          <w:fldChar w:fldCharType="end"/>
        </w:r>
      </w:p>
    </w:sdtContent>
  </w:sdt>
  <w:p>
    <w:pPr>
      <w:spacing w:line="14" w:lineRule="auto"/>
      <w:rPr>
        <w:sz w:val="20"/>
        <w:szCs w:val="20"/>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055728"/>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31</w:t>
        </w:r>
        <w:r>
          <w:rPr>
            <w:noProof/>
          </w:rPr>
          <w:fldChar w:fldCharType="end"/>
        </w:r>
      </w:p>
    </w:sdtContent>
  </w:sdt>
  <w:p>
    <w:pPr>
      <w:spacing w:line="14" w:lineRule="auto"/>
      <w:rPr>
        <w:sz w:val="20"/>
        <w:szCs w:val="20"/>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597019"/>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33</w:t>
        </w:r>
        <w:r>
          <w:rPr>
            <w:noProof/>
          </w:rPr>
          <w:fldChar w:fldCharType="end"/>
        </w:r>
      </w:p>
    </w:sdtContent>
  </w:sdt>
  <w:p>
    <w:pPr>
      <w:spacing w:line="14" w:lineRule="auto"/>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339719"/>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34</w:t>
        </w:r>
        <w:r>
          <w:rPr>
            <w:noProof/>
          </w:rPr>
          <w:fldChar w:fldCharType="end"/>
        </w:r>
      </w:p>
    </w:sdtContent>
  </w:sdt>
  <w:p>
    <w:pPr>
      <w:spacing w:line="14" w:lineRule="auto"/>
      <w:rPr>
        <w:sz w:val="20"/>
        <w:szCs w:val="20"/>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518552"/>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35</w:t>
        </w:r>
        <w:r>
          <w:rPr>
            <w:noProof/>
          </w:rPr>
          <w:fldChar w:fldCharType="end"/>
        </w:r>
      </w:p>
    </w:sdtContent>
  </w:sdt>
  <w:p>
    <w:pPr>
      <w:spacing w:line="14" w:lineRule="auto"/>
      <w:rPr>
        <w:sz w:val="20"/>
        <w:szCs w:val="20"/>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334770"/>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37</w:t>
        </w:r>
        <w:r>
          <w:rPr>
            <w:noProof/>
          </w:rPr>
          <w:fldChar w:fldCharType="end"/>
        </w:r>
      </w:p>
    </w:sdtContent>
  </w:sdt>
  <w:p>
    <w:pPr>
      <w:spacing w:line="14" w:lineRule="auto"/>
      <w:rPr>
        <w:sz w:val="20"/>
        <w:szCs w:val="20"/>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35400"/>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38</w:t>
        </w:r>
        <w:r>
          <w:rPr>
            <w:noProof/>
          </w:rPr>
          <w:fldChar w:fldCharType="end"/>
        </w:r>
      </w:p>
    </w:sdtContent>
  </w:sdt>
  <w:p>
    <w:pPr>
      <w:spacing w:line="14" w:lineRule="auto"/>
      <w:rPr>
        <w:sz w:val="20"/>
        <w:szCs w:val="20"/>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098865"/>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39</w:t>
        </w:r>
        <w:r>
          <w:rPr>
            <w:noProof/>
          </w:rPr>
          <w:fldChar w:fldCharType="end"/>
        </w:r>
      </w:p>
    </w:sdtContent>
  </w:sdt>
  <w:p>
    <w:pPr>
      <w:spacing w:line="14" w:lineRule="auto"/>
      <w:rPr>
        <w:sz w:val="20"/>
        <w:szCs w:val="20"/>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181688"/>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42</w:t>
        </w:r>
        <w:r>
          <w:rPr>
            <w:noProof/>
          </w:rPr>
          <w:fldChar w:fldCharType="end"/>
        </w:r>
      </w:p>
    </w:sdtContent>
  </w:sdt>
  <w:p>
    <w:pPr>
      <w:spacing w:line="14" w:lineRule="auto"/>
      <w:rPr>
        <w:sz w:val="20"/>
        <w:szCs w:val="20"/>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466"/>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pPr>
      <w:spacing w:line="14" w:lineRule="auto"/>
      <w:rPr>
        <w:sz w:val="20"/>
        <w:szCs w:val="20"/>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393444"/>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43</w:t>
        </w:r>
        <w:r>
          <w:rPr>
            <w:noProof/>
          </w:rPr>
          <w:fldChar w:fldCharType="end"/>
        </w:r>
      </w:p>
    </w:sdtContent>
  </w:sdt>
  <w:p>
    <w:pPr>
      <w:spacing w:line="14" w:lineRule="auto"/>
      <w:rPr>
        <w:sz w:val="20"/>
        <w:szCs w:val="20"/>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922373"/>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45</w:t>
        </w:r>
        <w:r>
          <w:rPr>
            <w:noProof/>
          </w:rPr>
          <w:fldChar w:fldCharType="end"/>
        </w:r>
      </w:p>
    </w:sdtContent>
  </w:sdt>
  <w:p>
    <w:pPr>
      <w:spacing w:line="14" w:lineRule="auto"/>
      <w:rPr>
        <w:sz w:val="20"/>
        <w:szCs w:val="20"/>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122200"/>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46</w:t>
        </w:r>
        <w:r>
          <w:rPr>
            <w:noProof/>
          </w:rPr>
          <w:fldChar w:fldCharType="end"/>
        </w:r>
      </w:p>
    </w:sdtContent>
  </w:sdt>
  <w:p>
    <w:pPr>
      <w:spacing w:line="14" w:lineRule="auto"/>
      <w:rPr>
        <w:sz w:val="20"/>
        <w:szCs w:val="20"/>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87995"/>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47</w:t>
        </w:r>
        <w:r>
          <w:rPr>
            <w:noProof/>
          </w:rPr>
          <w:fldChar w:fldCharType="end"/>
        </w:r>
      </w:p>
    </w:sdtContent>
  </w:sdt>
  <w:p>
    <w:pPr>
      <w:spacing w:line="14" w:lineRule="auto"/>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07085"/>
    <w:multiLevelType w:val="hybridMultilevel"/>
    <w:tmpl w:val="CF3E3BEE"/>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59C2B42"/>
    <w:multiLevelType w:val="hybridMultilevel"/>
    <w:tmpl w:val="59CC632A"/>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ANNEX_NBR_FIRST" w:val="2"/>
    <w:docVar w:name="LW_ANNEX_NBR_LAST" w:val="2"/>
    <w:docVar w:name="LW_CONFIDENCE" w:val=" "/>
    <w:docVar w:name="LW_CONST_RESTREINT_UE" w:val="RESTREINT UE"/>
    <w:docVar w:name="LW_CORRIGENDUM" w:val="&lt;UNUSED&gt;"/>
    <w:docVar w:name="LW_COVERPAGE_GUID" w:val="F111A648018F4C26A8799BF6831D021F"/>
    <w:docVar w:name="LW_CROSSREFERENCE" w:val="&lt;UNUSED&gt;"/>
    <w:docVar w:name="LW_DocType" w:val="NORMAL"/>
    <w:docVar w:name="LW_EMISSION" w:val="26.10.2017"/>
    <w:docVar w:name="LW_EMISSION_ISODATE" w:val="2017-10-26"/>
    <w:docVar w:name="LW_EMISSION_LOCATION" w:val="BRX"/>
    <w:docVar w:name="LW_EMISSION_PREFIX" w:val="Bruxelles, le "/>
    <w:docVar w:name="LW_EMISSION_SUFFIX" w:val=" "/>
    <w:docVar w:name="LW_ID_DOCTYPE_NONLW" w:val="CP-039"/>
    <w:docVar w:name="LW_LANGUE" w:val="FR"/>
    <w:docVar w:name="LW_MARKING" w:val="&lt;UNUSED&gt;"/>
    <w:docVar w:name="LW_NOM.INST" w:val="COMMISSION EUROPÉENNE"/>
    <w:docVar w:name="LW_NOM.INST_JOINTDOC" w:val="&lt;EMPTY&gt;"/>
    <w:docVar w:name="LW_OBJETACTEPRINCIPAL.CP" w:val="&lt;UNUSED&gt;"/>
    <w:docVar w:name="LW_PART_NBR" w:val="1"/>
    <w:docVar w:name="LW_PART_NBR_TOTAL" w:val="1"/>
    <w:docVar w:name="LW_REF.INST.NEW" w:val="COM"/>
    <w:docVar w:name="LW_REF.INST.NEW_ADOPTED" w:val="final"/>
    <w:docVar w:name="LW_REF.INST.NEW_TEXT" w:val="(2017) 632"/>
    <w:docVar w:name="LW_REF.INTERNE" w:val="&lt;UNUSED&gt;"/>
    <w:docVar w:name="LW_SUPERTITRE" w:val="&lt;UNUSED&gt;"/>
    <w:docVar w:name="LW_TITRE.OBJ.CP" w:val="du rapport de la Commission au Parlement européen et au Conseil sur les règles d\u8217?exécution du statut des fonctionnaires adoptées par l\u8217?autorité investie du pouvoir de nomination de chaque institution"/>
    <w:docVar w:name="LW_TYPE.DOC.CP" w:val="ANNEXE_x000b_"/>
    <w:docVar w:name="LW_TYPEACTEPRINCIPAL.CP" w:val="Règles d'exécution dans les institution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numbering" w:customStyle="1" w:styleId="NoList1">
    <w:name w:val="No List1"/>
    <w:next w:val="NoList"/>
    <w:uiPriority w:val="99"/>
    <w:semiHidden/>
    <w:unhideWhenUsed/>
  </w:style>
  <w:style w:type="paragraph" w:styleId="BodyText">
    <w:name w:val="Body Text"/>
    <w:basedOn w:val="Normal"/>
    <w:link w:val="BodyTextChar"/>
    <w:uiPriority w:val="1"/>
    <w:qFormat/>
    <w:pPr>
      <w:widowControl w:val="0"/>
      <w:spacing w:before="83" w:after="0" w:line="240" w:lineRule="auto"/>
      <w:ind w:left="920"/>
    </w:pPr>
    <w:rPr>
      <w:rFonts w:ascii="Times New Roman" w:eastAsia="Times New Roman" w:hAnsi="Times New Roman"/>
      <w:i/>
      <w:sz w:val="15"/>
      <w:szCs w:val="15"/>
    </w:rPr>
  </w:style>
  <w:style w:type="character" w:customStyle="1" w:styleId="BodyTextChar">
    <w:name w:val="Body Text Char"/>
    <w:basedOn w:val="DefaultParagraphFont"/>
    <w:link w:val="BodyText"/>
    <w:uiPriority w:val="1"/>
    <w:rPr>
      <w:rFonts w:ascii="Times New Roman" w:eastAsia="Times New Roman" w:hAnsi="Times New Roman"/>
      <w:i/>
      <w:sz w:val="15"/>
      <w:szCs w:val="15"/>
      <w:lang w:val="fr-FR"/>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numbering" w:customStyle="1" w:styleId="NoList6">
    <w:name w:val="No List6"/>
    <w:next w:val="NoList"/>
    <w:uiPriority w:val="99"/>
    <w:semiHidden/>
    <w:unhideWhenUsed/>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bCs/>
      <w:sz w:val="24"/>
      <w:szCs w:val="24"/>
    </w:rPr>
  </w:style>
  <w:style w:type="paragraph" w:customStyle="1" w:styleId="Typedudocument">
    <w:name w:val="Type du document"/>
    <w:basedOn w:val="Normal"/>
    <w:next w:val="Normal"/>
    <w:pPr>
      <w:spacing w:before="360" w:after="0" w:line="240" w:lineRule="auto"/>
      <w:jc w:val="center"/>
    </w:pPr>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numbering" w:customStyle="1" w:styleId="NoList1">
    <w:name w:val="No List1"/>
    <w:next w:val="NoList"/>
    <w:uiPriority w:val="99"/>
    <w:semiHidden/>
    <w:unhideWhenUsed/>
  </w:style>
  <w:style w:type="paragraph" w:styleId="BodyText">
    <w:name w:val="Body Text"/>
    <w:basedOn w:val="Normal"/>
    <w:link w:val="BodyTextChar"/>
    <w:uiPriority w:val="1"/>
    <w:qFormat/>
    <w:pPr>
      <w:widowControl w:val="0"/>
      <w:spacing w:before="83" w:after="0" w:line="240" w:lineRule="auto"/>
      <w:ind w:left="920"/>
    </w:pPr>
    <w:rPr>
      <w:rFonts w:ascii="Times New Roman" w:eastAsia="Times New Roman" w:hAnsi="Times New Roman"/>
      <w:i/>
      <w:sz w:val="15"/>
      <w:szCs w:val="15"/>
    </w:rPr>
  </w:style>
  <w:style w:type="character" w:customStyle="1" w:styleId="BodyTextChar">
    <w:name w:val="Body Text Char"/>
    <w:basedOn w:val="DefaultParagraphFont"/>
    <w:link w:val="BodyText"/>
    <w:uiPriority w:val="1"/>
    <w:rPr>
      <w:rFonts w:ascii="Times New Roman" w:eastAsia="Times New Roman" w:hAnsi="Times New Roman"/>
      <w:i/>
      <w:sz w:val="15"/>
      <w:szCs w:val="15"/>
      <w:lang w:val="fr-FR"/>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numbering" w:customStyle="1" w:styleId="NoList6">
    <w:name w:val="No List6"/>
    <w:next w:val="NoList"/>
    <w:uiPriority w:val="99"/>
    <w:semiHidden/>
    <w:unhideWhenUsed/>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bCs/>
      <w:sz w:val="24"/>
      <w:szCs w:val="24"/>
    </w:rPr>
  </w:style>
  <w:style w:type="paragraph" w:customStyle="1" w:styleId="Typedudocument">
    <w:name w:val="Type du document"/>
    <w:basedOn w:val="Normal"/>
    <w:next w:val="Normal"/>
    <w:pPr>
      <w:spacing w:before="360" w:after="0" w:line="240" w:lineRule="auto"/>
      <w:jc w:val="center"/>
    </w:pPr>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38" Type="http://schemas.openxmlformats.org/officeDocument/2006/relationships/footer" Target="footer65.xml"/><Relationship Id="rId154" Type="http://schemas.openxmlformats.org/officeDocument/2006/relationships/header" Target="header74.xml"/><Relationship Id="rId159" Type="http://schemas.openxmlformats.org/officeDocument/2006/relationships/header" Target="header76.xml"/><Relationship Id="rId175" Type="http://schemas.openxmlformats.org/officeDocument/2006/relationships/header" Target="header84.xml"/><Relationship Id="rId170" Type="http://schemas.openxmlformats.org/officeDocument/2006/relationships/footer" Target="footer81.xml"/><Relationship Id="rId16" Type="http://schemas.openxmlformats.org/officeDocument/2006/relationships/header" Target="header5.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28" Type="http://schemas.openxmlformats.org/officeDocument/2006/relationships/footer" Target="footer60.xml"/><Relationship Id="rId144" Type="http://schemas.openxmlformats.org/officeDocument/2006/relationships/footer" Target="footer68.xml"/><Relationship Id="rId149" Type="http://schemas.openxmlformats.org/officeDocument/2006/relationships/footer" Target="footer70.xml"/><Relationship Id="rId5" Type="http://schemas.openxmlformats.org/officeDocument/2006/relationships/webSettings" Target="webSettings.xml"/><Relationship Id="rId90" Type="http://schemas.openxmlformats.org/officeDocument/2006/relationships/footer" Target="footer41.xml"/><Relationship Id="rId95" Type="http://schemas.openxmlformats.org/officeDocument/2006/relationships/footer" Target="footer43.xml"/><Relationship Id="rId160" Type="http://schemas.openxmlformats.org/officeDocument/2006/relationships/header" Target="header77.xml"/><Relationship Id="rId165" Type="http://schemas.openxmlformats.org/officeDocument/2006/relationships/header" Target="header79.xml"/><Relationship Id="rId181" Type="http://schemas.openxmlformats.org/officeDocument/2006/relationships/header" Target="header87.xml"/><Relationship Id="rId186" Type="http://schemas.openxmlformats.org/officeDocument/2006/relationships/footer" Target="footer89.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1.xml"/><Relationship Id="rId155" Type="http://schemas.openxmlformats.org/officeDocument/2006/relationships/footer" Target="footer73.xml"/><Relationship Id="rId171" Type="http://schemas.openxmlformats.org/officeDocument/2006/relationships/header" Target="header82.xml"/><Relationship Id="rId176" Type="http://schemas.openxmlformats.org/officeDocument/2006/relationships/footer" Target="footer84.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footer" Target="footer76.xml"/><Relationship Id="rId166" Type="http://schemas.openxmlformats.org/officeDocument/2006/relationships/header" Target="header80.xml"/><Relationship Id="rId182" Type="http://schemas.openxmlformats.org/officeDocument/2006/relationships/footer" Target="footer87.xml"/><Relationship Id="rId187" Type="http://schemas.openxmlformats.org/officeDocument/2006/relationships/header" Target="header90.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4.xml"/><Relationship Id="rId177" Type="http://schemas.openxmlformats.org/officeDocument/2006/relationships/header" Target="header85.xml"/><Relationship Id="rId172" Type="http://schemas.openxmlformats.org/officeDocument/2006/relationships/header" Target="header83.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8.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2.xml"/><Relationship Id="rId173" Type="http://schemas.openxmlformats.org/officeDocument/2006/relationships/footer" Target="footer82.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189"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79" Type="http://schemas.openxmlformats.org/officeDocument/2006/relationships/footer" Target="footer85.xml"/><Relationship Id="rId190" Type="http://schemas.openxmlformats.org/officeDocument/2006/relationships/theme" Target="theme/theme1.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71.xml"/><Relationship Id="rId164" Type="http://schemas.openxmlformats.org/officeDocument/2006/relationships/footer" Target="footer78.xml"/><Relationship Id="rId169" Type="http://schemas.openxmlformats.org/officeDocument/2006/relationships/header" Target="header81.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48</Pages>
  <Words>17289</Words>
  <Characters>95614</Characters>
  <Application>Microsoft Office Word</Application>
  <DocSecurity>0</DocSecurity>
  <Lines>7967</Lines>
  <Paragraphs>3528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NISTOR Catalina (SJ)</dc:creator>
  <cp:lastModifiedBy>DIGIT/A3</cp:lastModifiedBy>
  <cp:revision>32</cp:revision>
  <cp:lastPrinted>2017-10-05T08:14:00Z</cp:lastPrinted>
  <dcterms:created xsi:type="dcterms:W3CDTF">2017-09-17T13:28:00Z</dcterms:created>
  <dcterms:modified xsi:type="dcterms:W3CDTF">2017-10-25T08:16:00Z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2</vt:lpwstr>
  </property>
  <property fmtid="{D5CDD505-2E9C-101B-9397-08002B2CF9AE}" pid="3" name="Last annex">
    <vt:lpwstr>2</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DocStatus">
    <vt:lpwstr>Green</vt:lpwstr>
  </property>
</Properties>
</file>