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DC457ADAA2124D2C8D8FCE833FB23A69" style="width:450.4pt;height:385.3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pPr w:leftFromText="180" w:rightFromText="180" w:vertAnchor="page" w:horzAnchor="margin" w:tblpX="-137" w:tblpY="1409"/>
        <w:tblW w:w="4969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1289"/>
        <w:gridCol w:w="2011"/>
        <w:gridCol w:w="1862"/>
        <w:gridCol w:w="1289"/>
        <w:gridCol w:w="1292"/>
        <w:gridCol w:w="1292"/>
        <w:gridCol w:w="1292"/>
        <w:gridCol w:w="1004"/>
        <w:gridCol w:w="1146"/>
        <w:gridCol w:w="1292"/>
        <w:gridCol w:w="713"/>
      </w:tblGrid>
      <w:tr>
        <w:trPr>
          <w:cantSplit/>
          <w:trHeight w:val="692"/>
        </w:trPr>
        <w:tc>
          <w:tcPr>
            <w:tcW w:w="742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Pagedecouverture"/>
              <w:rPr>
                <w:noProof/>
              </w:rPr>
            </w:pPr>
            <w:bookmarkStart w:id="1" w:name="_GoBack"/>
            <w:bookmarkEnd w:id="1"/>
          </w:p>
          <w:p>
            <w:pPr>
              <w:pStyle w:val="Pagedecouverture"/>
              <w:rPr>
                <w:noProof/>
              </w:rPr>
            </w:pPr>
          </w:p>
          <w:p>
            <w:pPr>
              <w:pStyle w:val="Pagedecouverture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Pagedecouverture"/>
              <w:rPr>
                <w:b/>
                <w:noProof/>
                <w:spacing w:val="-1"/>
                <w:sz w:val="20"/>
                <w:szCs w:val="20"/>
              </w:rPr>
            </w:pPr>
          </w:p>
          <w:p>
            <w:pPr>
              <w:pStyle w:val="Pagedecouverture"/>
              <w:jc w:val="center"/>
              <w:rPr>
                <w:b/>
                <w:noProof/>
                <w:spacing w:val="-1"/>
                <w:sz w:val="28"/>
                <w:szCs w:val="28"/>
              </w:rPr>
            </w:pPr>
            <w:r>
              <w:rPr>
                <w:b/>
                <w:noProof/>
                <w:spacing w:val="-1"/>
                <w:sz w:val="28"/>
              </w:rPr>
              <w:t>Commission</w:t>
            </w:r>
          </w:p>
        </w:tc>
        <w:tc>
          <w:tcPr>
            <w:tcW w:w="3008" w:type="pct"/>
            <w:gridSpan w:val="8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Pagedecouverture"/>
              <w:jc w:val="center"/>
              <w:rPr>
                <w:b/>
                <w:noProof/>
                <w:spacing w:val="-1"/>
                <w:sz w:val="20"/>
                <w:szCs w:val="20"/>
              </w:rPr>
            </w:pPr>
            <w:r>
              <w:rPr>
                <w:b/>
                <w:noProof/>
                <w:spacing w:val="-1"/>
                <w:sz w:val="28"/>
              </w:rPr>
              <w:t xml:space="preserve">Agences </w:t>
            </w:r>
            <w:r>
              <w:rPr>
                <w:b/>
                <w:noProof/>
                <w:spacing w:val="-1"/>
                <w:sz w:val="28"/>
                <w:szCs w:val="28"/>
              </w:rPr>
              <w:br/>
            </w:r>
            <w:r>
              <w:rPr>
                <w:noProof/>
                <w:spacing w:val="-1"/>
                <w:sz w:val="16"/>
              </w:rPr>
              <w:t>Nombre de règles d'exécution au 31 décembre 2016</w:t>
            </w:r>
          </w:p>
        </w:tc>
      </w:tr>
      <w:tr>
        <w:trPr>
          <w:cantSplit/>
          <w:trHeight w:val="277"/>
        </w:trPr>
        <w:tc>
          <w:tcPr>
            <w:tcW w:w="742" w:type="pct"/>
            <w:gridSpan w:val="2"/>
            <w:vMerge/>
            <w:tcBorders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C5D9F1"/>
          </w:tcPr>
          <w:p>
            <w:pPr>
              <w:pStyle w:val="TableParagraph"/>
              <w:rPr>
                <w:noProof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</w:rPr>
              <w:t>Adopt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es avant la r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forme 2014</w:t>
            </w:r>
            <w:r>
              <w:rPr>
                <w:rStyle w:val="FootnoteReference"/>
                <w:noProof/>
                <w:spacing w:val="-1"/>
                <w:sz w:val="16"/>
              </w:rPr>
              <w:footnoteReference w:id="1"/>
            </w:r>
          </w:p>
        </w:tc>
        <w:tc>
          <w:tcPr>
            <w:tcW w:w="1528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</w:rPr>
              <w:t>Adopt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es apr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s la r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forme 2014</w:t>
            </w:r>
          </w:p>
        </w:tc>
        <w:tc>
          <w:tcPr>
            <w:tcW w:w="4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Aucune 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 xml:space="preserve">gle / </w:t>
            </w:r>
            <w:r>
              <w:rPr>
                <w:rFonts w:ascii="Times New Roman"/>
                <w:b/>
                <w:i/>
                <w:noProof/>
                <w:spacing w:val="-1"/>
                <w:sz w:val="14"/>
                <w:szCs w:val="14"/>
              </w:rPr>
              <w:t>opt-out</w:t>
            </w:r>
            <w:r>
              <w:rPr>
                <w:noProof/>
                <w:sz w:val="14"/>
                <w:szCs w:val="14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(y compris les demandes en cours)</w:t>
            </w:r>
          </w:p>
        </w:tc>
        <w:tc>
          <w:tcPr>
            <w:tcW w:w="2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Total</w:t>
            </w:r>
          </w:p>
        </w:tc>
      </w:tr>
      <w:tr>
        <w:trPr>
          <w:cantSplit/>
          <w:trHeight w:val="269"/>
        </w:trPr>
        <w:tc>
          <w:tcPr>
            <w:tcW w:w="326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Article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Objet</w:t>
            </w:r>
          </w:p>
        </w:tc>
        <w:tc>
          <w:tcPr>
            <w:tcW w:w="649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gle d'ex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cution de la COM pertinente</w:t>
            </w:r>
          </w:p>
        </w:tc>
        <w:tc>
          <w:tcPr>
            <w:tcW w:w="601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Accord ex ante</w:t>
            </w:r>
          </w:p>
        </w:tc>
        <w:tc>
          <w:tcPr>
            <w:tcW w:w="416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 xml:space="preserve">Analogue 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 xml:space="preserve"> une 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gle de la COM</w:t>
            </w:r>
          </w:p>
        </w:tc>
        <w:tc>
          <w:tcPr>
            <w:tcW w:w="4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gles propres</w:t>
            </w:r>
            <w:r>
              <w:rPr>
                <w:noProof/>
                <w:sz w:val="14"/>
                <w:szCs w:val="14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(y compris les demandes en cours)</w:t>
            </w:r>
          </w:p>
        </w:tc>
        <w:tc>
          <w:tcPr>
            <w:tcW w:w="834" w:type="pct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Analogie - Art. 110</w:t>
            </w:r>
          </w:p>
        </w:tc>
        <w:tc>
          <w:tcPr>
            <w:tcW w:w="32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gle fond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e sur un accord ex ante</w:t>
            </w:r>
          </w:p>
        </w:tc>
        <w:tc>
          <w:tcPr>
            <w:tcW w:w="37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gles propres diff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rentes de celles de la COM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(y compris les demandes en cours)</w:t>
            </w:r>
          </w:p>
        </w:tc>
        <w:tc>
          <w:tcPr>
            <w:tcW w:w="41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732"/>
        </w:trPr>
        <w:tc>
          <w:tcPr>
            <w:tcW w:w="326" w:type="pct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Application par analogie</w:t>
            </w:r>
          </w:p>
        </w:tc>
        <w:tc>
          <w:tcPr>
            <w:tcW w:w="41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P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riode de 9 mois non arriv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e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expiration le 31.12.2016</w:t>
            </w:r>
          </w:p>
        </w:tc>
        <w:tc>
          <w:tcPr>
            <w:tcW w:w="324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left w:val="single" w:sz="5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416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</w:tbl>
    <w:p>
      <w:pPr>
        <w:spacing w:after="0" w:line="240" w:lineRule="auto"/>
        <w:jc w:val="center"/>
        <w:rPr>
          <w:b/>
          <w:i/>
          <w:noProof/>
          <w:sz w:val="28"/>
          <w:u w:val="single"/>
        </w:rPr>
      </w:pPr>
    </w:p>
    <w:p>
      <w:pPr>
        <w:spacing w:after="0" w:line="240" w:lineRule="auto"/>
        <w:jc w:val="center"/>
        <w:rPr>
          <w:b/>
          <w:i/>
          <w:noProof/>
          <w:sz w:val="28"/>
          <w:szCs w:val="28"/>
          <w:u w:val="single"/>
        </w:rPr>
      </w:pPr>
      <w:r>
        <w:rPr>
          <w:b/>
          <w:i/>
          <w:noProof/>
          <w:sz w:val="28"/>
          <w:u w:val="single"/>
        </w:rPr>
        <w:t>Statut des fonctionnaires</w:t>
      </w:r>
    </w:p>
    <w:tbl>
      <w:tblPr>
        <w:tblStyle w:val="TableGrid"/>
        <w:tblW w:w="4900" w:type="pct"/>
        <w:tblLayout w:type="fixed"/>
        <w:tblLook w:val="04A0" w:firstRow="1" w:lastRow="0" w:firstColumn="1" w:lastColumn="0" w:noHBand="0" w:noVBand="1"/>
      </w:tblPr>
      <w:tblGrid>
        <w:gridCol w:w="962"/>
        <w:gridCol w:w="1297"/>
        <w:gridCol w:w="2006"/>
        <w:gridCol w:w="1864"/>
        <w:gridCol w:w="1291"/>
        <w:gridCol w:w="1291"/>
        <w:gridCol w:w="1291"/>
        <w:gridCol w:w="1291"/>
        <w:gridCol w:w="1003"/>
        <w:gridCol w:w="1149"/>
        <w:gridCol w:w="1291"/>
        <w:gridCol w:w="743"/>
      </w:tblGrid>
      <w:tr>
        <w:tc>
          <w:tcPr>
            <w:tcW w:w="311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1</w:t>
            </w:r>
            <w:r>
              <w:rPr>
                <w:rFonts w:ascii="Times New Roman"/>
                <w:b/>
                <w:noProof/>
                <w:spacing w:val="-1"/>
                <w:sz w:val="16"/>
                <w:vertAlign w:val="superscript"/>
              </w:rPr>
              <w:t>er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noProof/>
                <w:spacing w:val="-1"/>
                <w:sz w:val="16"/>
              </w:rPr>
              <w:t>sexies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 (1)</w:t>
            </w:r>
          </w:p>
        </w:tc>
        <w:tc>
          <w:tcPr>
            <w:tcW w:w="4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Mesures 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à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 caract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re social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D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cision C(2013) 4876 relative aux orientations concernant l'aide </w:t>
            </w:r>
            <w:r>
              <w:rPr>
                <w:rFonts w:ascii="Times New Roman"/>
                <w:noProof/>
                <w:spacing w:val="-1"/>
                <w:sz w:val="16"/>
              </w:rPr>
              <w:t>à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 la d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>pendance et la surveillance d'enfant malade</w:t>
            </w:r>
          </w:p>
        </w:tc>
        <w:tc>
          <w:tcPr>
            <w:tcW w:w="602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43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1" w:type="pct"/>
            <w:vMerge w:val="restar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5</w:t>
            </w:r>
          </w:p>
        </w:tc>
        <w:tc>
          <w:tcPr>
            <w:tcW w:w="419" w:type="pct"/>
            <w:vMerge w:val="restar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Emplois types et intitul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s d'emploi</w:t>
            </w:r>
          </w:p>
        </w:tc>
        <w:tc>
          <w:tcPr>
            <w:tcW w:w="648" w:type="pct"/>
            <w:shd w:val="clear" w:color="auto" w:fill="92D050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C(2013) 8979 - D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>cision relative aux emplois types et aux intitul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>s d'emploi</w:t>
            </w:r>
          </w:p>
        </w:tc>
        <w:tc>
          <w:tcPr>
            <w:tcW w:w="602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41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5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1" w:type="pct"/>
            <w:vMerge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9" w:type="pct"/>
            <w:vMerge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92D050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C(2016) 3214 - D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cision relative </w:t>
            </w:r>
            <w:r>
              <w:rPr>
                <w:rFonts w:ascii="Times New Roman"/>
                <w:noProof/>
                <w:spacing w:val="-1"/>
                <w:sz w:val="16"/>
              </w:rPr>
              <w:t>à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 la fonction de conseiller</w:t>
            </w:r>
          </w:p>
        </w:tc>
        <w:tc>
          <w:tcPr>
            <w:tcW w:w="602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37</w:t>
            </w:r>
          </w:p>
        </w:tc>
        <w:tc>
          <w:tcPr>
            <w:tcW w:w="32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11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1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7</w:t>
            </w:r>
          </w:p>
        </w:tc>
        <w:tc>
          <w:tcPr>
            <w:tcW w:w="4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Transfert</w:t>
            </w:r>
          </w:p>
        </w:tc>
        <w:tc>
          <w:tcPr>
            <w:tcW w:w="648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C(2009) 7839 - D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>cision relative aux modalit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s de mise en </w:t>
            </w:r>
            <w:r>
              <w:rPr>
                <w:rFonts w:ascii="Times New Roman"/>
                <w:noProof/>
                <w:spacing w:val="-1"/>
                <w:sz w:val="16"/>
              </w:rPr>
              <w:t>œ</w:t>
            </w:r>
            <w:r>
              <w:rPr>
                <w:rFonts w:ascii="Times New Roman"/>
                <w:noProof/>
                <w:spacing w:val="-1"/>
                <w:sz w:val="16"/>
              </w:rPr>
              <w:t>uvre de l</w:t>
            </w:r>
            <w:r>
              <w:rPr>
                <w:rFonts w:ascii="Times New Roman"/>
                <w:noProof/>
                <w:spacing w:val="-1"/>
                <w:sz w:val="16"/>
              </w:rPr>
              <w:t>’</w:t>
            </w:r>
            <w:r>
              <w:rPr>
                <w:rFonts w:ascii="Times New Roman"/>
                <w:noProof/>
                <w:spacing w:val="-1"/>
                <w:sz w:val="16"/>
              </w:rPr>
              <w:t>occupation par int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>rim de postes d</w:t>
            </w:r>
            <w:r>
              <w:rPr>
                <w:rFonts w:ascii="Times New Roman"/>
                <w:noProof/>
                <w:spacing w:val="-1"/>
                <w:sz w:val="16"/>
              </w:rPr>
              <w:t>’</w:t>
            </w:r>
            <w:r>
              <w:rPr>
                <w:rFonts w:ascii="Times New Roman"/>
                <w:noProof/>
                <w:spacing w:val="-1"/>
                <w:sz w:val="16"/>
              </w:rPr>
              <w:t>encadrement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5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25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18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1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9</w:t>
            </w:r>
          </w:p>
        </w:tc>
        <w:tc>
          <w:tcPr>
            <w:tcW w:w="4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Comit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 du personnel</w:t>
            </w:r>
          </w:p>
        </w:tc>
        <w:tc>
          <w:tcPr>
            <w:tcW w:w="648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R</w:t>
            </w:r>
            <w:r>
              <w:rPr>
                <w:rFonts w:ascii="Times New Roman"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noProof/>
                <w:spacing w:val="-1"/>
                <w:sz w:val="16"/>
              </w:rPr>
              <w:t>gles portant composition et fonctionnement du comit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 du personnel du 22.10.1997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C(2016) 3323 - D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>cision relative aux modalit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s de mise en </w:t>
            </w:r>
            <w:r>
              <w:rPr>
                <w:rFonts w:ascii="Times New Roman"/>
                <w:noProof/>
                <w:spacing w:val="-1"/>
                <w:sz w:val="16"/>
              </w:rPr>
              <w:t>œ</w:t>
            </w:r>
            <w:r>
              <w:rPr>
                <w:rFonts w:ascii="Times New Roman"/>
                <w:noProof/>
                <w:spacing w:val="-1"/>
                <w:sz w:val="16"/>
              </w:rPr>
              <w:t>uvre sur la constitution d</w:t>
            </w:r>
            <w:r>
              <w:rPr>
                <w:rFonts w:ascii="Times New Roman"/>
                <w:noProof/>
                <w:spacing w:val="-1"/>
                <w:sz w:val="16"/>
              </w:rPr>
              <w:t>’</w:t>
            </w:r>
            <w:r>
              <w:rPr>
                <w:rFonts w:ascii="Times New Roman"/>
                <w:noProof/>
                <w:spacing w:val="-1"/>
                <w:sz w:val="16"/>
              </w:rPr>
              <w:t>un comit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 du personnel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5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25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13</w:t>
            </w: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5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1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12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 </w:t>
            </w:r>
            <w:r>
              <w:rPr>
                <w:rFonts w:ascii="Times New Roman"/>
                <w:b/>
                <w:i/>
                <w:noProof/>
                <w:spacing w:val="-1"/>
                <w:sz w:val="16"/>
              </w:rPr>
              <w:t>bis</w:t>
            </w:r>
          </w:p>
        </w:tc>
        <w:tc>
          <w:tcPr>
            <w:tcW w:w="4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Harc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lement</w:t>
            </w:r>
          </w:p>
        </w:tc>
        <w:tc>
          <w:tcPr>
            <w:tcW w:w="648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C(2006) 1624/3 - D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cision relative </w:t>
            </w:r>
            <w:r>
              <w:rPr>
                <w:rFonts w:ascii="Times New Roman"/>
                <w:noProof/>
                <w:spacing w:val="-1"/>
                <w:sz w:val="16"/>
              </w:rPr>
              <w:t>à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 la protection de la dignit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 de la personne et </w:t>
            </w:r>
            <w:r>
              <w:rPr>
                <w:rFonts w:ascii="Times New Roman"/>
                <w:noProof/>
                <w:spacing w:val="-1"/>
                <w:sz w:val="16"/>
              </w:rPr>
              <w:t>à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 la lutte contre le harc</w:t>
            </w:r>
            <w:r>
              <w:rPr>
                <w:rFonts w:ascii="Times New Roman"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noProof/>
                <w:spacing w:val="-1"/>
                <w:sz w:val="16"/>
              </w:rPr>
              <w:t>lement moral et le harc</w:t>
            </w:r>
            <w:r>
              <w:rPr>
                <w:rFonts w:ascii="Times New Roman"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lement sexuel </w:t>
            </w:r>
            <w:r>
              <w:rPr>
                <w:rFonts w:ascii="Times New Roman"/>
                <w:noProof/>
                <w:spacing w:val="-1"/>
                <w:sz w:val="16"/>
              </w:rPr>
              <w:t>à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 la Commission europ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>enne</w:t>
            </w:r>
          </w:p>
        </w:tc>
        <w:tc>
          <w:tcPr>
            <w:tcW w:w="602" w:type="pct"/>
            <w:shd w:val="clear" w:color="auto" w:fill="F79646" w:themeFill="accent6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C(2016) 6595 - D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cision relative </w:t>
            </w:r>
            <w:r>
              <w:rPr>
                <w:rFonts w:ascii="Times New Roman"/>
                <w:noProof/>
                <w:spacing w:val="-1"/>
                <w:sz w:val="16"/>
              </w:rPr>
              <w:t>à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 la politique de protection de la dignit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 de la personne et de lutte contre le harc</w:t>
            </w:r>
            <w:r>
              <w:rPr>
                <w:rFonts w:ascii="Times New Roman"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noProof/>
                <w:spacing w:val="-1"/>
                <w:sz w:val="16"/>
              </w:rPr>
              <w:t>lement moral et le harc</w:t>
            </w:r>
            <w:r>
              <w:rPr>
                <w:rFonts w:ascii="Times New Roman"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noProof/>
                <w:spacing w:val="-1"/>
                <w:sz w:val="16"/>
              </w:rPr>
              <w:t>lement sexuel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5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27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</w:t>
            </w: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12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</w:tbl>
    <w:p>
      <w:pPr>
        <w:jc w:val="center"/>
        <w:rPr>
          <w:noProof/>
          <w:vanish/>
          <w:specVanish/>
        </w:rPr>
      </w:pPr>
      <w:r>
        <w:rPr>
          <w:b/>
          <w:i/>
          <w:noProof/>
          <w:sz w:val="28"/>
          <w:u w:val="single"/>
        </w:rPr>
        <w:t>Statut des fonctionnaires</w:t>
      </w:r>
    </w:p>
    <w:p>
      <w:pPr>
        <w:jc w:val="center"/>
        <w:rPr>
          <w:b/>
          <w:i/>
          <w:noProof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b/>
          <w:i/>
          <w:noProof/>
          <w:vanish/>
          <w:sz w:val="28"/>
          <w:szCs w:val="28"/>
          <w:specVanish/>
        </w:rPr>
      </w:pPr>
      <w:r>
        <w:rPr>
          <w:b/>
          <w:i/>
          <w:noProof/>
          <w:sz w:val="28"/>
        </w:rPr>
        <w:t xml:space="preserve"> </w:t>
      </w:r>
    </w:p>
    <w:tbl>
      <w:tblPr>
        <w:tblpPr w:leftFromText="180" w:rightFromText="180" w:vertAnchor="page" w:horzAnchor="margin" w:tblpX="-137" w:tblpY="1409"/>
        <w:tblW w:w="5061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581"/>
        <w:gridCol w:w="2004"/>
        <w:gridCol w:w="1578"/>
        <w:gridCol w:w="1288"/>
        <w:gridCol w:w="1291"/>
        <w:gridCol w:w="1291"/>
        <w:gridCol w:w="1294"/>
        <w:gridCol w:w="1004"/>
        <w:gridCol w:w="1149"/>
        <w:gridCol w:w="1291"/>
        <w:gridCol w:w="1000"/>
      </w:tblGrid>
      <w:tr>
        <w:trPr>
          <w:cantSplit/>
          <w:trHeight w:val="692"/>
        </w:trPr>
        <w:tc>
          <w:tcPr>
            <w:tcW w:w="821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5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</w:p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8"/>
                <w:szCs w:val="28"/>
              </w:rPr>
            </w:pPr>
            <w:r>
              <w:rPr>
                <w:rFonts w:ascii="Times New Roman"/>
                <w:b/>
                <w:noProof/>
                <w:spacing w:val="-1"/>
                <w:sz w:val="28"/>
              </w:rPr>
              <w:t>Commission</w:t>
            </w:r>
          </w:p>
        </w:tc>
        <w:tc>
          <w:tcPr>
            <w:tcW w:w="3044" w:type="pct"/>
            <w:gridSpan w:val="8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8"/>
              </w:rPr>
              <w:t xml:space="preserve">Agences </w:t>
            </w:r>
            <w:r>
              <w:rPr>
                <w:rFonts w:ascii="Times New Roman"/>
                <w:b/>
                <w:noProof/>
                <w:spacing w:val="-1"/>
                <w:sz w:val="28"/>
                <w:szCs w:val="28"/>
              </w:rPr>
              <w:br/>
            </w:r>
            <w:r>
              <w:rPr>
                <w:rFonts w:ascii="Times New Roman"/>
                <w:noProof/>
                <w:spacing w:val="-1"/>
                <w:sz w:val="16"/>
              </w:rPr>
              <w:t>Nombre de r</w:t>
            </w:r>
            <w:r>
              <w:rPr>
                <w:rFonts w:ascii="Times New Roman"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noProof/>
                <w:spacing w:val="-1"/>
                <w:sz w:val="16"/>
              </w:rPr>
              <w:t>gles d'ex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>cution au 31 d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>cembre 2016</w:t>
            </w:r>
          </w:p>
        </w:tc>
      </w:tr>
      <w:tr>
        <w:trPr>
          <w:cantSplit/>
          <w:trHeight w:val="277"/>
        </w:trPr>
        <w:tc>
          <w:tcPr>
            <w:tcW w:w="821" w:type="pct"/>
            <w:gridSpan w:val="2"/>
            <w:vMerge/>
            <w:tcBorders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</w:rPr>
              <w:t>Adopt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es avant la r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forme 2014</w:t>
            </w:r>
          </w:p>
        </w:tc>
        <w:tc>
          <w:tcPr>
            <w:tcW w:w="1501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</w:rPr>
              <w:t>Adopt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es apr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s la r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forme 2014</w:t>
            </w:r>
          </w:p>
        </w:tc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Aucune r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gle / </w:t>
            </w:r>
            <w:r>
              <w:rPr>
                <w:rFonts w:ascii="Times New Roman"/>
                <w:b/>
                <w:i/>
                <w:noProof/>
                <w:spacing w:val="-1"/>
                <w:sz w:val="16"/>
              </w:rPr>
              <w:t>opt-out</w:t>
            </w:r>
            <w:r>
              <w:rPr>
                <w:noProof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6"/>
              </w:rPr>
              <w:t>(y compris les demandes en cours)</w:t>
            </w:r>
          </w:p>
        </w:tc>
        <w:tc>
          <w:tcPr>
            <w:tcW w:w="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Total</w:t>
            </w:r>
          </w:p>
        </w:tc>
      </w:tr>
      <w:tr>
        <w:trPr>
          <w:cantSplit/>
          <w:trHeight w:val="269"/>
        </w:trPr>
        <w:tc>
          <w:tcPr>
            <w:tcW w:w="320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Article</w:t>
            </w:r>
          </w:p>
        </w:tc>
        <w:tc>
          <w:tcPr>
            <w:tcW w:w="500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Objet</w:t>
            </w:r>
          </w:p>
        </w:tc>
        <w:tc>
          <w:tcPr>
            <w:tcW w:w="635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gle d'ex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cution de la COM pertinente</w:t>
            </w:r>
          </w:p>
        </w:tc>
        <w:tc>
          <w:tcPr>
            <w:tcW w:w="500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Accord ex ante</w:t>
            </w:r>
          </w:p>
        </w:tc>
        <w:tc>
          <w:tcPr>
            <w:tcW w:w="40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Analogue 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à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 une r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gle de la COM</w:t>
            </w:r>
          </w:p>
        </w:tc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gles propres</w:t>
            </w:r>
          </w:p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(y compris les demandes en cours)</w:t>
            </w:r>
          </w:p>
        </w:tc>
        <w:tc>
          <w:tcPr>
            <w:tcW w:w="819" w:type="pct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Analogie - Art. 110</w:t>
            </w:r>
          </w:p>
        </w:tc>
        <w:tc>
          <w:tcPr>
            <w:tcW w:w="31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gle fond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e sur un accord ex ante</w:t>
            </w:r>
          </w:p>
        </w:tc>
        <w:tc>
          <w:tcPr>
            <w:tcW w:w="36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gles propres diff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rentes de celles de la COM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 (y compris les demandes en cours)</w:t>
            </w:r>
          </w:p>
        </w:tc>
        <w:tc>
          <w:tcPr>
            <w:tcW w:w="409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870"/>
        </w:trPr>
        <w:tc>
          <w:tcPr>
            <w:tcW w:w="320" w:type="pct"/>
            <w:vMerge/>
            <w:tcBorders>
              <w:left w:val="single" w:sz="4" w:space="0" w:color="000000"/>
              <w:bottom w:val="single" w:sz="6" w:space="0" w:color="000000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left w:val="single" w:sz="3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Application par analogie</w:t>
            </w:r>
          </w:p>
        </w:tc>
        <w:tc>
          <w:tcPr>
            <w:tcW w:w="41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P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>riode de 9 mois non arriv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e </w:t>
            </w:r>
            <w:r>
              <w:rPr>
                <w:rFonts w:ascii="Times New Roman"/>
                <w:noProof/>
                <w:spacing w:val="-1"/>
                <w:sz w:val="16"/>
              </w:rPr>
              <w:t>à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 expiration le 31.12.2016</w:t>
            </w:r>
          </w:p>
        </w:tc>
        <w:tc>
          <w:tcPr>
            <w:tcW w:w="318" w:type="pct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</w:tbl>
    <w:tbl>
      <w:tblPr>
        <w:tblStyle w:val="TableGrid"/>
        <w:tblW w:w="499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04"/>
        <w:gridCol w:w="1578"/>
        <w:gridCol w:w="2006"/>
        <w:gridCol w:w="1584"/>
        <w:gridCol w:w="1290"/>
        <w:gridCol w:w="1290"/>
        <w:gridCol w:w="1290"/>
        <w:gridCol w:w="1287"/>
        <w:gridCol w:w="1003"/>
        <w:gridCol w:w="1148"/>
        <w:gridCol w:w="1290"/>
        <w:gridCol w:w="1003"/>
      </w:tblGrid>
      <w:tr>
        <w:trPr>
          <w:cantSplit/>
        </w:trPr>
        <w:tc>
          <w:tcPr>
            <w:tcW w:w="31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12 </w:t>
            </w:r>
            <w:r>
              <w:rPr>
                <w:rFonts w:ascii="Times New Roman"/>
                <w:b/>
                <w:i/>
                <w:noProof/>
                <w:spacing w:val="-1"/>
                <w:sz w:val="16"/>
              </w:rPr>
              <w:t>ter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 - 16 - 17</w:t>
            </w:r>
          </w:p>
        </w:tc>
        <w:tc>
          <w:tcPr>
            <w:tcW w:w="50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Activit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s ext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rieures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cision C(2013)9037 relative aux activit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s ext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rieures et aux mandats</w:t>
            </w:r>
          </w:p>
        </w:tc>
        <w:tc>
          <w:tcPr>
            <w:tcW w:w="502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47</w:t>
            </w: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8" w:type="pct"/>
            <w:vMerge w:val="restar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24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 </w:t>
            </w:r>
            <w:r>
              <w:rPr>
                <w:rFonts w:ascii="Times New Roman"/>
                <w:b/>
                <w:i/>
                <w:noProof/>
                <w:spacing w:val="-1"/>
                <w:sz w:val="16"/>
              </w:rPr>
              <w:t>bis</w:t>
            </w:r>
          </w:p>
        </w:tc>
        <w:tc>
          <w:tcPr>
            <w:tcW w:w="500" w:type="pct"/>
            <w:vMerge w:val="restar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Formation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C(2016) 3829 - Strat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gie de formation et de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veloppement</w:t>
            </w:r>
          </w:p>
        </w:tc>
        <w:tc>
          <w:tcPr>
            <w:tcW w:w="502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33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15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8" w:type="pct"/>
            <w:vMerge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00" w:type="pct"/>
            <w:vMerge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C(2016) 3855 -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cision relative aux formations sur la propre initiative du membre du personnel </w:t>
            </w:r>
          </w:p>
        </w:tc>
        <w:tc>
          <w:tcPr>
            <w:tcW w:w="502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34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14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27 - 34</w:t>
            </w:r>
          </w:p>
        </w:tc>
        <w:tc>
          <w:tcPr>
            <w:tcW w:w="50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Recrutement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C(2013) 8970 - DGE relatives aux crit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res applicables au classement en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chelon lors de la nomination ou de l'engagement</w:t>
            </w:r>
          </w:p>
        </w:tc>
        <w:tc>
          <w:tcPr>
            <w:tcW w:w="502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48</w:t>
            </w: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29</w:t>
            </w:r>
          </w:p>
        </w:tc>
        <w:tc>
          <w:tcPr>
            <w:tcW w:w="50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Encadrement interm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diaire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C(2016) 3288 -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cision concernant le personnel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encadrement interm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diaire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15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40</w:t>
            </w:r>
          </w:p>
        </w:tc>
        <w:tc>
          <w:tcPr>
            <w:tcW w:w="50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Cong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s de convenance personnelle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C(2013) 9054 -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cision relative aux mesures concernant le cong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de convenance personnelle des fonctionnaires et le cong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sans r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mun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ration des agents temporaires et agents contractuels de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Union europ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enne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C(2015) 5320 -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cision relative aux mesures concernant le cong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de convenance personnelle des fonctionnaires et le cong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sans r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mun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ration des agents temporaires et agents contractuels de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Union europ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enne</w:t>
            </w: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7</w:t>
            </w: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37</w:t>
            </w: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43</w:t>
            </w:r>
          </w:p>
        </w:tc>
        <w:tc>
          <w:tcPr>
            <w:tcW w:w="50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Rapport annuel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C(2013) 8985 - DGE relatives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article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43 et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l'article 44, premier alin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a, du statut</w:t>
            </w:r>
          </w:p>
        </w:tc>
        <w:tc>
          <w:tcPr>
            <w:tcW w:w="502" w:type="pct"/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C(2015) 1513 -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cision relative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l'article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43 et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l'article 44, premier alin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a, du statut</w:t>
            </w: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17</w:t>
            </w: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31</w:t>
            </w: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p>
      <w:pPr>
        <w:jc w:val="center"/>
        <w:rPr>
          <w:noProof/>
          <w:vanish/>
          <w:specVanish/>
        </w:rPr>
      </w:pPr>
      <w:r>
        <w:rPr>
          <w:b/>
          <w:i/>
          <w:noProof/>
          <w:sz w:val="28"/>
          <w:u w:val="single"/>
        </w:rPr>
        <w:t>Statut des fonctionnaires</w:t>
      </w:r>
    </w:p>
    <w:p>
      <w:pPr>
        <w:spacing w:after="0" w:line="240" w:lineRule="auto"/>
        <w:jc w:val="center"/>
        <w:rPr>
          <w:b/>
          <w:i/>
          <w:noProof/>
          <w:vanish/>
          <w:sz w:val="28"/>
          <w:szCs w:val="28"/>
          <w:u w:val="single"/>
          <w:specVanish/>
        </w:rPr>
      </w:pPr>
    </w:p>
    <w:p>
      <w:pPr>
        <w:rPr>
          <w:noProof/>
        </w:rPr>
      </w:pPr>
    </w:p>
    <w:p>
      <w:pPr>
        <w:spacing w:after="0" w:line="240" w:lineRule="auto"/>
        <w:jc w:val="center"/>
        <w:rPr>
          <w:b/>
          <w:i/>
          <w:noProof/>
          <w:vanish/>
          <w:sz w:val="28"/>
          <w:szCs w:val="28"/>
          <w:u w:val="single"/>
          <w:specVanish/>
        </w:rPr>
      </w:pPr>
    </w:p>
    <w:tbl>
      <w:tblPr>
        <w:tblpPr w:leftFromText="180" w:rightFromText="180" w:vertAnchor="page" w:horzAnchor="margin" w:tblpX="-132" w:tblpY="1409"/>
        <w:tblW w:w="4998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1720"/>
        <w:gridCol w:w="1870"/>
        <w:gridCol w:w="1864"/>
        <w:gridCol w:w="1431"/>
        <w:gridCol w:w="1290"/>
        <w:gridCol w:w="1147"/>
        <w:gridCol w:w="1290"/>
        <w:gridCol w:w="1004"/>
        <w:gridCol w:w="1147"/>
        <w:gridCol w:w="1147"/>
        <w:gridCol w:w="807"/>
      </w:tblGrid>
      <w:tr>
        <w:trPr>
          <w:cantSplit/>
          <w:trHeight w:val="550"/>
        </w:trPr>
        <w:tc>
          <w:tcPr>
            <w:tcW w:w="830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</w:p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8"/>
                <w:szCs w:val="28"/>
              </w:rPr>
            </w:pPr>
            <w:r>
              <w:rPr>
                <w:rFonts w:ascii="Times New Roman"/>
                <w:b/>
                <w:noProof/>
                <w:spacing w:val="-1"/>
                <w:sz w:val="28"/>
              </w:rPr>
              <w:t>Commission</w:t>
            </w:r>
          </w:p>
        </w:tc>
        <w:tc>
          <w:tcPr>
            <w:tcW w:w="2972" w:type="pct"/>
            <w:gridSpan w:val="8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8"/>
              </w:rPr>
              <w:t xml:space="preserve">Agences </w:t>
            </w:r>
            <w:r>
              <w:rPr>
                <w:rFonts w:ascii="Times New Roman"/>
                <w:b/>
                <w:noProof/>
                <w:spacing w:val="-1"/>
                <w:sz w:val="28"/>
                <w:szCs w:val="28"/>
              </w:rPr>
              <w:br/>
            </w:r>
            <w:r>
              <w:rPr>
                <w:rFonts w:ascii="Times New Roman"/>
                <w:noProof/>
                <w:spacing w:val="-1"/>
                <w:sz w:val="16"/>
              </w:rPr>
              <w:t>Nombre de r</w:t>
            </w:r>
            <w:r>
              <w:rPr>
                <w:rFonts w:ascii="Times New Roman"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noProof/>
                <w:spacing w:val="-1"/>
                <w:sz w:val="16"/>
              </w:rPr>
              <w:t>gles d'ex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>cution au 31 d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>cembre 2016</w:t>
            </w:r>
          </w:p>
        </w:tc>
      </w:tr>
      <w:tr>
        <w:trPr>
          <w:cantSplit/>
          <w:trHeight w:val="277"/>
        </w:trPr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</w:p>
        </w:tc>
        <w:tc>
          <w:tcPr>
            <w:tcW w:w="8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</w:rPr>
              <w:t>Adopt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es avant la r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forme 2014</w:t>
            </w:r>
          </w:p>
        </w:tc>
        <w:tc>
          <w:tcPr>
            <w:tcW w:w="1472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</w:rPr>
              <w:t>Adopt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es apr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s la r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forme 2014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Aucune 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 xml:space="preserve">gle / </w:t>
            </w:r>
            <w:r>
              <w:rPr>
                <w:rFonts w:ascii="Times New Roman"/>
                <w:b/>
                <w:i/>
                <w:noProof/>
                <w:spacing w:val="-1"/>
                <w:sz w:val="14"/>
                <w:szCs w:val="14"/>
              </w:rPr>
              <w:t>opt-out</w:t>
            </w:r>
            <w:r>
              <w:rPr>
                <w:noProof/>
                <w:sz w:val="14"/>
                <w:szCs w:val="14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(y compris les demandes en cours)</w:t>
            </w:r>
          </w:p>
        </w:tc>
        <w:tc>
          <w:tcPr>
            <w:tcW w:w="2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Total</w:t>
            </w:r>
          </w:p>
        </w:tc>
      </w:tr>
      <w:tr>
        <w:trPr>
          <w:cantSplit/>
          <w:trHeight w:val="269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Article</w:t>
            </w:r>
          </w:p>
        </w:tc>
        <w:tc>
          <w:tcPr>
            <w:tcW w:w="55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Objet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gle d'ex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cution de la COM pertinente</w:t>
            </w: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Accord ex ante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 xml:space="preserve">Analogue 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 xml:space="preserve"> une 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gle de la COM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gles propres</w:t>
            </w:r>
          </w:p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(y compris les demandes en cours)</w:t>
            </w:r>
          </w:p>
        </w:tc>
        <w:tc>
          <w:tcPr>
            <w:tcW w:w="78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Analogie - Art. 110</w:t>
            </w:r>
          </w:p>
        </w:tc>
        <w:tc>
          <w:tcPr>
            <w:tcW w:w="3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gle fond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e sur un accord ex ante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gles propres diff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rentes de celles de la COM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(y compris les demandes en cours)</w:t>
            </w:r>
          </w:p>
        </w:tc>
        <w:tc>
          <w:tcPr>
            <w:tcW w:w="3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732"/>
        </w:trPr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6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Application par analogie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P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riode de 9 mois non arriv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e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expiration le 31.12.2016</w:t>
            </w:r>
          </w:p>
        </w:tc>
        <w:tc>
          <w:tcPr>
            <w:tcW w:w="32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259"/>
        </w:trPr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</w:tcPr>
          <w:p>
            <w:pPr>
              <w:pStyle w:val="TableParagraph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</w:tbl>
    <w:tbl>
      <w:tblPr>
        <w:tblStyle w:val="TableGrid"/>
        <w:tblW w:w="493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64"/>
        <w:gridCol w:w="1721"/>
        <w:gridCol w:w="1868"/>
        <w:gridCol w:w="1868"/>
        <w:gridCol w:w="1431"/>
        <w:gridCol w:w="1291"/>
        <w:gridCol w:w="1147"/>
        <w:gridCol w:w="1291"/>
        <w:gridCol w:w="1004"/>
        <w:gridCol w:w="1147"/>
        <w:gridCol w:w="1144"/>
        <w:gridCol w:w="814"/>
      </w:tblGrid>
      <w:tr>
        <w:trPr>
          <w:cantSplit/>
        </w:trPr>
        <w:tc>
          <w:tcPr>
            <w:tcW w:w="277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45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Promotions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noProof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C(2013) 8968 -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cision relative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la mise en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œ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uvre de l'article 45 du statut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C(2015) 9563 - D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cision relative </w:t>
            </w:r>
            <w:r>
              <w:rPr>
                <w:rFonts w:ascii="Times New Roman"/>
                <w:noProof/>
                <w:spacing w:val="-1"/>
                <w:sz w:val="16"/>
              </w:rPr>
              <w:t>à</w:t>
            </w:r>
            <w:r>
              <w:rPr>
                <w:rFonts w:ascii="Times New Roman"/>
                <w:noProof/>
                <w:spacing w:val="-1"/>
                <w:sz w:val="16"/>
              </w:rPr>
              <w:t xml:space="preserve"> la mise en </w:t>
            </w:r>
            <w:r>
              <w:rPr>
                <w:rFonts w:ascii="Times New Roman"/>
                <w:noProof/>
                <w:spacing w:val="-1"/>
                <w:sz w:val="16"/>
              </w:rPr>
              <w:t>œ</w:t>
            </w:r>
            <w:r>
              <w:rPr>
                <w:rFonts w:ascii="Times New Roman"/>
                <w:noProof/>
                <w:spacing w:val="-1"/>
                <w:sz w:val="16"/>
              </w:rPr>
              <w:t>uvre de l'article 45 du statut</w:t>
            </w: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15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12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15</w:t>
            </w:r>
          </w:p>
        </w:tc>
        <w:tc>
          <w:tcPr>
            <w:tcW w:w="367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6</w:t>
            </w:r>
          </w:p>
        </w:tc>
        <w:tc>
          <w:tcPr>
            <w:tcW w:w="26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55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Horaires de travail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C(2014) 2502 -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cision relative au temps de travail</w:t>
            </w:r>
          </w:p>
        </w:tc>
        <w:tc>
          <w:tcPr>
            <w:tcW w:w="599" w:type="pct"/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C(2015) 9562 - D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>cision relative au temps de travail</w:t>
            </w: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23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21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</w:t>
            </w: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55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 </w:t>
            </w:r>
            <w:r>
              <w:rPr>
                <w:rFonts w:ascii="Times New Roman"/>
                <w:b/>
                <w:i/>
                <w:noProof/>
                <w:spacing w:val="-1"/>
                <w:sz w:val="16"/>
              </w:rPr>
              <w:t>bis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Temps partiel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C(2015) 9270 -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cision relative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art. 55 </w:t>
            </w:r>
            <w:r>
              <w:rPr>
                <w:rFonts w:ascii="Times New Roman"/>
                <w:i/>
                <w:noProof/>
                <w:spacing w:val="-1"/>
                <w:sz w:val="14"/>
                <w:szCs w:val="14"/>
              </w:rPr>
              <w:t>bis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du statut et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l'annexe IV </w:t>
            </w:r>
            <w:r>
              <w:rPr>
                <w:rFonts w:ascii="Times New Roman"/>
                <w:i/>
                <w:noProof/>
                <w:spacing w:val="-1"/>
                <w:sz w:val="14"/>
                <w:szCs w:val="14"/>
              </w:rPr>
              <w:t>bis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47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T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l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travail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C(2015) 9151 -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cision relative au t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travail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29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15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55 </w:t>
            </w:r>
            <w:r>
              <w:rPr>
                <w:rFonts w:ascii="Times New Roman"/>
                <w:b/>
                <w:i/>
                <w:noProof/>
                <w:spacing w:val="-1"/>
                <w:sz w:val="16"/>
              </w:rPr>
              <w:t>ter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Emploi partag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C(2004) 1314 -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cision relative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l'emploi partag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26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21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57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Cong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s annuels et cong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s sp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ciaux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C(2013) 9051 -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cision relative aux cong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s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48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59 - 60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Cong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 de maladie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C(2004)1597/11 -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cision relative au cong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de maladie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26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19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67 - 68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Allocation scolaire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C(2013) 8971 - DGE de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art. 3 de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annexe VII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48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71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Frais de voyage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C(2013) 8987 - DGE de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art. 8 de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annexe VII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48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71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Lieu d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’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origine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C(2013) 8982 - DGE de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art. 7, paragraphe 4, de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annexe VII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48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71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Frais de d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m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nagement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C(2013) 9040 - DGE relatives aux frais de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m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nagement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47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</w:t>
            </w: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71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Mission et d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placement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C(2008) 6215 - DGE relatives aux missions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27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17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77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Transfert des droits 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à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 pension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C(2011) 1278 - DGE des articles 11 et 12 de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annexe VIII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24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19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5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86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Proc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dures disciplinaires et enqu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ê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tes administratives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C(2004) 1588 - DGE relatives aux enqu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ê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tes administratives et aux proc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dures disciplinaires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9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31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8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p>
      <w:pPr>
        <w:jc w:val="center"/>
        <w:rPr>
          <w:b/>
          <w:i/>
          <w:noProof/>
          <w:sz w:val="28"/>
          <w:szCs w:val="28"/>
          <w:u w:val="single"/>
        </w:rPr>
      </w:pPr>
      <w:r>
        <w:rPr>
          <w:b/>
          <w:i/>
          <w:noProof/>
          <w:sz w:val="28"/>
          <w:u w:val="single"/>
        </w:rPr>
        <w:t>Régime applicable aux autres agents</w:t>
      </w:r>
    </w:p>
    <w:p>
      <w:pPr>
        <w:spacing w:after="0" w:line="240" w:lineRule="auto"/>
        <w:jc w:val="center"/>
        <w:rPr>
          <w:b/>
          <w:i/>
          <w:noProof/>
          <w:vanish/>
          <w:sz w:val="28"/>
          <w:szCs w:val="28"/>
          <w:u w:val="single"/>
          <w:specVanish/>
        </w:rPr>
      </w:pPr>
    </w:p>
    <w:tbl>
      <w:tblPr>
        <w:tblpPr w:leftFromText="180" w:rightFromText="180" w:vertAnchor="page" w:horzAnchor="margin" w:tblpY="1345"/>
        <w:tblW w:w="4998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1730"/>
        <w:gridCol w:w="1720"/>
        <w:gridCol w:w="1864"/>
        <w:gridCol w:w="1431"/>
        <w:gridCol w:w="1290"/>
        <w:gridCol w:w="1147"/>
        <w:gridCol w:w="1290"/>
        <w:gridCol w:w="1004"/>
        <w:gridCol w:w="1147"/>
        <w:gridCol w:w="1147"/>
        <w:gridCol w:w="807"/>
      </w:tblGrid>
      <w:tr>
        <w:trPr>
          <w:cantSplit/>
          <w:trHeight w:val="692"/>
        </w:trPr>
        <w:tc>
          <w:tcPr>
            <w:tcW w:w="878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50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</w:p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8"/>
                <w:szCs w:val="28"/>
              </w:rPr>
            </w:pPr>
            <w:r>
              <w:rPr>
                <w:rFonts w:ascii="Times New Roman"/>
                <w:b/>
                <w:noProof/>
                <w:spacing w:val="-1"/>
                <w:sz w:val="28"/>
              </w:rPr>
              <w:t>Commission</w:t>
            </w:r>
          </w:p>
        </w:tc>
        <w:tc>
          <w:tcPr>
            <w:tcW w:w="2972" w:type="pct"/>
            <w:gridSpan w:val="8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8"/>
              </w:rPr>
              <w:t xml:space="preserve">Agences </w:t>
            </w:r>
            <w:r>
              <w:rPr>
                <w:rFonts w:ascii="Times New Roman"/>
                <w:b/>
                <w:noProof/>
                <w:spacing w:val="-1"/>
                <w:sz w:val="28"/>
                <w:szCs w:val="28"/>
              </w:rPr>
              <w:br/>
            </w:r>
            <w:r>
              <w:rPr>
                <w:rFonts w:ascii="Times New Roman"/>
                <w:noProof/>
                <w:spacing w:val="-1"/>
                <w:sz w:val="16"/>
              </w:rPr>
              <w:t>Nombre de r</w:t>
            </w:r>
            <w:r>
              <w:rPr>
                <w:rFonts w:ascii="Times New Roman"/>
                <w:noProof/>
                <w:spacing w:val="-1"/>
                <w:sz w:val="16"/>
              </w:rPr>
              <w:t>è</w:t>
            </w:r>
            <w:r>
              <w:rPr>
                <w:rFonts w:ascii="Times New Roman"/>
                <w:noProof/>
                <w:spacing w:val="-1"/>
                <w:sz w:val="16"/>
              </w:rPr>
              <w:t>gles d'ex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>cution au 31 d</w:t>
            </w:r>
            <w:r>
              <w:rPr>
                <w:rFonts w:ascii="Times New Roman"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noProof/>
                <w:spacing w:val="-1"/>
                <w:sz w:val="16"/>
              </w:rPr>
              <w:t>cembre 2016</w:t>
            </w:r>
          </w:p>
        </w:tc>
      </w:tr>
      <w:tr>
        <w:trPr>
          <w:cantSplit/>
          <w:trHeight w:val="277"/>
        </w:trPr>
        <w:tc>
          <w:tcPr>
            <w:tcW w:w="878" w:type="pct"/>
            <w:gridSpan w:val="2"/>
            <w:vMerge/>
            <w:tcBorders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50" w:type="pct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</w:p>
        </w:tc>
        <w:tc>
          <w:tcPr>
            <w:tcW w:w="8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</w:rPr>
              <w:t>Adopt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es avant la r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forme 2014</w:t>
            </w:r>
          </w:p>
        </w:tc>
        <w:tc>
          <w:tcPr>
            <w:tcW w:w="1472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</w:rPr>
              <w:t>Adopt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es apr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s la r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20"/>
              </w:rPr>
              <w:t>forme 2014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Aucune 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 xml:space="preserve">gle / </w:t>
            </w:r>
            <w:r>
              <w:rPr>
                <w:rFonts w:ascii="Times New Roman"/>
                <w:b/>
                <w:i/>
                <w:noProof/>
                <w:spacing w:val="-1"/>
                <w:sz w:val="14"/>
                <w:szCs w:val="14"/>
              </w:rPr>
              <w:t>opt-out</w:t>
            </w:r>
            <w:r>
              <w:rPr>
                <w:noProof/>
                <w:sz w:val="14"/>
                <w:szCs w:val="14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(y compris les demandes en cours)</w:t>
            </w:r>
          </w:p>
        </w:tc>
        <w:tc>
          <w:tcPr>
            <w:tcW w:w="2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Total</w:t>
            </w:r>
          </w:p>
        </w:tc>
      </w:tr>
      <w:tr>
        <w:trPr>
          <w:cantSplit/>
          <w:trHeight w:val="269"/>
        </w:trPr>
        <w:tc>
          <w:tcPr>
            <w:tcW w:w="32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Article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Objet</w:t>
            </w:r>
          </w:p>
        </w:tc>
        <w:tc>
          <w:tcPr>
            <w:tcW w:w="55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gle d'ex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cution de la COM pertinente</w:t>
            </w: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Accord ex ante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 xml:space="preserve">Analogue 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 xml:space="preserve"> une 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gle de la COM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gles propres</w:t>
            </w:r>
          </w:p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(y compris les demandes en cours)</w:t>
            </w:r>
          </w:p>
        </w:tc>
        <w:tc>
          <w:tcPr>
            <w:tcW w:w="782" w:type="pct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Analogie - Art. 110</w:t>
            </w:r>
          </w:p>
        </w:tc>
        <w:tc>
          <w:tcPr>
            <w:tcW w:w="322" w:type="pct"/>
            <w:vMerge w:val="restart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gle fond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e sur un accord ex ante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R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gles propres diff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4"/>
                <w:szCs w:val="14"/>
              </w:rPr>
              <w:t>rentes de celles de la COM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(y compris les demandes en cours)</w:t>
            </w:r>
          </w:p>
        </w:tc>
        <w:tc>
          <w:tcPr>
            <w:tcW w:w="3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732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459" w:type="pct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414" w:type="pct"/>
            <w:vMerge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Application par analogie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P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riode de 9 mois non arriv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e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expiration le 31.12.2016</w:t>
            </w:r>
          </w:p>
        </w:tc>
        <w:tc>
          <w:tcPr>
            <w:tcW w:w="32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253"/>
        </w:trPr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</w:tcPr>
          <w:p>
            <w:pPr>
              <w:pStyle w:val="TableParagraph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1" w:rightFromText="181" w:vertAnchor="text" w:horzAnchor="margin" w:tblpX="108" w:tblpY="71"/>
        <w:tblOverlap w:val="never"/>
        <w:tblW w:w="4937" w:type="pct"/>
        <w:tblLayout w:type="fixed"/>
        <w:tblLook w:val="04A0" w:firstRow="1" w:lastRow="0" w:firstColumn="1" w:lastColumn="0" w:noHBand="0" w:noVBand="1"/>
      </w:tblPr>
      <w:tblGrid>
        <w:gridCol w:w="1005"/>
        <w:gridCol w:w="1720"/>
        <w:gridCol w:w="1723"/>
        <w:gridCol w:w="1863"/>
        <w:gridCol w:w="1436"/>
        <w:gridCol w:w="1292"/>
        <w:gridCol w:w="1149"/>
        <w:gridCol w:w="1289"/>
        <w:gridCol w:w="1005"/>
        <w:gridCol w:w="1149"/>
        <w:gridCol w:w="1148"/>
        <w:gridCol w:w="817"/>
      </w:tblGrid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12 (5)</w:t>
            </w: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Recrutement des AT</w:t>
            </w:r>
          </w:p>
        </w:tc>
        <w:tc>
          <w:tcPr>
            <w:tcW w:w="552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C(2013) 9049 -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cision relative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la politique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engagement et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emploi des agents temporaires</w:t>
            </w:r>
          </w:p>
        </w:tc>
        <w:tc>
          <w:tcPr>
            <w:tcW w:w="597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6</w:t>
            </w: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</w:t>
            </w:r>
          </w:p>
        </w:tc>
        <w:tc>
          <w:tcPr>
            <w:tcW w:w="368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38</w:t>
            </w: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15 RAA + 43 statut</w:t>
            </w: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valuation des AT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597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11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37</w:t>
            </w: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17 + 91</w:t>
            </w: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Cong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 de maternit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 xml:space="preserve"> et son paiement</w:t>
            </w:r>
          </w:p>
        </w:tc>
        <w:tc>
          <w:tcPr>
            <w:tcW w:w="552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C(2013) 9020 -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cision relative au cong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de maternit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et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son paiement</w:t>
            </w:r>
          </w:p>
        </w:tc>
        <w:tc>
          <w:tcPr>
            <w:tcW w:w="597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48</w:t>
            </w: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54</w:t>
            </w: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Reclassement des AT</w:t>
            </w:r>
          </w:p>
        </w:tc>
        <w:tc>
          <w:tcPr>
            <w:tcW w:w="552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18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30</w:t>
            </w: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Reclassement des AT 2f</w:t>
            </w:r>
          </w:p>
        </w:tc>
        <w:tc>
          <w:tcPr>
            <w:tcW w:w="552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C(2015) 4996 et C(2015) 9560 -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cisions relatives aux r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gles d'ex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cution donnant effet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art. 54 du RAA</w:t>
            </w: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32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14</w:t>
            </w: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56</w:t>
            </w: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Recrutement des AT 2f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C(2015) 1457 et C(2015) 1509 -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cisions relatives aux r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è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gles d'ex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cution donnant effet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art. 56 du RAA</w:t>
            </w: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38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10</w:t>
            </w: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79 (2) - 90</w:t>
            </w: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Recrutement des AC</w:t>
            </w:r>
          </w:p>
        </w:tc>
        <w:tc>
          <w:tcPr>
            <w:tcW w:w="552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C(2013) 9028 -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cision relative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la dur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e maximale du recours au personnel non permanent dans les services de la Commission 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C(2016) 2421 -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cision relative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la non-application de la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cision de la Commission relative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la dur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e maximale du recours au personnel non permanent</w:t>
            </w: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26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22</w:t>
            </w: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87</w:t>
            </w: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É</w:t>
            </w:r>
            <w:r>
              <w:rPr>
                <w:rFonts w:ascii="Times New Roman"/>
                <w:b/>
                <w:noProof/>
                <w:spacing w:val="-1"/>
                <w:sz w:val="16"/>
              </w:rPr>
              <w:t>valuation des AC</w:t>
            </w:r>
          </w:p>
        </w:tc>
        <w:tc>
          <w:tcPr>
            <w:tcW w:w="552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C(2014) 2226 - DGE de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art. 87, paragraphe 1, du RAA</w:t>
            </w:r>
          </w:p>
        </w:tc>
        <w:tc>
          <w:tcPr>
            <w:tcW w:w="597" w:type="pct"/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C(2015) 1456 -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cision relative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à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 xml:space="preserve"> la mise en 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œ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uvre de l'art. 87, paragraphe 1, du RAA et de l'art. 44, premier alin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a, du statut</w:t>
            </w: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11</w:t>
            </w: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37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</w:tbl>
    <w:tbl>
      <w:tblPr>
        <w:tblStyle w:val="TableGrid"/>
        <w:tblW w:w="4935" w:type="pct"/>
        <w:tblInd w:w="108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721"/>
        <w:gridCol w:w="1721"/>
        <w:gridCol w:w="1865"/>
        <w:gridCol w:w="1434"/>
        <w:gridCol w:w="1291"/>
        <w:gridCol w:w="1147"/>
        <w:gridCol w:w="1288"/>
        <w:gridCol w:w="1004"/>
        <w:gridCol w:w="1151"/>
        <w:gridCol w:w="1147"/>
        <w:gridCol w:w="817"/>
      </w:tblGrid>
      <w:tr>
        <w:trPr>
          <w:cantSplit/>
        </w:trP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87 (3)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Reclassement des AC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92D050"/>
          </w:tcPr>
          <w:p>
            <w:pPr>
              <w:pStyle w:val="TableParagraph"/>
              <w:spacing w:before="49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C(2013) 2529 - DGE de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art. 87, paragraphe 3, du RAA</w:t>
            </w: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spacing w:before="49"/>
              <w:rPr>
                <w:rFonts w:ascii="Times New Roman"/>
                <w:noProof/>
                <w:spacing w:val="-1"/>
                <w:sz w:val="14"/>
                <w:szCs w:val="14"/>
              </w:rPr>
            </w:pP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C(2015) 9561 et C(2015) 4997 - D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cisions relatives aux modalit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é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s d'application de l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’</w:t>
            </w:r>
            <w:r>
              <w:rPr>
                <w:rFonts w:ascii="Times New Roman"/>
                <w:noProof/>
                <w:spacing w:val="-1"/>
                <w:sz w:val="14"/>
                <w:szCs w:val="14"/>
              </w:rPr>
              <w:t>art. 87, paragraphe 3, du RAA</w:t>
            </w: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15</w:t>
            </w: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</w:rPr>
              <w:t>33</w:t>
            </w:r>
          </w:p>
        </w:tc>
        <w:tc>
          <w:tcPr>
            <w:tcW w:w="36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48</w:t>
            </w:r>
          </w:p>
        </w:tc>
      </w:tr>
    </w:tbl>
    <w:p>
      <w:pPr>
        <w:rPr>
          <w:noProof/>
          <w:vanish/>
        </w:rPr>
      </w:pPr>
      <w:r>
        <w:rPr>
          <w:noProof/>
        </w:rPr>
        <w:br w:type="page"/>
      </w:r>
    </w:p>
    <w:p>
      <w:pPr>
        <w:widowControl w:val="0"/>
        <w:spacing w:before="88"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Calibri"/>
          <w:b/>
          <w:i/>
          <w:noProof/>
          <w:w w:val="105"/>
          <w:sz w:val="24"/>
          <w:u w:val="single"/>
        </w:rPr>
        <w:t>L</w:t>
      </w:r>
      <w:r>
        <w:rPr>
          <w:rFonts w:ascii="Times New Roman" w:hAnsi="Calibri"/>
          <w:b/>
          <w:i/>
          <w:noProof/>
          <w:w w:val="105"/>
          <w:sz w:val="24"/>
          <w:u w:val="single"/>
        </w:rPr>
        <w:t>é</w:t>
      </w:r>
      <w:r>
        <w:rPr>
          <w:rFonts w:ascii="Times New Roman" w:hAnsi="Calibri"/>
          <w:b/>
          <w:i/>
          <w:noProof/>
          <w:w w:val="105"/>
          <w:sz w:val="24"/>
          <w:u w:val="single"/>
        </w:rPr>
        <w:t>gende</w:t>
      </w:r>
    </w:p>
    <w:tbl>
      <w:tblPr>
        <w:tblpPr w:leftFromText="180" w:rightFromText="180" w:vertAnchor="text" w:horzAnchor="page" w:tblpX="4719" w:tblpY="723"/>
        <w:tblOverlap w:val="never"/>
        <w:tblW w:w="3005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D6E3BC" w:themeFill="accent3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</w:tblGrid>
      <w:tr>
        <w:trPr>
          <w:trHeight w:hRule="exact" w:val="744"/>
        </w:trPr>
        <w:tc>
          <w:tcPr>
            <w:tcW w:w="3005" w:type="dxa"/>
            <w:shd w:val="clear" w:color="auto" w:fill="D6E3BC" w:themeFill="accent3" w:themeFillTint="66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R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è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gles d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’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ex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é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cution dans les agences qui s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’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appliquent par analogie apr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è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s la r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é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forme de 2014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Calibri"/>
                <w:noProof/>
                <w:spacing w:val="-2"/>
                <w:sz w:val="16"/>
              </w:rPr>
              <w:t>[article 110, paragraphe 2, du statut]</w:t>
            </w:r>
          </w:p>
        </w:tc>
      </w:tr>
    </w:tbl>
    <w:p>
      <w:pPr>
        <w:widowControl w:val="0"/>
        <w:spacing w:before="79" w:after="0" w:line="527" w:lineRule="auto"/>
        <w:ind w:right="8323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281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8"/>
      </w:tblGrid>
      <w:tr>
        <w:trPr>
          <w:trHeight w:hRule="exact" w:val="744"/>
        </w:trPr>
        <w:tc>
          <w:tcPr>
            <w:tcW w:w="28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R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è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gle d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’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ex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é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cution de la Commissions adopt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é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e apr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è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s la r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é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forme de 2014 et notifi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é</w:t>
            </w:r>
            <w:r>
              <w:rPr>
                <w:rFonts w:ascii="Times New Roman" w:hAnsi="Calibri"/>
                <w:b/>
                <w:noProof/>
                <w:spacing w:val="-2"/>
                <w:sz w:val="16"/>
              </w:rPr>
              <w:t>e aux agences</w:t>
            </w:r>
          </w:p>
        </w:tc>
      </w:tr>
    </w:tbl>
    <w:tbl>
      <w:tblPr>
        <w:tblpPr w:leftFromText="180" w:rightFromText="180" w:vertAnchor="text" w:horzAnchor="page" w:tblpX="8319" w:tblpY="-686"/>
        <w:tblW w:w="2722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D6E3BC" w:themeFill="accent3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</w:tblGrid>
      <w:tr>
        <w:trPr>
          <w:trHeight w:hRule="exact" w:val="744"/>
        </w:trPr>
        <w:tc>
          <w:tcPr>
            <w:tcW w:w="272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Dérogations après 2014</w:t>
            </w:r>
            <w:r>
              <w:rPr>
                <w:rFonts w:ascii="Times New Roman" w:hAnsi="Times New Roman"/>
                <w:noProof/>
                <w:sz w:val="16"/>
              </w:rPr>
              <w:t xml:space="preserve"> (règles propres ou </w:t>
            </w:r>
            <w:r>
              <w:rPr>
                <w:rFonts w:ascii="Times New Roman" w:hAnsi="Times New Roman"/>
                <w:i/>
                <w:noProof/>
                <w:sz w:val="16"/>
              </w:rPr>
              <w:t>opt-out</w:t>
            </w:r>
            <w:r>
              <w:rPr>
                <w:rFonts w:ascii="Times New Roman" w:hAnsi="Times New Roman"/>
                <w:noProof/>
                <w:sz w:val="16"/>
              </w:rPr>
              <w:t>, y compris les demandes en cours)</w:t>
            </w:r>
          </w:p>
        </w:tc>
      </w:tr>
    </w:tbl>
    <w:tbl>
      <w:tblPr>
        <w:tblpPr w:leftFromText="180" w:rightFromText="180" w:vertAnchor="text" w:horzAnchor="margin" w:tblpY="371"/>
        <w:tblW w:w="2722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D6E3BC" w:themeFill="accent3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</w:tblGrid>
      <w:tr>
        <w:trPr>
          <w:trHeight w:hRule="exact" w:val="744"/>
        </w:trPr>
        <w:tc>
          <w:tcPr>
            <w:tcW w:w="272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79646" w:themeFill="accent6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Accords ex ante horizontaux de la Commission</w:t>
            </w:r>
          </w:p>
        </w:tc>
      </w:tr>
    </w:tbl>
    <w:tbl>
      <w:tblPr>
        <w:tblpPr w:leftFromText="141" w:rightFromText="141" w:vertAnchor="text" w:horzAnchor="page" w:tblpX="4597" w:tblpY="386"/>
        <w:tblW w:w="2722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BD4B4" w:themeFill="accent6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</w:tblGrid>
      <w:tr>
        <w:trPr>
          <w:trHeight w:hRule="exact" w:val="744"/>
        </w:trPr>
        <w:tc>
          <w:tcPr>
            <w:tcW w:w="2722" w:type="dxa"/>
            <w:shd w:val="clear" w:color="auto" w:fill="FBD4B4" w:themeFill="accent6" w:themeFillTint="66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Règles d’exécution adoptées par les agences sur la base d’un accord ex ante</w:t>
            </w:r>
          </w:p>
        </w:tc>
      </w:tr>
    </w:tbl>
    <w:p>
      <w:pPr>
        <w:rPr>
          <w:noProof/>
          <w:vanish/>
        </w:rPr>
      </w:pPr>
    </w:p>
    <w:p>
      <w:pPr>
        <w:widowControl w:val="0"/>
        <w:spacing w:before="79" w:after="0" w:line="527" w:lineRule="auto"/>
        <w:ind w:right="8323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 xml:space="preserve">                                                                                                                                   </w:t>
      </w:r>
    </w:p>
    <w:p>
      <w:pPr>
        <w:widowControl w:val="0"/>
        <w:spacing w:before="79" w:after="0" w:line="527" w:lineRule="auto"/>
        <w:ind w:right="8323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539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framePr w:wrap="around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framePr w:wrap="aroun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</w:rPr>
        <w:t>Les règles d'exécution du statut des agences adoptées avant la réforme de 2014 sont mentionnés lorsqu’une décision de la Commission existe sur le sujet.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  <w:framePr w:wrap="aroun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  <w:framePr w:wrap="aroun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920123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framePr w:hSpace="181" w:wrap="around" w:vAnchor="page" w:hAnchor="page" w:x="664" w:y="35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HeaderCoverPage"/>
      <w:framePr w:hSpace="181" w:wrap="around" w:hAnchor="page" w:x="664" w:y="35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&lt;UNUSED&gt;"/>
    <w:docVar w:name="LW_ANNEX_NBR_FIRST" w:val="4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DC457ADAA2124D2C8D8FCE833FB23A69"/>
    <w:docVar w:name="LW_CROSSREFERENCE" w:val="&lt;UNUSED&gt;"/>
    <w:docVar w:name="LW_DocType" w:val="NORMAL"/>
    <w:docVar w:name="LW_EMISSION" w:val="26.10.2017"/>
    <w:docVar w:name="LW_EMISSION_ISODATE" w:val="2017-10-26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632"/>
    <w:docVar w:name="LW_REF.INTERNE" w:val="&lt;UNUSED&gt;"/>
    <w:docVar w:name="LW_SUPERTITRE" w:val="&lt;UNUSED&gt;"/>
    <w:docVar w:name="LW_TITRE.OBJ.CP" w:val="du rapport de la Commission au Parlement européen et au Conseil sur les règles d\u8217?exécution du statut des fonctionnaires adoptées par l\u8217?autorité investie du pouvoir de nomination de chaque institution"/>
    <w:docVar w:name="LW_TYPE.DOC.CP" w:val="ANNEXE_x000b_"/>
    <w:docVar w:name="LW_TYPEACTEPRINCIPAL.CP" w:val="Règles d'exécution dans les agence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framePr w:hSpace="180" w:wrap="around" w:vAnchor="page" w:hAnchor="margin" w:x="-137" w:y="1409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framePr w:hSpace="180" w:wrap="around" w:vAnchor="page" w:hAnchor="margin" w:x="-137" w:y="1409"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framePr w:hSpace="180" w:wrap="around" w:vAnchor="page" w:hAnchor="margin" w:x="-137" w:y="1409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framePr w:hSpace="180" w:wrap="around" w:vAnchor="page" w:hAnchor="margin" w:x="-137" w:y="1409"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51C8-DF3C-4AF9-9CB2-FC58193B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1495</Words>
  <Characters>7092</Characters>
  <Application>Microsoft Office Word</Application>
  <DocSecurity>0</DocSecurity>
  <Lines>1013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NISTOR Catalina (SJ)</dc:creator>
  <cp:lastModifiedBy>DIGIT/A3</cp:lastModifiedBy>
  <cp:revision>16</cp:revision>
  <cp:lastPrinted>2017-09-18T07:52:00Z</cp:lastPrinted>
  <dcterms:created xsi:type="dcterms:W3CDTF">2017-09-15T13:28:00Z</dcterms:created>
  <dcterms:modified xsi:type="dcterms:W3CDTF">2017-10-25T08:18:00Z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4</vt:lpwstr>
  </property>
  <property fmtid="{D5CDD505-2E9C-101B-9397-08002B2CF9AE}" pid="3" name="Last annex">
    <vt:lpwstr>4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