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FD62D1715A4740F5AA2EB6F79B40964B" style="width:450.75pt;height:306.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Bdr>
          <w:top w:val="double" w:sz="4" w:space="1" w:color="auto"/>
          <w:left w:val="double" w:sz="4" w:space="4" w:color="auto"/>
          <w:bottom w:val="double" w:sz="4" w:space="7" w:color="auto"/>
          <w:right w:val="double" w:sz="4" w:space="4" w:color="auto"/>
        </w:pBdr>
        <w:jc w:val="center"/>
        <w:rPr>
          <w:rFonts w:cs="Times New Roman"/>
          <w:b/>
          <w:noProof/>
          <w:sz w:val="24"/>
          <w:szCs w:val="24"/>
        </w:rPr>
      </w:pPr>
      <w:bookmarkStart w:id="1" w:name="_GoBack"/>
      <w:bookmarkEnd w:id="1"/>
      <w:r>
        <w:rPr>
          <w:b/>
          <w:noProof/>
          <w:sz w:val="24"/>
        </w:rPr>
        <w:lastRenderedPageBreak/>
        <w:t>OBJECTIFS DU PRÉSENT RAPPORT</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noProof/>
          <w:sz w:val="24"/>
        </w:rPr>
        <w:t>Les institutions disposent d’une certaine autonomie pour appliquer le statut des fonctionnaires et le régime applicable aux autres agents à leur personnel.</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noProof/>
          <w:sz w:val="24"/>
        </w:rPr>
        <w:t xml:space="preserve">Dans le cadre de la </w:t>
      </w:r>
      <w:r>
        <w:rPr>
          <w:b/>
          <w:noProof/>
          <w:sz w:val="24"/>
        </w:rPr>
        <w:t>réforme du statut des fonctionnaires opérée en 2014</w:t>
      </w:r>
      <w:r>
        <w:rPr>
          <w:noProof/>
          <w:sz w:val="24"/>
        </w:rPr>
        <w:t xml:space="preserve">, les colégislateurs ont introduit de nouveaux mécanismes visant à améliorer le </w:t>
      </w:r>
      <w:r>
        <w:rPr>
          <w:b/>
          <w:noProof/>
          <w:sz w:val="24"/>
        </w:rPr>
        <w:t>respect</w:t>
      </w:r>
      <w:r>
        <w:rPr>
          <w:noProof/>
          <w:sz w:val="24"/>
        </w:rPr>
        <w:t xml:space="preserve"> du cadre législatif et à renforcer l’efficacité de la </w:t>
      </w:r>
      <w:r>
        <w:rPr>
          <w:b/>
          <w:noProof/>
          <w:sz w:val="24"/>
        </w:rPr>
        <w:t>gouvernance</w:t>
      </w:r>
      <w:r>
        <w:rPr>
          <w:noProof/>
          <w:sz w:val="24"/>
        </w:rPr>
        <w:t xml:space="preserve">. </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noProof/>
          <w:sz w:val="24"/>
        </w:rPr>
        <w:t xml:space="preserve">Le présent rapport fait partie de ces nouveaux mécanismes. Avec le nouveau registre des règles d’exécution tenu par la Cour de justice, il constitue un outil qui garantit la </w:t>
      </w:r>
      <w:r>
        <w:rPr>
          <w:b/>
          <w:noProof/>
          <w:sz w:val="24"/>
        </w:rPr>
        <w:t>transparence</w:t>
      </w:r>
      <w:r>
        <w:rPr>
          <w:noProof/>
          <w:sz w:val="24"/>
        </w:rPr>
        <w:t xml:space="preserve"> et favorise une </w:t>
      </w:r>
      <w:r>
        <w:rPr>
          <w:b/>
          <w:noProof/>
          <w:sz w:val="24"/>
        </w:rPr>
        <w:t>application cohérente du statut</w:t>
      </w:r>
      <w:r>
        <w:rPr>
          <w:rStyle w:val="FootnoteReference"/>
          <w:noProof/>
          <w:sz w:val="24"/>
        </w:rPr>
        <w:footnoteReference w:id="1"/>
      </w:r>
      <w:r>
        <w:rPr>
          <w:noProof/>
          <w:sz w:val="24"/>
        </w:rPr>
        <w:t>.</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noProof/>
          <w:sz w:val="24"/>
        </w:rPr>
        <w:t>Le présent rapport porte sur les questions suivantes: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Application cohérente du statut</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noProof/>
          <w:sz w:val="24"/>
        </w:rPr>
        <w:t>Le titre 1 examine le cadre juridique de base. Il évalue dans quelle mesure le système du statut des fonctionnaires permet une application harmonisée et uniforme de ses dispositions.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Transparence</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noProof/>
          <w:sz w:val="24"/>
        </w:rPr>
        <w:t>Le titre 2 dresse une liste exhaustive de toutes les règles d’exécution adoptées par les autorités investies du pouvoir de nomination, afin de présenter de manière claire et transparente la situation actuelle au sein de toutes les institutions.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Respect</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noProof/>
          <w:sz w:val="24"/>
        </w:rPr>
        <w:t>Le titre 3 apprécie dans quelle mesure les institutions se sont conformées au cadre juridique prévu par le statut des fonctionnaires et le régime applicable aux autres agents.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Gouvernance</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noProof/>
          <w:sz w:val="24"/>
        </w:rPr>
        <w:t>Le titre 4 évalue les mécanismes mis en place pour garantir une gouvernance efficace entre les institutions et à l’égard des agences.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Conclusions</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noProof/>
          <w:sz w:val="24"/>
        </w:rPr>
        <w:t>Le titre 5 résume la situation actuelle au regard des règles d’exécution et suggère de nouvelles mesures pour une application plus cohérente du statut.</w:t>
      </w:r>
    </w:p>
    <w:p>
      <w:pPr>
        <w:rPr>
          <w:rFonts w:ascii="Times New Roman" w:hAnsi="Times New Roman" w:cs="Times New Roman"/>
          <w:b/>
          <w:noProof/>
          <w:sz w:val="24"/>
          <w:szCs w:val="24"/>
          <w:u w:val="single"/>
        </w:rPr>
      </w:pPr>
      <w:r>
        <w:rPr>
          <w:noProof/>
        </w:rPr>
        <w:br w:type="page"/>
      </w:r>
    </w:p>
    <w:p>
      <w:pPr>
        <w:jc w:val="center"/>
        <w:rPr>
          <w:rFonts w:ascii="Times New Roman" w:hAnsi="Times New Roman" w:cs="Times New Roman"/>
          <w:b/>
          <w:noProof/>
          <w:sz w:val="24"/>
          <w:szCs w:val="24"/>
          <w:u w:val="single"/>
        </w:rPr>
      </w:pPr>
      <w:r>
        <w:rPr>
          <w:rFonts w:ascii="Times New Roman" w:hAnsi="Times New Roman"/>
          <w:b/>
          <w:noProof/>
          <w:sz w:val="24"/>
          <w:u w:val="single"/>
        </w:rPr>
        <w:t>EXPOSÉ DES MOTIFS</w:t>
      </w:r>
    </w:p>
    <w:p>
      <w:pPr>
        <w:jc w:val="center"/>
        <w:rPr>
          <w:rFonts w:ascii="Times New Roman" w:hAnsi="Times New Roman" w:cs="Times New Roman"/>
          <w:b/>
          <w:noProof/>
          <w:sz w:val="24"/>
          <w:szCs w:val="24"/>
          <w:u w:val="single"/>
        </w:rPr>
      </w:pPr>
    </w:p>
    <w:p>
      <w:pPr>
        <w:rPr>
          <w:rFonts w:ascii="Times New Roman" w:hAnsi="Times New Roman" w:cs="Times New Roman"/>
          <w:b/>
          <w:noProof/>
          <w:sz w:val="24"/>
          <w:szCs w:val="24"/>
        </w:rPr>
      </w:pPr>
      <w:r>
        <w:rPr>
          <w:rFonts w:ascii="Times New Roman" w:hAnsi="Times New Roman"/>
          <w:b/>
          <w:noProof/>
          <w:sz w:val="24"/>
        </w:rPr>
        <w:t>1.</w:t>
      </w:r>
      <w:r>
        <w:rPr>
          <w:noProof/>
        </w:rPr>
        <w:tab/>
      </w:r>
      <w:r>
        <w:rPr>
          <w:rFonts w:ascii="Times New Roman" w:hAnsi="Times New Roman"/>
          <w:b/>
          <w:noProof/>
          <w:sz w:val="24"/>
        </w:rPr>
        <w:t>BASE JURIDIQUE</w:t>
      </w:r>
    </w:p>
    <w:p>
      <w:pPr>
        <w:jc w:val="both"/>
        <w:rPr>
          <w:rFonts w:ascii="Times New Roman" w:hAnsi="Times New Roman" w:cs="Times New Roman"/>
          <w:noProof/>
          <w:sz w:val="24"/>
          <w:szCs w:val="24"/>
        </w:rPr>
      </w:pPr>
      <w:r>
        <w:rPr>
          <w:rFonts w:ascii="Times New Roman" w:hAnsi="Times New Roman"/>
          <w:noProof/>
          <w:sz w:val="24"/>
        </w:rPr>
        <w:t>Le statut des fonctionnaires</w:t>
      </w:r>
      <w:r>
        <w:rPr>
          <w:rStyle w:val="FootnoteReference"/>
          <w:rFonts w:ascii="Times New Roman" w:hAnsi="Times New Roman"/>
          <w:noProof/>
          <w:sz w:val="24"/>
        </w:rPr>
        <w:footnoteReference w:id="2"/>
      </w:r>
      <w:r>
        <w:rPr>
          <w:rFonts w:ascii="Times New Roman" w:hAnsi="Times New Roman"/>
          <w:noProof/>
          <w:sz w:val="24"/>
        </w:rPr>
        <w:t xml:space="preserve"> exige que, tous les trois ans, la Commission présente un rapport sur les règles d’exécution du statut adoptées par l’autorité investie du pouvoir de nomination de chaque institution.</w:t>
      </w:r>
    </w:p>
    <w:p>
      <w:pPr>
        <w:jc w:val="both"/>
        <w:rPr>
          <w:rFonts w:ascii="Times New Roman" w:hAnsi="Times New Roman" w:cs="Times New Roman"/>
          <w:noProof/>
          <w:sz w:val="24"/>
          <w:szCs w:val="24"/>
        </w:rPr>
      </w:pPr>
      <w:r>
        <w:rPr>
          <w:rFonts w:ascii="Times New Roman" w:hAnsi="Times New Roman"/>
          <w:noProof/>
          <w:sz w:val="24"/>
        </w:rPr>
        <w:t>L’élaboration de ce rapport s’inscrit dans un cadre plus vaste introduit par la réforme du statut effectuée en 2014. Ce cadre vise à assurer la transparence et à rendre ces règles accessibles aux citoyens de l’Union européenne. Il comprend également un registre tenu par la Cour de justice de l’Union européenne, auquel les institutions et agences communiquent leurs propres règles.</w:t>
      </w:r>
    </w:p>
    <w:p>
      <w:pPr>
        <w:jc w:val="both"/>
        <w:rPr>
          <w:rFonts w:ascii="Times New Roman" w:hAnsi="Times New Roman" w:cs="Times New Roman"/>
          <w:noProof/>
          <w:sz w:val="24"/>
          <w:szCs w:val="24"/>
        </w:rPr>
      </w:pPr>
      <w:r>
        <w:rPr>
          <w:rFonts w:ascii="Times New Roman" w:hAnsi="Times New Roman"/>
          <w:noProof/>
          <w:sz w:val="24"/>
        </w:rPr>
        <w:t>Le présent rapport constitue la première présentation de ces règles depuis l’introduction de l’obligation d’élaborer un rapport.</w:t>
      </w:r>
    </w:p>
    <w:p>
      <w:pPr>
        <w:jc w:val="both"/>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COLLECTE D’INFORMATIONS POUR LE RAPPORT</w:t>
      </w:r>
    </w:p>
    <w:p>
      <w:pPr>
        <w:jc w:val="both"/>
        <w:rPr>
          <w:rFonts w:ascii="Times New Roman" w:hAnsi="Times New Roman" w:cs="Times New Roman"/>
          <w:noProof/>
          <w:sz w:val="24"/>
          <w:szCs w:val="24"/>
        </w:rPr>
      </w:pPr>
      <w:r>
        <w:rPr>
          <w:rFonts w:ascii="Times New Roman" w:hAnsi="Times New Roman"/>
          <w:noProof/>
          <w:sz w:val="24"/>
        </w:rPr>
        <w:t>En vue d’établir le rapport, la Commission a consulté le registre tenu par la Cour de justice de l’Union européenne.</w:t>
      </w:r>
    </w:p>
    <w:p>
      <w:pPr>
        <w:jc w:val="both"/>
        <w:rPr>
          <w:rFonts w:ascii="Times New Roman" w:hAnsi="Times New Roman" w:cs="Times New Roman"/>
          <w:noProof/>
          <w:sz w:val="24"/>
          <w:szCs w:val="24"/>
        </w:rPr>
      </w:pPr>
      <w:r>
        <w:rPr>
          <w:rFonts w:ascii="Times New Roman" w:hAnsi="Times New Roman"/>
          <w:noProof/>
          <w:sz w:val="24"/>
        </w:rPr>
        <w:t>La Commission a ensuite vérifié les règles tirées du registre pour s’assurer que le rapport couvrait toutes les décisions d’exécution du statut prises par les institutions et les agences. À cette fin, elle a comparé ces règles avec celles transmises directement à la Commission par les autres institutions et agences.</w:t>
      </w:r>
    </w:p>
    <w:p>
      <w:pPr>
        <w:jc w:val="both"/>
        <w:rPr>
          <w:rFonts w:ascii="Times New Roman" w:hAnsi="Times New Roman" w:cs="Times New Roman"/>
          <w:noProof/>
          <w:sz w:val="24"/>
          <w:szCs w:val="24"/>
        </w:rPr>
      </w:pPr>
      <w:r>
        <w:rPr>
          <w:rFonts w:ascii="Times New Roman" w:hAnsi="Times New Roman"/>
          <w:noProof/>
          <w:sz w:val="24"/>
        </w:rPr>
        <w:t>Cet exercice de collecte s’est achevé le 30 avril 2017.</w:t>
      </w:r>
    </w:p>
    <w:p>
      <w:pPr>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PRINCIPALES CARACTÉRISTIQUES DU RAPPORT</w:t>
      </w:r>
    </w:p>
    <w:p>
      <w:pPr>
        <w:jc w:val="both"/>
        <w:rPr>
          <w:rFonts w:ascii="Times New Roman" w:hAnsi="Times New Roman" w:cs="Times New Roman"/>
          <w:b/>
          <w:i/>
          <w:noProof/>
          <w:sz w:val="24"/>
          <w:szCs w:val="24"/>
        </w:rPr>
      </w:pPr>
      <w:r>
        <w:rPr>
          <w:rFonts w:ascii="Times New Roman" w:hAnsi="Times New Roman"/>
          <w:b/>
          <w:i/>
          <w:noProof/>
          <w:sz w:val="24"/>
        </w:rPr>
        <w:t>Description des règles d’exécution</w:t>
      </w:r>
    </w:p>
    <w:p>
      <w:pPr>
        <w:jc w:val="both"/>
        <w:rPr>
          <w:rFonts w:ascii="Times New Roman" w:hAnsi="Times New Roman" w:cs="Times New Roman"/>
          <w:noProof/>
          <w:sz w:val="24"/>
          <w:szCs w:val="24"/>
        </w:rPr>
      </w:pPr>
      <w:r>
        <w:rPr>
          <w:rFonts w:ascii="Times New Roman" w:hAnsi="Times New Roman"/>
          <w:noProof/>
          <w:sz w:val="24"/>
        </w:rPr>
        <w:t>Le rapport donne un aperçu des différents types de règles qui peuvent être adoptées soit par une autorité investie du pouvoir de nomination pour exécuter le statut des fonctionnaires soit par une autorité habilitée à conclure des contrats d’engagement pour exécuter le régime applicable aux autres agents, et explique la procédure d’adoption de ces règles.</w:t>
      </w:r>
    </w:p>
    <w:p>
      <w:pPr>
        <w:jc w:val="both"/>
        <w:rPr>
          <w:rFonts w:ascii="Times New Roman" w:hAnsi="Times New Roman" w:cs="Times New Roman"/>
          <w:b/>
          <w:i/>
          <w:noProof/>
          <w:sz w:val="24"/>
          <w:szCs w:val="24"/>
        </w:rPr>
      </w:pPr>
      <w:r>
        <w:rPr>
          <w:rFonts w:ascii="Times New Roman" w:hAnsi="Times New Roman"/>
          <w:b/>
          <w:i/>
          <w:noProof/>
          <w:sz w:val="24"/>
        </w:rPr>
        <w:t xml:space="preserve">Évaluation quantitative </w:t>
      </w:r>
    </w:p>
    <w:p>
      <w:pPr>
        <w:jc w:val="both"/>
        <w:rPr>
          <w:rFonts w:ascii="Times New Roman" w:hAnsi="Times New Roman" w:cs="Times New Roman"/>
          <w:noProof/>
          <w:sz w:val="24"/>
          <w:szCs w:val="24"/>
        </w:rPr>
      </w:pPr>
      <w:r>
        <w:rPr>
          <w:rFonts w:ascii="Times New Roman" w:hAnsi="Times New Roman"/>
          <w:noProof/>
          <w:sz w:val="24"/>
        </w:rPr>
        <w:t>En accord avec les dix institutions concernées, la Commission a dressé des tableaux qui détaillent la situation dans chacune d’elles entre le 1</w:t>
      </w:r>
      <w:r>
        <w:rPr>
          <w:rFonts w:ascii="Times New Roman" w:hAnsi="Times New Roman"/>
          <w:noProof/>
          <w:sz w:val="24"/>
          <w:vertAlign w:val="superscript"/>
        </w:rPr>
        <w:t>er</w:t>
      </w:r>
      <w:r>
        <w:rPr>
          <w:rFonts w:ascii="Times New Roman" w:hAnsi="Times New Roman"/>
          <w:noProof/>
          <w:sz w:val="24"/>
        </w:rPr>
        <w:t> janvier 2014 et le 31 décembre 2016. Sur la base de ceux-ci, la Commission a établi un tableau général qui donne un aperçu de la situation dans toutes les institutions.</w:t>
      </w:r>
    </w:p>
    <w:p>
      <w:pPr>
        <w:jc w:val="both"/>
        <w:rPr>
          <w:rFonts w:ascii="Times New Roman" w:hAnsi="Times New Roman" w:cs="Times New Roman"/>
          <w:noProof/>
          <w:sz w:val="24"/>
          <w:szCs w:val="24"/>
        </w:rPr>
      </w:pPr>
      <w:r>
        <w:rPr>
          <w:rFonts w:ascii="Times New Roman" w:hAnsi="Times New Roman"/>
          <w:noProof/>
          <w:sz w:val="24"/>
        </w:rPr>
        <w:t>Un autre tableau général donne une vue d’ensemble des règles applicables dans les agences au 31 décembre 2016.</w:t>
      </w:r>
    </w:p>
    <w:p>
      <w:pPr>
        <w:jc w:val="both"/>
        <w:rPr>
          <w:rFonts w:ascii="Times New Roman" w:hAnsi="Times New Roman" w:cs="Times New Roman"/>
          <w:noProof/>
          <w:sz w:val="24"/>
          <w:szCs w:val="24"/>
        </w:rPr>
      </w:pPr>
      <w:r>
        <w:rPr>
          <w:rFonts w:ascii="Times New Roman" w:hAnsi="Times New Roman"/>
          <w:noProof/>
          <w:sz w:val="24"/>
        </w:rPr>
        <w:t>Ces tableaux indiquent l’objet des règles adoptées par les différentes autorités investies du pouvoir de nomination ou autorités habilitées à conclure des contrats d’engagement et la mesure dans laquelle chaque autorité a utilisé son pouvoir d’adoption de règles.</w:t>
      </w:r>
    </w:p>
    <w:p>
      <w:pPr>
        <w:jc w:val="both"/>
        <w:rPr>
          <w:rFonts w:ascii="Times New Roman" w:hAnsi="Times New Roman" w:cs="Times New Roman"/>
          <w:b/>
          <w:i/>
          <w:noProof/>
          <w:sz w:val="24"/>
          <w:szCs w:val="24"/>
        </w:rPr>
      </w:pPr>
      <w:r>
        <w:rPr>
          <w:rFonts w:ascii="Times New Roman" w:hAnsi="Times New Roman"/>
          <w:b/>
          <w:i/>
          <w:noProof/>
          <w:sz w:val="24"/>
        </w:rPr>
        <w:t>Évaluation qualitative/respect</w:t>
      </w:r>
    </w:p>
    <w:p>
      <w:pPr>
        <w:jc w:val="both"/>
        <w:rPr>
          <w:rFonts w:ascii="Times New Roman" w:hAnsi="Times New Roman" w:cs="Times New Roman"/>
          <w:noProof/>
          <w:sz w:val="24"/>
          <w:szCs w:val="24"/>
        </w:rPr>
      </w:pPr>
      <w:r>
        <w:rPr>
          <w:rFonts w:ascii="Times New Roman" w:hAnsi="Times New Roman"/>
          <w:noProof/>
          <w:sz w:val="24"/>
        </w:rPr>
        <w:t>Le rapport présente comment les autorités investies du pouvoir de nomination ou les autorités habilitées à conclure des contrats d’engagement se sont conformées au cadre établi par le statut des fonctionnaires et le régime applicable aux autres agents, en accordant une attention particulière aux sujets pour lesquels les autorités n’ont pas (encore) utilisé leur pouvoir d’adoption de règles.</w:t>
      </w:r>
    </w:p>
    <w:p>
      <w:pPr>
        <w:jc w:val="both"/>
        <w:rPr>
          <w:rFonts w:ascii="Times New Roman" w:hAnsi="Times New Roman" w:cs="Times New Roman"/>
          <w:noProof/>
          <w:sz w:val="24"/>
          <w:szCs w:val="24"/>
        </w:rPr>
      </w:pPr>
      <w:r>
        <w:rPr>
          <w:rFonts w:ascii="Times New Roman" w:hAnsi="Times New Roman"/>
          <w:noProof/>
          <w:sz w:val="24"/>
        </w:rPr>
        <w:t>Il donne un aperçu de la présentation des règles d’exécution dans le registre tenu par la Cour de justice de l’Union européenne.</w:t>
      </w:r>
    </w:p>
    <w:p>
      <w:pPr>
        <w:jc w:val="both"/>
        <w:rPr>
          <w:rFonts w:ascii="Times New Roman" w:hAnsi="Times New Roman" w:cs="Times New Roman"/>
          <w:b/>
          <w:i/>
          <w:noProof/>
          <w:sz w:val="24"/>
          <w:szCs w:val="24"/>
        </w:rPr>
      </w:pPr>
      <w:r>
        <w:rPr>
          <w:rFonts w:ascii="Times New Roman" w:hAnsi="Times New Roman"/>
          <w:b/>
          <w:i/>
          <w:noProof/>
          <w:sz w:val="24"/>
        </w:rPr>
        <w:t>Gouvernance</w:t>
      </w:r>
    </w:p>
    <w:p>
      <w:pPr>
        <w:jc w:val="both"/>
        <w:rPr>
          <w:rFonts w:ascii="Times New Roman" w:hAnsi="Times New Roman" w:cs="Times New Roman"/>
          <w:noProof/>
          <w:sz w:val="24"/>
          <w:szCs w:val="24"/>
        </w:rPr>
      </w:pPr>
      <w:r>
        <w:rPr>
          <w:rFonts w:ascii="Times New Roman" w:hAnsi="Times New Roman"/>
          <w:noProof/>
          <w:sz w:val="24"/>
        </w:rPr>
        <w:t>Bien que le statut des fonctionnaires et le régime applicable aux autres agents permettent d’adopter des règles individuelles pour refléter différentes réalités administratives, divers mécanismes existent pour harmoniser les règles et les pratiques tant au niveau interinstitutionnel qu’à l’égard des agences.</w:t>
      </w:r>
    </w:p>
    <w:p>
      <w:pPr>
        <w:jc w:val="both"/>
        <w:rPr>
          <w:rFonts w:ascii="Times New Roman" w:hAnsi="Times New Roman" w:cs="Times New Roman"/>
          <w:noProof/>
          <w:sz w:val="24"/>
          <w:szCs w:val="24"/>
        </w:rPr>
      </w:pPr>
      <w:r>
        <w:rPr>
          <w:rFonts w:ascii="Times New Roman" w:hAnsi="Times New Roman"/>
          <w:noProof/>
          <w:sz w:val="24"/>
        </w:rPr>
        <w:t>Le rapport présente ces différents mécanismes de gouvernance visant une application plus uniforme du statut des fonctionnaires et du régime applicable aux autres agents.</w:t>
      </w:r>
    </w:p>
    <w:p>
      <w:pPr>
        <w:rPr>
          <w:rFonts w:ascii="Times New Roman" w:hAnsi="Times New Roman" w:cs="Times New Roman"/>
          <w:b/>
          <w:noProof/>
          <w:sz w:val="24"/>
          <w:szCs w:val="24"/>
        </w:rPr>
      </w:pPr>
      <w:r>
        <w:rPr>
          <w:rFonts w:ascii="Times New Roman" w:hAnsi="Times New Roman"/>
          <w:b/>
          <w:noProof/>
          <w:sz w:val="24"/>
        </w:rPr>
        <w:t>4.</w:t>
      </w:r>
      <w:r>
        <w:rPr>
          <w:noProof/>
        </w:rPr>
        <w:tab/>
      </w:r>
      <w:r>
        <w:rPr>
          <w:rFonts w:ascii="Times New Roman" w:hAnsi="Times New Roman"/>
          <w:b/>
          <w:noProof/>
          <w:sz w:val="24"/>
        </w:rPr>
        <w:t>PERSPECTIVES</w:t>
      </w:r>
    </w:p>
    <w:p>
      <w:pPr>
        <w:jc w:val="both"/>
        <w:rPr>
          <w:rFonts w:ascii="Times New Roman" w:hAnsi="Times New Roman" w:cs="Times New Roman"/>
          <w:noProof/>
          <w:sz w:val="24"/>
          <w:szCs w:val="24"/>
        </w:rPr>
      </w:pPr>
      <w:r>
        <w:rPr>
          <w:rFonts w:ascii="Times New Roman" w:hAnsi="Times New Roman"/>
          <w:noProof/>
          <w:sz w:val="24"/>
        </w:rPr>
        <w:t>La Commission devra présenter le prochain rapport prévu à l’article 110, paragraphe 6, du statut dans trois ans. Celui-ci couvrira les règles d’exécution en vigueur entre le 1</w:t>
      </w:r>
      <w:r>
        <w:rPr>
          <w:rFonts w:ascii="Times New Roman" w:hAnsi="Times New Roman"/>
          <w:noProof/>
          <w:sz w:val="24"/>
          <w:vertAlign w:val="superscript"/>
        </w:rPr>
        <w:t>er</w:t>
      </w:r>
      <w:r>
        <w:rPr>
          <w:rFonts w:ascii="Times New Roman" w:hAnsi="Times New Roman"/>
          <w:noProof/>
          <w:sz w:val="24"/>
        </w:rPr>
        <w:t> janvier 2017 et le 31 décembre 2019.</w:t>
      </w:r>
    </w:p>
    <w:p>
      <w:pPr>
        <w:rPr>
          <w:noProof/>
        </w:rPr>
      </w:pPr>
    </w:p>
    <w:p>
      <w:pPr>
        <w:rPr>
          <w:noProof/>
        </w:rPr>
      </w:pPr>
    </w:p>
    <w:p>
      <w:pPr>
        <w:rPr>
          <w:noProof/>
        </w:rPr>
      </w:pPr>
    </w:p>
    <w:p>
      <w:pPr>
        <w:rPr>
          <w:noProof/>
        </w:rPr>
      </w:pPr>
    </w:p>
    <w:p>
      <w:pPr>
        <w:pBdr>
          <w:top w:val="single" w:sz="4" w:space="1" w:color="auto"/>
          <w:left w:val="single" w:sz="4" w:space="4" w:color="auto"/>
          <w:bottom w:val="single" w:sz="4" w:space="1" w:color="auto"/>
          <w:right w:val="single" w:sz="4" w:space="4" w:color="auto"/>
        </w:pBdr>
        <w:jc w:val="both"/>
        <w:rPr>
          <w:noProof/>
        </w:rPr>
      </w:pPr>
      <w:r>
        <w:rPr>
          <w:noProof/>
        </w:rPr>
        <w:t>La Commission a élaboré le présent rapport sur la base de données mises à disposition par les institutions et les agences. Ce sont les institutions et agences concernées qui sont responsables de l’exhaustivité et de l’exactitude de ces données.</w:t>
      </w:r>
    </w:p>
    <w:p>
      <w:pPr>
        <w:rPr>
          <w:noProof/>
        </w:rPr>
      </w:pPr>
    </w:p>
    <w:p>
      <w:pPr>
        <w:rPr>
          <w:noProof/>
        </w:rPr>
      </w:pPr>
      <w:r>
        <w:rPr>
          <w:noProof/>
        </w:rPr>
        <w:br w:type="page"/>
      </w:r>
    </w:p>
    <w:sdt>
      <w:sdtPr>
        <w:rPr>
          <w:rFonts w:asciiTheme="minorHAnsi" w:eastAsiaTheme="minorHAnsi" w:hAnsiTheme="minorHAnsi" w:cstheme="minorBidi"/>
          <w:b w:val="0"/>
          <w:bCs w:val="0"/>
          <w:noProof/>
          <w:color w:val="auto"/>
          <w:sz w:val="22"/>
          <w:szCs w:val="22"/>
        </w:rPr>
        <w:id w:val="461463876"/>
        <w:docPartObj>
          <w:docPartGallery w:val="Table of Contents"/>
          <w:docPartUnique/>
        </w:docPartObj>
      </w:sdtPr>
      <w:sdtContent>
        <w:p>
          <w:pPr>
            <w:pStyle w:val="TOCHeading"/>
            <w:jc w:val="center"/>
            <w:rPr>
              <w:noProof/>
            </w:rPr>
          </w:pPr>
          <w:r>
            <w:rPr>
              <w:noProof/>
            </w:rPr>
            <w:t>Sommaire</w:t>
          </w:r>
        </w:p>
        <w:p>
          <w:pPr>
            <w:rPr>
              <w:noProof/>
            </w:rPr>
          </w:pPr>
        </w:p>
        <w:p>
          <w:pPr>
            <w:rPr>
              <w:noProof/>
            </w:rPr>
          </w:pPr>
        </w:p>
        <w:p>
          <w:pPr>
            <w:pStyle w:val="TOC1"/>
            <w:rPr>
              <w:rFonts w:eastAsiaTheme="minorEastAsia"/>
              <w:b w:val="0"/>
              <w:lang w:val="en-GB" w:eastAsia="en-GB" w:bidi="ar-SA"/>
            </w:rPr>
          </w:pPr>
          <w:r>
            <w:fldChar w:fldCharType="begin"/>
          </w:r>
          <w:r>
            <w:instrText xml:space="preserve"> TOC \o "1-3" \h \z \u </w:instrText>
          </w:r>
          <w:r>
            <w:fldChar w:fldCharType="separate"/>
          </w:r>
          <w:hyperlink w:anchor="_Toc495934026" w:history="1">
            <w:r>
              <w:rPr>
                <w:rStyle w:val="Hyperlink"/>
              </w:rPr>
              <w:t>TITRE 1.</w:t>
            </w:r>
            <w:r>
              <w:rPr>
                <w:rFonts w:eastAsiaTheme="minorEastAsia"/>
                <w:b w:val="0"/>
                <w:lang w:val="en-GB" w:eastAsia="en-GB" w:bidi="ar-SA"/>
              </w:rPr>
              <w:tab/>
            </w:r>
            <w:r>
              <w:rPr>
                <w:rStyle w:val="Hyperlink"/>
              </w:rPr>
              <w:t>PRÉSENTATION DES RÉGLES D’EXÉCUTION</w:t>
            </w:r>
            <w:r>
              <w:rPr>
                <w:webHidden/>
              </w:rPr>
              <w:tab/>
            </w:r>
            <w:r>
              <w:rPr>
                <w:webHidden/>
              </w:rPr>
              <w:fldChar w:fldCharType="begin"/>
            </w:r>
            <w:r>
              <w:rPr>
                <w:webHidden/>
              </w:rPr>
              <w:instrText xml:space="preserve"> PAGEREF _Toc495934026 \h </w:instrText>
            </w:r>
            <w:r>
              <w:rPr>
                <w:webHidden/>
              </w:rPr>
            </w:r>
            <w:r>
              <w:rPr>
                <w:webHidden/>
              </w:rPr>
              <w:fldChar w:fldCharType="separate"/>
            </w:r>
            <w:r>
              <w:rPr>
                <w:webHidden/>
              </w:rPr>
              <w:t>5</w:t>
            </w:r>
            <w:r>
              <w:rPr>
                <w:webHidden/>
              </w:rPr>
              <w:fldChar w:fldCharType="end"/>
            </w:r>
          </w:hyperlink>
        </w:p>
        <w:p>
          <w:pPr>
            <w:pStyle w:val="TOC2"/>
            <w:tabs>
              <w:tab w:val="left" w:pos="660"/>
              <w:tab w:val="right" w:leader="dot" w:pos="9062"/>
            </w:tabs>
            <w:rPr>
              <w:rFonts w:eastAsiaTheme="minorEastAsia"/>
              <w:noProof/>
              <w:lang w:val="en-GB" w:eastAsia="en-GB" w:bidi="ar-SA"/>
            </w:rPr>
          </w:pPr>
          <w:hyperlink w:anchor="_Toc495934027" w:history="1">
            <w:r>
              <w:rPr>
                <w:rStyle w:val="Hyperlink"/>
                <w:noProof/>
              </w:rPr>
              <w:t>a)</w:t>
            </w:r>
            <w:r>
              <w:rPr>
                <w:rFonts w:eastAsiaTheme="minorEastAsia"/>
                <w:noProof/>
                <w:lang w:val="en-GB" w:eastAsia="en-GB" w:bidi="ar-SA"/>
              </w:rPr>
              <w:tab/>
            </w:r>
            <w:r>
              <w:rPr>
                <w:rStyle w:val="Hyperlink"/>
                <w:noProof/>
              </w:rPr>
              <w:t>Règles arrêtées d’un commun accord entre les institutions de l’Union</w:t>
            </w:r>
            <w:r>
              <w:rPr>
                <w:noProof/>
                <w:webHidden/>
              </w:rPr>
              <w:tab/>
            </w:r>
            <w:r>
              <w:rPr>
                <w:noProof/>
                <w:webHidden/>
              </w:rPr>
              <w:fldChar w:fldCharType="begin"/>
            </w:r>
            <w:r>
              <w:rPr>
                <w:noProof/>
                <w:webHidden/>
              </w:rPr>
              <w:instrText xml:space="preserve"> PAGEREF _Toc495934027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660"/>
              <w:tab w:val="right" w:leader="dot" w:pos="9062"/>
            </w:tabs>
            <w:rPr>
              <w:rFonts w:eastAsiaTheme="minorEastAsia"/>
              <w:noProof/>
              <w:lang w:val="en-GB" w:eastAsia="en-GB" w:bidi="ar-SA"/>
            </w:rPr>
          </w:pPr>
          <w:hyperlink w:anchor="_Toc495934028" w:history="1">
            <w:r>
              <w:rPr>
                <w:rStyle w:val="Hyperlink"/>
                <w:noProof/>
              </w:rPr>
              <w:t>b)</w:t>
            </w:r>
            <w:r>
              <w:rPr>
                <w:rFonts w:eastAsiaTheme="minorEastAsia"/>
                <w:noProof/>
                <w:lang w:val="en-GB" w:eastAsia="en-GB" w:bidi="ar-SA"/>
              </w:rPr>
              <w:tab/>
            </w:r>
            <w:r>
              <w:rPr>
                <w:rStyle w:val="Hyperlink"/>
                <w:noProof/>
              </w:rPr>
              <w:t>Dispositions générales d’exécution</w:t>
            </w:r>
            <w:r>
              <w:rPr>
                <w:noProof/>
                <w:webHidden/>
              </w:rPr>
              <w:tab/>
            </w:r>
            <w:r>
              <w:rPr>
                <w:noProof/>
                <w:webHidden/>
              </w:rPr>
              <w:fldChar w:fldCharType="begin"/>
            </w:r>
            <w:r>
              <w:rPr>
                <w:noProof/>
                <w:webHidden/>
              </w:rPr>
              <w:instrText xml:space="preserve"> PAGEREF _Toc495934028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660"/>
              <w:tab w:val="right" w:leader="dot" w:pos="9062"/>
            </w:tabs>
            <w:rPr>
              <w:rFonts w:eastAsiaTheme="minorEastAsia"/>
              <w:noProof/>
              <w:lang w:val="en-GB" w:eastAsia="en-GB" w:bidi="ar-SA"/>
            </w:rPr>
          </w:pPr>
          <w:hyperlink w:anchor="_Toc495934029" w:history="1">
            <w:r>
              <w:rPr>
                <w:rStyle w:val="Hyperlink"/>
                <w:noProof/>
              </w:rPr>
              <w:t>c)</w:t>
            </w:r>
            <w:r>
              <w:rPr>
                <w:rFonts w:eastAsiaTheme="minorEastAsia"/>
                <w:noProof/>
                <w:lang w:val="en-GB" w:eastAsia="en-GB" w:bidi="ar-SA"/>
              </w:rPr>
              <w:tab/>
            </w:r>
            <w:r>
              <w:rPr>
                <w:rStyle w:val="Hyperlink"/>
                <w:noProof/>
              </w:rPr>
              <w:t>Autres règles d’exécution</w:t>
            </w:r>
            <w:r>
              <w:rPr>
                <w:noProof/>
                <w:webHidden/>
              </w:rPr>
              <w:tab/>
            </w:r>
            <w:r>
              <w:rPr>
                <w:noProof/>
                <w:webHidden/>
              </w:rPr>
              <w:fldChar w:fldCharType="begin"/>
            </w:r>
            <w:r>
              <w:rPr>
                <w:noProof/>
                <w:webHidden/>
              </w:rPr>
              <w:instrText xml:space="preserve"> PAGEREF _Toc495934029 \h </w:instrText>
            </w:r>
            <w:r>
              <w:rPr>
                <w:noProof/>
                <w:webHidden/>
              </w:rPr>
            </w:r>
            <w:r>
              <w:rPr>
                <w:noProof/>
                <w:webHidden/>
              </w:rPr>
              <w:fldChar w:fldCharType="separate"/>
            </w:r>
            <w:r>
              <w:rPr>
                <w:noProof/>
                <w:webHidden/>
              </w:rPr>
              <w:t>9</w:t>
            </w:r>
            <w:r>
              <w:rPr>
                <w:noProof/>
                <w:webHidden/>
              </w:rPr>
              <w:fldChar w:fldCharType="end"/>
            </w:r>
          </w:hyperlink>
        </w:p>
        <w:p>
          <w:pPr>
            <w:pStyle w:val="TOC1"/>
            <w:rPr>
              <w:rFonts w:eastAsiaTheme="minorEastAsia"/>
              <w:b w:val="0"/>
              <w:lang w:val="en-GB" w:eastAsia="en-GB" w:bidi="ar-SA"/>
            </w:rPr>
          </w:pPr>
          <w:hyperlink w:anchor="_Toc495934030" w:history="1">
            <w:r>
              <w:rPr>
                <w:rStyle w:val="Hyperlink"/>
              </w:rPr>
              <w:t>TITRE 2.</w:t>
            </w:r>
            <w:r>
              <w:rPr>
                <w:rFonts w:eastAsiaTheme="minorEastAsia"/>
                <w:b w:val="0"/>
                <w:lang w:val="en-GB" w:eastAsia="en-GB" w:bidi="ar-SA"/>
              </w:rPr>
              <w:tab/>
            </w:r>
            <w:r>
              <w:rPr>
                <w:rStyle w:val="Hyperlink"/>
              </w:rPr>
              <w:t>ÉVALUATION QUANTITATIVE</w:t>
            </w:r>
            <w:r>
              <w:rPr>
                <w:webHidden/>
              </w:rPr>
              <w:tab/>
            </w:r>
            <w:r>
              <w:rPr>
                <w:webHidden/>
              </w:rPr>
              <w:fldChar w:fldCharType="begin"/>
            </w:r>
            <w:r>
              <w:rPr>
                <w:webHidden/>
              </w:rPr>
              <w:instrText xml:space="preserve"> PAGEREF _Toc495934030 \h </w:instrText>
            </w:r>
            <w:r>
              <w:rPr>
                <w:webHidden/>
              </w:rPr>
            </w:r>
            <w:r>
              <w:rPr>
                <w:webHidden/>
              </w:rPr>
              <w:fldChar w:fldCharType="separate"/>
            </w:r>
            <w:r>
              <w:rPr>
                <w:webHidden/>
              </w:rPr>
              <w:t>12</w:t>
            </w:r>
            <w:r>
              <w:rPr>
                <w:webHidden/>
              </w:rPr>
              <w:fldChar w:fldCharType="end"/>
            </w:r>
          </w:hyperlink>
        </w:p>
        <w:p>
          <w:pPr>
            <w:pStyle w:val="TOC2"/>
            <w:tabs>
              <w:tab w:val="left" w:pos="660"/>
              <w:tab w:val="right" w:leader="dot" w:pos="9062"/>
            </w:tabs>
            <w:rPr>
              <w:rFonts w:eastAsiaTheme="minorEastAsia"/>
              <w:noProof/>
              <w:lang w:val="en-GB" w:eastAsia="en-GB" w:bidi="ar-SA"/>
            </w:rPr>
          </w:pPr>
          <w:hyperlink w:anchor="_Toc495934031" w:history="1">
            <w:r>
              <w:rPr>
                <w:rStyle w:val="Hyperlink"/>
                <w:noProof/>
              </w:rPr>
              <w:t>a)</w:t>
            </w:r>
            <w:r>
              <w:rPr>
                <w:rFonts w:eastAsiaTheme="minorEastAsia"/>
                <w:noProof/>
                <w:lang w:val="en-GB" w:eastAsia="en-GB" w:bidi="ar-SA"/>
              </w:rPr>
              <w:tab/>
            </w:r>
            <w:r>
              <w:rPr>
                <w:rStyle w:val="Hyperlink"/>
                <w:noProof/>
              </w:rPr>
              <w:t>Règles d’exécution dans les institutions</w:t>
            </w:r>
            <w:r>
              <w:rPr>
                <w:noProof/>
                <w:webHidden/>
              </w:rPr>
              <w:tab/>
            </w:r>
            <w:r>
              <w:rPr>
                <w:noProof/>
                <w:webHidden/>
              </w:rPr>
              <w:fldChar w:fldCharType="begin"/>
            </w:r>
            <w:r>
              <w:rPr>
                <w:noProof/>
                <w:webHidden/>
              </w:rPr>
              <w:instrText xml:space="preserve"> PAGEREF _Toc495934031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660"/>
              <w:tab w:val="right" w:leader="dot" w:pos="9062"/>
            </w:tabs>
            <w:rPr>
              <w:rFonts w:eastAsiaTheme="minorEastAsia"/>
              <w:noProof/>
              <w:lang w:val="en-GB" w:eastAsia="en-GB" w:bidi="ar-SA"/>
            </w:rPr>
          </w:pPr>
          <w:hyperlink w:anchor="_Toc495934032" w:history="1">
            <w:r>
              <w:rPr>
                <w:rStyle w:val="Hyperlink"/>
                <w:noProof/>
              </w:rPr>
              <w:t>b)</w:t>
            </w:r>
            <w:r>
              <w:rPr>
                <w:rFonts w:eastAsiaTheme="minorEastAsia"/>
                <w:noProof/>
                <w:lang w:val="en-GB" w:eastAsia="en-GB" w:bidi="ar-SA"/>
              </w:rPr>
              <w:tab/>
            </w:r>
            <w:r>
              <w:rPr>
                <w:rStyle w:val="Hyperlink"/>
                <w:noProof/>
              </w:rPr>
              <w:t>Règles d’exécution dans les agences</w:t>
            </w:r>
            <w:r>
              <w:rPr>
                <w:noProof/>
                <w:webHidden/>
              </w:rPr>
              <w:tab/>
            </w:r>
            <w:r>
              <w:rPr>
                <w:noProof/>
                <w:webHidden/>
              </w:rPr>
              <w:fldChar w:fldCharType="begin"/>
            </w:r>
            <w:r>
              <w:rPr>
                <w:noProof/>
                <w:webHidden/>
              </w:rPr>
              <w:instrText xml:space="preserve"> PAGEREF _Toc495934032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880"/>
              <w:tab w:val="right" w:leader="dot" w:pos="9062"/>
            </w:tabs>
            <w:rPr>
              <w:rFonts w:eastAsiaTheme="minorEastAsia"/>
              <w:noProof/>
              <w:lang w:val="en-GB" w:eastAsia="en-GB" w:bidi="ar-SA"/>
            </w:rPr>
          </w:pPr>
          <w:hyperlink w:anchor="_Toc495934033" w:history="1">
            <w:r>
              <w:rPr>
                <w:rStyle w:val="Hyperlink"/>
                <w:noProof/>
              </w:rPr>
              <w:t>1)</w:t>
            </w:r>
            <w:r>
              <w:rPr>
                <w:rFonts w:eastAsiaTheme="minorEastAsia"/>
                <w:noProof/>
                <w:lang w:val="en-GB" w:eastAsia="en-GB" w:bidi="ar-SA"/>
              </w:rPr>
              <w:tab/>
            </w:r>
            <w:r>
              <w:rPr>
                <w:rStyle w:val="Hyperlink"/>
                <w:noProof/>
              </w:rPr>
              <w:t>La situation avant la réforme du statut opérée en 2014</w:t>
            </w:r>
            <w:r>
              <w:rPr>
                <w:noProof/>
                <w:webHidden/>
              </w:rPr>
              <w:tab/>
            </w:r>
            <w:r>
              <w:rPr>
                <w:noProof/>
                <w:webHidden/>
              </w:rPr>
              <w:fldChar w:fldCharType="begin"/>
            </w:r>
            <w:r>
              <w:rPr>
                <w:noProof/>
                <w:webHidden/>
              </w:rPr>
              <w:instrText xml:space="preserve"> PAGEREF _Toc495934033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880"/>
              <w:tab w:val="right" w:leader="dot" w:pos="9062"/>
            </w:tabs>
            <w:rPr>
              <w:rFonts w:eastAsiaTheme="minorEastAsia"/>
              <w:noProof/>
              <w:lang w:val="en-GB" w:eastAsia="en-GB" w:bidi="ar-SA"/>
            </w:rPr>
          </w:pPr>
          <w:hyperlink w:anchor="_Toc495934034" w:history="1">
            <w:r>
              <w:rPr>
                <w:rStyle w:val="Hyperlink"/>
                <w:noProof/>
              </w:rPr>
              <w:t>2)</w:t>
            </w:r>
            <w:r>
              <w:rPr>
                <w:rFonts w:eastAsiaTheme="minorEastAsia"/>
                <w:noProof/>
                <w:lang w:val="en-GB" w:eastAsia="en-GB" w:bidi="ar-SA"/>
              </w:rPr>
              <w:tab/>
            </w:r>
            <w:r>
              <w:rPr>
                <w:rStyle w:val="Hyperlink"/>
                <w:noProof/>
              </w:rPr>
              <w:t>La situation après la réforme du statut opérée en 2014</w:t>
            </w:r>
            <w:r>
              <w:rPr>
                <w:noProof/>
                <w:webHidden/>
              </w:rPr>
              <w:tab/>
            </w:r>
            <w:r>
              <w:rPr>
                <w:noProof/>
                <w:webHidden/>
              </w:rPr>
              <w:fldChar w:fldCharType="begin"/>
            </w:r>
            <w:r>
              <w:rPr>
                <w:noProof/>
                <w:webHidden/>
              </w:rPr>
              <w:instrText xml:space="preserve"> PAGEREF _Toc495934034 \h </w:instrText>
            </w:r>
            <w:r>
              <w:rPr>
                <w:noProof/>
                <w:webHidden/>
              </w:rPr>
            </w:r>
            <w:r>
              <w:rPr>
                <w:noProof/>
                <w:webHidden/>
              </w:rPr>
              <w:fldChar w:fldCharType="separate"/>
            </w:r>
            <w:r>
              <w:rPr>
                <w:noProof/>
                <w:webHidden/>
              </w:rPr>
              <w:t>15</w:t>
            </w:r>
            <w:r>
              <w:rPr>
                <w:noProof/>
                <w:webHidden/>
              </w:rPr>
              <w:fldChar w:fldCharType="end"/>
            </w:r>
          </w:hyperlink>
        </w:p>
        <w:p>
          <w:pPr>
            <w:pStyle w:val="TOC1"/>
            <w:rPr>
              <w:rFonts w:eastAsiaTheme="minorEastAsia"/>
              <w:b w:val="0"/>
              <w:lang w:val="en-GB" w:eastAsia="en-GB" w:bidi="ar-SA"/>
            </w:rPr>
          </w:pPr>
          <w:hyperlink w:anchor="_Toc495934035" w:history="1">
            <w:r>
              <w:rPr>
                <w:rStyle w:val="Hyperlink"/>
              </w:rPr>
              <w:t>TITRE 3.</w:t>
            </w:r>
            <w:r>
              <w:rPr>
                <w:rFonts w:eastAsiaTheme="minorEastAsia"/>
                <w:b w:val="0"/>
                <w:lang w:val="en-GB" w:eastAsia="en-GB" w:bidi="ar-SA"/>
              </w:rPr>
              <w:tab/>
            </w:r>
            <w:r>
              <w:rPr>
                <w:rStyle w:val="Hyperlink"/>
              </w:rPr>
              <w:t>ÉVALUATION QUALITATIVE/RESPECT</w:t>
            </w:r>
            <w:r>
              <w:rPr>
                <w:webHidden/>
              </w:rPr>
              <w:tab/>
            </w:r>
            <w:r>
              <w:rPr>
                <w:webHidden/>
              </w:rPr>
              <w:fldChar w:fldCharType="begin"/>
            </w:r>
            <w:r>
              <w:rPr>
                <w:webHidden/>
              </w:rPr>
              <w:instrText xml:space="preserve"> PAGEREF _Toc495934035 \h </w:instrText>
            </w:r>
            <w:r>
              <w:rPr>
                <w:webHidden/>
              </w:rPr>
            </w:r>
            <w:r>
              <w:rPr>
                <w:webHidden/>
              </w:rPr>
              <w:fldChar w:fldCharType="separate"/>
            </w:r>
            <w:r>
              <w:rPr>
                <w:webHidden/>
              </w:rPr>
              <w:t>17</w:t>
            </w:r>
            <w:r>
              <w:rPr>
                <w:webHidden/>
              </w:rPr>
              <w:fldChar w:fldCharType="end"/>
            </w:r>
          </w:hyperlink>
        </w:p>
        <w:p>
          <w:pPr>
            <w:pStyle w:val="TOC2"/>
            <w:tabs>
              <w:tab w:val="left" w:pos="660"/>
              <w:tab w:val="right" w:leader="dot" w:pos="9062"/>
            </w:tabs>
            <w:rPr>
              <w:rFonts w:eastAsiaTheme="minorEastAsia"/>
              <w:noProof/>
              <w:lang w:val="en-GB" w:eastAsia="en-GB" w:bidi="ar-SA"/>
            </w:rPr>
          </w:pPr>
          <w:hyperlink w:anchor="_Toc495934036" w:history="1">
            <w:r>
              <w:rPr>
                <w:rStyle w:val="Hyperlink"/>
                <w:noProof/>
              </w:rPr>
              <w:t>a)</w:t>
            </w:r>
            <w:r>
              <w:rPr>
                <w:rFonts w:eastAsiaTheme="minorEastAsia"/>
                <w:noProof/>
                <w:lang w:val="en-GB" w:eastAsia="en-GB" w:bidi="ar-SA"/>
              </w:rPr>
              <w:tab/>
            </w:r>
            <w:r>
              <w:rPr>
                <w:rStyle w:val="Hyperlink"/>
                <w:noProof/>
              </w:rPr>
              <w:t>Respect du statut des fonctionnaires et du régime applicable aux autres agents</w:t>
            </w:r>
            <w:r>
              <w:rPr>
                <w:noProof/>
                <w:webHidden/>
              </w:rPr>
              <w:tab/>
            </w:r>
            <w:r>
              <w:rPr>
                <w:noProof/>
                <w:webHidden/>
              </w:rPr>
              <w:fldChar w:fldCharType="begin"/>
            </w:r>
            <w:r>
              <w:rPr>
                <w:noProof/>
                <w:webHidden/>
              </w:rPr>
              <w:instrText xml:space="preserve"> PAGEREF _Toc495934036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660"/>
              <w:tab w:val="right" w:leader="dot" w:pos="9062"/>
            </w:tabs>
            <w:rPr>
              <w:rFonts w:eastAsiaTheme="minorEastAsia"/>
              <w:noProof/>
              <w:lang w:val="en-GB" w:eastAsia="en-GB" w:bidi="ar-SA"/>
            </w:rPr>
          </w:pPr>
          <w:hyperlink w:anchor="_Toc495934037" w:history="1">
            <w:r>
              <w:rPr>
                <w:rStyle w:val="Hyperlink"/>
                <w:noProof/>
              </w:rPr>
              <w:t>b)</w:t>
            </w:r>
            <w:r>
              <w:rPr>
                <w:rFonts w:eastAsiaTheme="minorEastAsia"/>
                <w:noProof/>
                <w:lang w:val="en-GB" w:eastAsia="en-GB" w:bidi="ar-SA"/>
              </w:rPr>
              <w:tab/>
            </w:r>
            <w:r>
              <w:rPr>
                <w:rStyle w:val="Hyperlink"/>
                <w:noProof/>
              </w:rPr>
              <w:t>Le registre tenu par la Cour de justice</w:t>
            </w:r>
            <w:r>
              <w:rPr>
                <w:noProof/>
                <w:webHidden/>
              </w:rPr>
              <w:tab/>
            </w:r>
            <w:r>
              <w:rPr>
                <w:noProof/>
                <w:webHidden/>
              </w:rPr>
              <w:fldChar w:fldCharType="begin"/>
            </w:r>
            <w:r>
              <w:rPr>
                <w:noProof/>
                <w:webHidden/>
              </w:rPr>
              <w:instrText xml:space="preserve"> PAGEREF _Toc495934037 \h </w:instrText>
            </w:r>
            <w:r>
              <w:rPr>
                <w:noProof/>
                <w:webHidden/>
              </w:rPr>
            </w:r>
            <w:r>
              <w:rPr>
                <w:noProof/>
                <w:webHidden/>
              </w:rPr>
              <w:fldChar w:fldCharType="separate"/>
            </w:r>
            <w:r>
              <w:rPr>
                <w:noProof/>
                <w:webHidden/>
              </w:rPr>
              <w:t>24</w:t>
            </w:r>
            <w:r>
              <w:rPr>
                <w:noProof/>
                <w:webHidden/>
              </w:rPr>
              <w:fldChar w:fldCharType="end"/>
            </w:r>
          </w:hyperlink>
        </w:p>
        <w:p>
          <w:pPr>
            <w:pStyle w:val="TOC1"/>
            <w:rPr>
              <w:rFonts w:eastAsiaTheme="minorEastAsia"/>
              <w:b w:val="0"/>
              <w:lang w:val="en-GB" w:eastAsia="en-GB" w:bidi="ar-SA"/>
            </w:rPr>
          </w:pPr>
          <w:hyperlink w:anchor="_Toc495934038" w:history="1">
            <w:r>
              <w:rPr>
                <w:rStyle w:val="Hyperlink"/>
              </w:rPr>
              <w:t>TITRE 4.</w:t>
            </w:r>
            <w:r>
              <w:rPr>
                <w:rFonts w:eastAsiaTheme="minorEastAsia"/>
                <w:b w:val="0"/>
                <w:lang w:val="en-GB" w:eastAsia="en-GB" w:bidi="ar-SA"/>
              </w:rPr>
              <w:tab/>
            </w:r>
            <w:r>
              <w:rPr>
                <w:rStyle w:val="Hyperlink"/>
              </w:rPr>
              <w:t>GOUVERNANCE</w:t>
            </w:r>
            <w:r>
              <w:rPr>
                <w:webHidden/>
              </w:rPr>
              <w:tab/>
            </w:r>
            <w:r>
              <w:rPr>
                <w:webHidden/>
              </w:rPr>
              <w:fldChar w:fldCharType="begin"/>
            </w:r>
            <w:r>
              <w:rPr>
                <w:webHidden/>
              </w:rPr>
              <w:instrText xml:space="preserve"> PAGEREF _Toc495934038 \h </w:instrText>
            </w:r>
            <w:r>
              <w:rPr>
                <w:webHidden/>
              </w:rPr>
            </w:r>
            <w:r>
              <w:rPr>
                <w:webHidden/>
              </w:rPr>
              <w:fldChar w:fldCharType="separate"/>
            </w:r>
            <w:r>
              <w:rPr>
                <w:webHidden/>
              </w:rPr>
              <w:t>27</w:t>
            </w:r>
            <w:r>
              <w:rPr>
                <w:webHidden/>
              </w:rPr>
              <w:fldChar w:fldCharType="end"/>
            </w:r>
          </w:hyperlink>
        </w:p>
        <w:p>
          <w:pPr>
            <w:pStyle w:val="TOC2"/>
            <w:tabs>
              <w:tab w:val="left" w:pos="660"/>
              <w:tab w:val="right" w:leader="dot" w:pos="9062"/>
            </w:tabs>
            <w:rPr>
              <w:rFonts w:eastAsiaTheme="minorEastAsia"/>
              <w:noProof/>
              <w:lang w:val="en-GB" w:eastAsia="en-GB" w:bidi="ar-SA"/>
            </w:rPr>
          </w:pPr>
          <w:hyperlink w:anchor="_Toc495934039" w:history="1">
            <w:r>
              <w:rPr>
                <w:rStyle w:val="Hyperlink"/>
                <w:noProof/>
              </w:rPr>
              <w:t>a)</w:t>
            </w:r>
            <w:r>
              <w:rPr>
                <w:rFonts w:eastAsiaTheme="minorEastAsia"/>
                <w:noProof/>
                <w:lang w:val="en-GB" w:eastAsia="en-GB" w:bidi="ar-SA"/>
              </w:rPr>
              <w:tab/>
            </w:r>
            <w:r>
              <w:rPr>
                <w:rStyle w:val="Hyperlink"/>
                <w:noProof/>
              </w:rPr>
              <w:t>Harmonisation des règles et pratiques entre les institutions</w:t>
            </w:r>
            <w:r>
              <w:rPr>
                <w:noProof/>
                <w:webHidden/>
              </w:rPr>
              <w:tab/>
            </w:r>
            <w:r>
              <w:rPr>
                <w:noProof/>
                <w:webHidden/>
              </w:rPr>
              <w:fldChar w:fldCharType="begin"/>
            </w:r>
            <w:r>
              <w:rPr>
                <w:noProof/>
                <w:webHidden/>
              </w:rPr>
              <w:instrText xml:space="preserve"> PAGEREF _Toc495934039 \h </w:instrText>
            </w:r>
            <w:r>
              <w:rPr>
                <w:noProof/>
                <w:webHidden/>
              </w:rPr>
            </w:r>
            <w:r>
              <w:rPr>
                <w:noProof/>
                <w:webHidden/>
              </w:rPr>
              <w:fldChar w:fldCharType="separate"/>
            </w:r>
            <w:r>
              <w:rPr>
                <w:noProof/>
                <w:webHidden/>
              </w:rPr>
              <w:t>27</w:t>
            </w:r>
            <w:r>
              <w:rPr>
                <w:noProof/>
                <w:webHidden/>
              </w:rPr>
              <w:fldChar w:fldCharType="end"/>
            </w:r>
          </w:hyperlink>
        </w:p>
        <w:p>
          <w:pPr>
            <w:pStyle w:val="TOC3"/>
            <w:tabs>
              <w:tab w:val="left" w:pos="880"/>
              <w:tab w:val="right" w:leader="dot" w:pos="9062"/>
            </w:tabs>
            <w:rPr>
              <w:rFonts w:eastAsiaTheme="minorEastAsia"/>
              <w:noProof/>
              <w:lang w:val="en-GB" w:eastAsia="en-GB" w:bidi="ar-SA"/>
            </w:rPr>
          </w:pPr>
          <w:hyperlink w:anchor="_Toc495934040" w:history="1">
            <w:r>
              <w:rPr>
                <w:rStyle w:val="Hyperlink"/>
                <w:noProof/>
              </w:rPr>
              <w:t>1)</w:t>
            </w:r>
            <w:r>
              <w:rPr>
                <w:rFonts w:eastAsiaTheme="minorEastAsia"/>
                <w:noProof/>
                <w:lang w:val="en-GB" w:eastAsia="en-GB" w:bidi="ar-SA"/>
              </w:rPr>
              <w:tab/>
            </w:r>
            <w:r>
              <w:rPr>
                <w:rStyle w:val="Hyperlink"/>
                <w:noProof/>
              </w:rPr>
              <w:t>Le rôle du collège des chefs d’administration</w:t>
            </w:r>
            <w:r>
              <w:rPr>
                <w:noProof/>
                <w:webHidden/>
              </w:rPr>
              <w:tab/>
            </w:r>
            <w:r>
              <w:rPr>
                <w:noProof/>
                <w:webHidden/>
              </w:rPr>
              <w:fldChar w:fldCharType="begin"/>
            </w:r>
            <w:r>
              <w:rPr>
                <w:noProof/>
                <w:webHidden/>
              </w:rPr>
              <w:instrText xml:space="preserve"> PAGEREF _Toc495934040 \h </w:instrText>
            </w:r>
            <w:r>
              <w:rPr>
                <w:noProof/>
                <w:webHidden/>
              </w:rPr>
            </w:r>
            <w:r>
              <w:rPr>
                <w:noProof/>
                <w:webHidden/>
              </w:rPr>
              <w:fldChar w:fldCharType="separate"/>
            </w:r>
            <w:r>
              <w:rPr>
                <w:noProof/>
                <w:webHidden/>
              </w:rPr>
              <w:t>27</w:t>
            </w:r>
            <w:r>
              <w:rPr>
                <w:noProof/>
                <w:webHidden/>
              </w:rPr>
              <w:fldChar w:fldCharType="end"/>
            </w:r>
          </w:hyperlink>
        </w:p>
        <w:p>
          <w:pPr>
            <w:pStyle w:val="TOC3"/>
            <w:tabs>
              <w:tab w:val="left" w:pos="880"/>
              <w:tab w:val="right" w:leader="dot" w:pos="9062"/>
            </w:tabs>
            <w:rPr>
              <w:rFonts w:eastAsiaTheme="minorEastAsia"/>
              <w:noProof/>
              <w:lang w:val="en-GB" w:eastAsia="en-GB" w:bidi="ar-SA"/>
            </w:rPr>
          </w:pPr>
          <w:hyperlink w:anchor="_Toc495934041" w:history="1">
            <w:r>
              <w:rPr>
                <w:rStyle w:val="Hyperlink"/>
                <w:noProof/>
              </w:rPr>
              <w:t>2)</w:t>
            </w:r>
            <w:r>
              <w:rPr>
                <w:rFonts w:eastAsiaTheme="minorEastAsia"/>
                <w:noProof/>
                <w:lang w:val="en-GB" w:eastAsia="en-GB" w:bidi="ar-SA"/>
              </w:rPr>
              <w:tab/>
            </w:r>
            <w:r>
              <w:rPr>
                <w:rStyle w:val="Hyperlink"/>
                <w:noProof/>
              </w:rPr>
              <w:t>Le rôle du comité du statut</w:t>
            </w:r>
            <w:r>
              <w:rPr>
                <w:noProof/>
                <w:webHidden/>
              </w:rPr>
              <w:tab/>
            </w:r>
            <w:r>
              <w:rPr>
                <w:noProof/>
                <w:webHidden/>
              </w:rPr>
              <w:fldChar w:fldCharType="begin"/>
            </w:r>
            <w:r>
              <w:rPr>
                <w:noProof/>
                <w:webHidden/>
              </w:rPr>
              <w:instrText xml:space="preserve"> PAGEREF _Toc495934041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660"/>
              <w:tab w:val="right" w:leader="dot" w:pos="9062"/>
            </w:tabs>
            <w:rPr>
              <w:rFonts w:eastAsiaTheme="minorEastAsia"/>
              <w:noProof/>
              <w:lang w:val="en-GB" w:eastAsia="en-GB" w:bidi="ar-SA"/>
            </w:rPr>
          </w:pPr>
          <w:hyperlink w:anchor="_Toc495934042" w:history="1">
            <w:r>
              <w:rPr>
                <w:rStyle w:val="Hyperlink"/>
                <w:noProof/>
              </w:rPr>
              <w:t>b)</w:t>
            </w:r>
            <w:r>
              <w:rPr>
                <w:rFonts w:eastAsiaTheme="minorEastAsia"/>
                <w:noProof/>
                <w:lang w:val="en-GB" w:eastAsia="en-GB" w:bidi="ar-SA"/>
              </w:rPr>
              <w:tab/>
            </w:r>
            <w:r>
              <w:rPr>
                <w:rStyle w:val="Hyperlink"/>
                <w:noProof/>
              </w:rPr>
              <w:t>Harmonisation des règles et pratiques entre les agences</w:t>
            </w:r>
            <w:r>
              <w:rPr>
                <w:noProof/>
                <w:webHidden/>
              </w:rPr>
              <w:tab/>
            </w:r>
            <w:r>
              <w:rPr>
                <w:noProof/>
                <w:webHidden/>
              </w:rPr>
              <w:fldChar w:fldCharType="begin"/>
            </w:r>
            <w:r>
              <w:rPr>
                <w:noProof/>
                <w:webHidden/>
              </w:rPr>
              <w:instrText xml:space="preserve"> PAGEREF _Toc495934042 \h </w:instrText>
            </w:r>
            <w:r>
              <w:rPr>
                <w:noProof/>
                <w:webHidden/>
              </w:rPr>
            </w:r>
            <w:r>
              <w:rPr>
                <w:noProof/>
                <w:webHidden/>
              </w:rPr>
              <w:fldChar w:fldCharType="separate"/>
            </w:r>
            <w:r>
              <w:rPr>
                <w:noProof/>
                <w:webHidden/>
              </w:rPr>
              <w:t>29</w:t>
            </w:r>
            <w:r>
              <w:rPr>
                <w:noProof/>
                <w:webHidden/>
              </w:rPr>
              <w:fldChar w:fldCharType="end"/>
            </w:r>
          </w:hyperlink>
        </w:p>
        <w:p>
          <w:pPr>
            <w:pStyle w:val="TOC1"/>
            <w:rPr>
              <w:rFonts w:eastAsiaTheme="minorEastAsia"/>
              <w:b w:val="0"/>
              <w:lang w:val="en-GB" w:eastAsia="en-GB" w:bidi="ar-SA"/>
            </w:rPr>
          </w:pPr>
          <w:hyperlink w:anchor="_Toc495934043" w:history="1">
            <w:r>
              <w:rPr>
                <w:rStyle w:val="Hyperlink"/>
              </w:rPr>
              <w:t>TITRE 5.</w:t>
            </w:r>
            <w:r>
              <w:rPr>
                <w:rFonts w:eastAsiaTheme="minorEastAsia"/>
                <w:b w:val="0"/>
                <w:lang w:val="en-GB" w:eastAsia="en-GB" w:bidi="ar-SA"/>
              </w:rPr>
              <w:tab/>
            </w:r>
            <w:r>
              <w:rPr>
                <w:rStyle w:val="Hyperlink"/>
              </w:rPr>
              <w:t>RÉCAPITULATIF ET CONCLUSION</w:t>
            </w:r>
            <w:r>
              <w:rPr>
                <w:webHidden/>
              </w:rPr>
              <w:tab/>
            </w:r>
            <w:r>
              <w:rPr>
                <w:webHidden/>
              </w:rPr>
              <w:fldChar w:fldCharType="begin"/>
            </w:r>
            <w:r>
              <w:rPr>
                <w:webHidden/>
              </w:rPr>
              <w:instrText xml:space="preserve"> PAGEREF _Toc495934043 \h </w:instrText>
            </w:r>
            <w:r>
              <w:rPr>
                <w:webHidden/>
              </w:rPr>
            </w:r>
            <w:r>
              <w:rPr>
                <w:webHidden/>
              </w:rPr>
              <w:fldChar w:fldCharType="separate"/>
            </w:r>
            <w:r>
              <w:rPr>
                <w:webHidden/>
              </w:rPr>
              <w:t>30</w:t>
            </w:r>
            <w:r>
              <w:rPr>
                <w:webHidden/>
              </w:rPr>
              <w:fldChar w:fldCharType="end"/>
            </w:r>
          </w:hyperlink>
        </w:p>
        <w:p>
          <w:pPr>
            <w:pStyle w:val="TOC1"/>
          </w:pPr>
          <w:r>
            <w:rPr>
              <w:bCs/>
            </w:rPr>
            <w:fldChar w:fldCharType="end"/>
          </w:r>
        </w:p>
      </w:sdtContent>
    </w:sdt>
    <w:p>
      <w:pPr>
        <w:rPr>
          <w:rFonts w:ascii="Times New Roman" w:hAnsi="Times New Roman" w:cs="Times New Roman"/>
          <w:b/>
          <w:noProof/>
          <w:sz w:val="24"/>
          <w:szCs w:val="24"/>
        </w:rPr>
      </w:pPr>
      <w:r>
        <w:rPr>
          <w:noProof/>
        </w:rPr>
        <w:br w:type="page"/>
      </w:r>
    </w:p>
    <w:p>
      <w:pPr>
        <w:pStyle w:val="Heading1"/>
        <w:rPr>
          <w:noProof/>
        </w:rPr>
      </w:pPr>
      <w:bookmarkStart w:id="2" w:name="_Toc486939890"/>
      <w:bookmarkStart w:id="3" w:name="_Toc495934026"/>
      <w:r>
        <w:rPr>
          <w:noProof/>
        </w:rPr>
        <w:t>TITRE 1.</w:t>
      </w:r>
      <w:r>
        <w:rPr>
          <w:noProof/>
        </w:rPr>
        <w:tab/>
        <w:t>PRÉSENTATION DES RÈGLES D’EXÉCUTION</w:t>
      </w:r>
      <w:bookmarkEnd w:id="2"/>
      <w:bookmarkEnd w:id="3"/>
    </w:p>
    <w:p>
      <w:pPr>
        <w:rPr>
          <w:rFonts w:ascii="Times New Roman" w:hAnsi="Times New Roman" w:cs="Times New Roman"/>
          <w:b/>
          <w:noProof/>
          <w:sz w:val="24"/>
          <w:szCs w:val="24"/>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b/>
          <w:i/>
          <w:noProof/>
          <w:sz w:val="24"/>
        </w:rPr>
        <w:t>APPLICATION COHÉRENTE DU STATUT</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Quel est le système prévu par le statut pour son exécution?</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Comment le statut assure-t-il une application cohérente de ses dispositions?</w:t>
      </w:r>
    </w:p>
    <w:p>
      <w:pPr>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Le rapport présente les règles qui ont été adoptées par les autorités investies du pouvoir de nomination pour exécuter le statut des fonctionnaires et par les autorités habilitées à conclure des contrats d’engagement pour exécuter le régime applicable aux autres agents.</w:t>
      </w:r>
    </w:p>
    <w:p>
      <w:pPr>
        <w:jc w:val="both"/>
        <w:rPr>
          <w:rFonts w:ascii="Times New Roman" w:hAnsi="Times New Roman" w:cs="Times New Roman"/>
          <w:noProof/>
          <w:sz w:val="24"/>
          <w:szCs w:val="24"/>
        </w:rPr>
      </w:pPr>
      <w:r>
        <w:rPr>
          <w:rFonts w:ascii="Times New Roman" w:hAnsi="Times New Roman"/>
          <w:noProof/>
          <w:sz w:val="24"/>
        </w:rPr>
        <w:t xml:space="preserve">Ces règles partagent toutes la même caractéristique, à savoir qu’elles ne concernent pas le grand public. Par conséquent, elles ne sont pas publiées au </w:t>
      </w:r>
      <w:r>
        <w:rPr>
          <w:rFonts w:ascii="Times New Roman" w:hAnsi="Times New Roman"/>
          <w:i/>
          <w:noProof/>
          <w:sz w:val="24"/>
        </w:rPr>
        <w:t>Journal officiel de l’Union européenne</w:t>
      </w:r>
      <w:r>
        <w:rPr>
          <w:rFonts w:ascii="Times New Roman" w:hAnsi="Times New Roman"/>
          <w:noProof/>
          <w:sz w:val="24"/>
        </w:rPr>
        <w:t>. Toutefois, pour être applicables aux membres du personnel concernés, ces règles doivent être portées à la connaissance du personnel conformément à l’article 110, paragraphe 4, du statut.</w:t>
      </w:r>
    </w:p>
    <w:p>
      <w:pPr>
        <w:jc w:val="both"/>
        <w:rPr>
          <w:rFonts w:ascii="Times New Roman" w:hAnsi="Times New Roman" w:cs="Times New Roman"/>
          <w:noProof/>
          <w:sz w:val="24"/>
          <w:szCs w:val="24"/>
        </w:rPr>
      </w:pPr>
      <w:r>
        <w:rPr>
          <w:rFonts w:ascii="Times New Roman" w:hAnsi="Times New Roman"/>
          <w:noProof/>
          <w:sz w:val="24"/>
        </w:rPr>
        <w:t>Le rapport porte sur les règles suivantes</w:t>
      </w:r>
      <w:r>
        <w:rPr>
          <w:rStyle w:val="FootnoteReference"/>
          <w:rFonts w:ascii="Times New Roman" w:hAnsi="Times New Roman"/>
          <w:noProof/>
          <w:sz w:val="24"/>
        </w:rPr>
        <w:footnoteReference w:id="3"/>
      </w:r>
      <w:r>
        <w:rPr>
          <w:noProof/>
        </w:rPr>
        <w:t>:</w:t>
      </w:r>
    </w:p>
    <w:p>
      <w:pPr>
        <w:pStyle w:val="Heading2"/>
        <w:rPr>
          <w:noProof/>
        </w:rPr>
      </w:pPr>
      <w:bookmarkStart w:id="4" w:name="_Toc486939891"/>
      <w:bookmarkStart w:id="5" w:name="_Toc495934027"/>
      <w:r>
        <w:rPr>
          <w:noProof/>
        </w:rPr>
        <w:t>a)</w:t>
      </w:r>
      <w:r>
        <w:rPr>
          <w:noProof/>
        </w:rPr>
        <w:tab/>
        <w:t>Règles arrêtées d’un commun accord entre les institutions de l’Union</w:t>
      </w:r>
      <w:bookmarkEnd w:id="4"/>
      <w:bookmarkEnd w:id="5"/>
    </w:p>
    <w:p>
      <w:pPr>
        <w:rPr>
          <w:noProof/>
        </w:rPr>
      </w:pPr>
    </w:p>
    <w:p>
      <w:pPr>
        <w:jc w:val="both"/>
        <w:rPr>
          <w:rFonts w:ascii="Times New Roman" w:hAnsi="Times New Roman" w:cs="Times New Roman"/>
          <w:noProof/>
          <w:sz w:val="24"/>
          <w:szCs w:val="24"/>
        </w:rPr>
      </w:pPr>
      <w:r>
        <w:rPr>
          <w:rFonts w:ascii="Times New Roman" w:hAnsi="Times New Roman"/>
          <w:noProof/>
          <w:sz w:val="24"/>
        </w:rPr>
        <w:t>Le statut des fonctionnaires et le régime applicable aux autres agents prévoient, pour l’application de certaines dispositions, l’adoption de règles arrêtées d’un commun accord entre les institutions de l’Union.</w:t>
      </w:r>
    </w:p>
    <w:p>
      <w:pPr>
        <w:jc w:val="both"/>
        <w:rPr>
          <w:rFonts w:ascii="Times New Roman" w:hAnsi="Times New Roman" w:cs="Times New Roman"/>
          <w:noProof/>
          <w:sz w:val="24"/>
          <w:szCs w:val="24"/>
        </w:rPr>
      </w:pPr>
      <w:r>
        <w:rPr>
          <w:rFonts w:ascii="Times New Roman" w:hAnsi="Times New Roman"/>
          <w:noProof/>
          <w:sz w:val="24"/>
        </w:rPr>
        <w:t>Cela concerne les sujets suivants:</w:t>
      </w:r>
    </w:p>
    <w:p>
      <w:pPr>
        <w:pBdr>
          <w:top w:val="dashed" w:sz="4" w:space="1" w:color="auto"/>
          <w:left w:val="dashed" w:sz="4" w:space="4" w:color="auto"/>
          <w:bottom w:val="dashed" w:sz="4" w:space="1" w:color="auto"/>
          <w:right w:val="dashed" w:sz="4" w:space="4" w:color="auto"/>
        </w:pBdr>
        <w:jc w:val="center"/>
        <w:rPr>
          <w:rFonts w:ascii="Times New Roman" w:hAnsi="Times New Roman" w:cs="Times New Roman"/>
          <w:b/>
          <w:i/>
          <w:noProof/>
          <w:sz w:val="24"/>
          <w:szCs w:val="24"/>
        </w:rPr>
      </w:pPr>
      <w:r>
        <w:rPr>
          <w:rFonts w:ascii="Times New Roman" w:hAnsi="Times New Roman"/>
          <w:b/>
          <w:i/>
          <w:noProof/>
          <w:sz w:val="24"/>
        </w:rPr>
        <w:t>Statut des fonctionnaires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10</w:t>
      </w:r>
      <w:r>
        <w:rPr>
          <w:noProof/>
        </w:rPr>
        <w:tab/>
      </w:r>
      <w:r>
        <w:rPr>
          <w:rFonts w:ascii="Times New Roman" w:hAnsi="Times New Roman"/>
          <w:noProof/>
          <w:sz w:val="20"/>
        </w:rPr>
        <w:t>Modalités de composition du comité du statut</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27 + annexe II, article 2</w:t>
      </w:r>
      <w:r>
        <w:rPr>
          <w:noProof/>
        </w:rPr>
        <w:tab/>
      </w:r>
      <w:r>
        <w:rPr>
          <w:rFonts w:ascii="Times New Roman" w:hAnsi="Times New Roman"/>
          <w:noProof/>
          <w:sz w:val="20"/>
        </w:rPr>
        <w:t>Modalités de constitution de la commission paritaire commune (COPARCO)</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37</w:t>
      </w:r>
      <w:r>
        <w:rPr>
          <w:noProof/>
        </w:rPr>
        <w:tab/>
      </w:r>
      <w:r>
        <w:rPr>
          <w:rFonts w:ascii="Times New Roman" w:hAnsi="Times New Roman"/>
          <w:noProof/>
          <w:sz w:val="20"/>
        </w:rPr>
        <w:t>Établissement d’une liste d’organismes consacrés à la poursuite des intérêts de l’Union</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45</w:t>
      </w:r>
      <w:r>
        <w:rPr>
          <w:noProof/>
        </w:rPr>
        <w:tab/>
      </w:r>
      <w:r>
        <w:rPr>
          <w:rFonts w:ascii="Times New Roman" w:hAnsi="Times New Roman"/>
          <w:noProof/>
          <w:sz w:val="20"/>
        </w:rPr>
        <w:t>Capacité à travailler dans une troisième langue avant la première promotion</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57</w:t>
      </w:r>
      <w:r>
        <w:rPr>
          <w:noProof/>
        </w:rPr>
        <w:tab/>
      </w:r>
      <w:r>
        <w:rPr>
          <w:rFonts w:ascii="Times New Roman" w:hAnsi="Times New Roman"/>
          <w:noProof/>
          <w:sz w:val="20"/>
        </w:rPr>
        <w:t>Congé annuel</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61</w:t>
      </w:r>
      <w:r>
        <w:rPr>
          <w:noProof/>
        </w:rPr>
        <w:tab/>
      </w:r>
      <w:r>
        <w:rPr>
          <w:rFonts w:ascii="Times New Roman" w:hAnsi="Times New Roman"/>
          <w:noProof/>
          <w:sz w:val="20"/>
        </w:rPr>
        <w:t>Liste des jours fériés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72</w:t>
      </w:r>
      <w:r>
        <w:rPr>
          <w:noProof/>
        </w:rPr>
        <w:tab/>
      </w:r>
      <w:r>
        <w:rPr>
          <w:rFonts w:ascii="Times New Roman" w:hAnsi="Times New Roman"/>
          <w:noProof/>
          <w:sz w:val="20"/>
        </w:rPr>
        <w:t>Assurance maladie</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73</w:t>
      </w:r>
      <w:r>
        <w:rPr>
          <w:noProof/>
        </w:rPr>
        <w:tab/>
      </w:r>
      <w:r>
        <w:rPr>
          <w:rFonts w:ascii="Times New Roman" w:hAnsi="Times New Roman"/>
          <w:noProof/>
          <w:sz w:val="20"/>
        </w:rPr>
        <w:t>Assurance contre les risques de maladie professionnelle et les risques  d’accident</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 xml:space="preserve">Article 76 </w:t>
      </w:r>
      <w:r>
        <w:rPr>
          <w:rFonts w:ascii="Times New Roman" w:hAnsi="Times New Roman"/>
          <w:i/>
          <w:noProof/>
          <w:sz w:val="20"/>
        </w:rPr>
        <w:t>bis</w:t>
      </w:r>
      <w:r>
        <w:rPr>
          <w:noProof/>
        </w:rPr>
        <w:tab/>
      </w:r>
      <w:r>
        <w:rPr>
          <w:rFonts w:ascii="Times New Roman" w:hAnsi="Times New Roman"/>
          <w:noProof/>
          <w:sz w:val="20"/>
        </w:rPr>
        <w:t>Aide complétant la pension du conjoint survivant affecté d’une maladie grave ou prolongée ou souffrant d’un handicap</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Annexe VII, article 17</w:t>
      </w:r>
      <w:r>
        <w:rPr>
          <w:noProof/>
        </w:rPr>
        <w:tab/>
      </w:r>
      <w:r>
        <w:rPr>
          <w:rFonts w:ascii="Times New Roman" w:hAnsi="Times New Roman"/>
          <w:noProof/>
          <w:sz w:val="20"/>
        </w:rPr>
        <w:t>Transfert régulier spécial d’une partie de la rémunération</w:t>
      </w:r>
    </w:p>
    <w:p>
      <w:pPr>
        <w:pBdr>
          <w:top w:val="dashed" w:sz="4" w:space="1" w:color="auto"/>
          <w:left w:val="dashed" w:sz="4" w:space="4" w:color="auto"/>
          <w:bottom w:val="dashed" w:sz="4" w:space="1" w:color="auto"/>
          <w:right w:val="dashed" w:sz="4" w:space="4" w:color="auto"/>
        </w:pBdr>
        <w:ind w:left="3120" w:hanging="3120"/>
        <w:jc w:val="center"/>
        <w:rPr>
          <w:rFonts w:ascii="Times New Roman" w:hAnsi="Times New Roman" w:cs="Times New Roman"/>
          <w:b/>
          <w:i/>
          <w:noProof/>
          <w:sz w:val="24"/>
          <w:szCs w:val="24"/>
        </w:rPr>
      </w:pPr>
      <w:r>
        <w:rPr>
          <w:rFonts w:ascii="Times New Roman" w:hAnsi="Times New Roman"/>
          <w:b/>
          <w:i/>
          <w:noProof/>
          <w:sz w:val="24"/>
        </w:rPr>
        <w:t>Régime applicable aux autres agents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 xml:space="preserve">Article 28 </w:t>
      </w:r>
      <w:r>
        <w:rPr>
          <w:rFonts w:ascii="Times New Roman" w:hAnsi="Times New Roman"/>
          <w:i/>
          <w:noProof/>
          <w:sz w:val="20"/>
        </w:rPr>
        <w:t>bis</w:t>
      </w:r>
      <w:r>
        <w:rPr>
          <w:noProof/>
        </w:rPr>
        <w:tab/>
      </w:r>
      <w:r>
        <w:rPr>
          <w:rFonts w:ascii="Times New Roman" w:hAnsi="Times New Roman"/>
          <w:noProof/>
          <w:sz w:val="20"/>
        </w:rPr>
        <w:t>Application de la disposition relative à l’octroi d’une allocation de chômage aux agents temporaires</w:t>
      </w:r>
    </w:p>
    <w:p>
      <w:pPr>
        <w:jc w:val="both"/>
        <w:rPr>
          <w:rFonts w:ascii="Times New Roman" w:hAnsi="Times New Roman" w:cs="Times New Roman"/>
          <w:noProof/>
          <w:sz w:val="24"/>
          <w:szCs w:val="24"/>
        </w:rPr>
      </w:pPr>
      <w:r>
        <w:rPr>
          <w:rFonts w:ascii="Times New Roman" w:hAnsi="Times New Roman"/>
          <w:noProof/>
          <w:sz w:val="24"/>
        </w:rPr>
        <w:t>Le statut ne définit pas la procédure d’adoption d’une règle arrêtée d’un commun accord entre les institutions de l'Union. La pratique interinstitutionnelle a, au fil du temps, développé la procédure suivante:</w:t>
      </w:r>
    </w:p>
    <w:p>
      <w:pPr>
        <w:jc w:val="center"/>
        <w:rPr>
          <w:rFonts w:ascii="Times New Roman" w:hAnsi="Times New Roman" w:cs="Times New Roman"/>
          <w:noProof/>
          <w:sz w:val="24"/>
          <w:szCs w:val="24"/>
          <w:u w:val="single"/>
        </w:rPr>
      </w:pPr>
      <w:r>
        <w:rPr>
          <w:rFonts w:ascii="Times New Roman" w:hAnsi="Times New Roman"/>
          <w:noProof/>
          <w:sz w:val="24"/>
          <w:u w:val="single"/>
        </w:rPr>
        <w:t>PROCÉDURE D’ADOPTION DES RÈGLES ARRÊTÉES D’UN COMMUN ACCORD ENTRE LES INSTITUTIONS</w:t>
      </w:r>
      <w:r>
        <w:rPr>
          <w:rStyle w:val="FootnoteReference"/>
          <w:rFonts w:ascii="Times New Roman" w:hAnsi="Times New Roman"/>
          <w:noProof/>
          <w:sz w:val="24"/>
        </w:rPr>
        <w:footnoteReference w:id="4"/>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4462943" cy="390088"/>
                <wp:effectExtent l="0" t="0" r="1397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943" cy="390088"/>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Préparation d’une proposition de règle par voie de coordination interinstitutionnelle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51.4pt;height:30.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">
                <v:textbox>
                  <w:txbxContent>
                    <w:p>
                      <w:pPr>
                        <w:jc w:val="center"/>
                        <w:rPr>
                          <w:rFonts w:ascii="Times New Roman" w:hAnsi="Times New Roman" w:cs="Times New Roman"/>
                          <w:sz w:val="20"/>
                          <w:szCs w:val="20"/>
                        </w:rPr>
                      </w:pPr>
                      <w:r>
                        <w:rPr>
                          <w:rFonts w:ascii="Times New Roman" w:hAnsi="Times New Roman"/>
                          <w:sz w:val="20"/>
                        </w:rPr>
                        <w:t>Préparation d’une proposition de règle par voie de coordination interinstitutionnelle</w:t>
                      </w: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72576" behindDoc="0" locked="0" layoutInCell="1" allowOverlap="1">
                <wp:simplePos x="0" y="0"/>
                <wp:positionH relativeFrom="column">
                  <wp:posOffset>2782972</wp:posOffset>
                </wp:positionH>
                <wp:positionV relativeFrom="paragraph">
                  <wp:posOffset>61857</wp:posOffset>
                </wp:positionV>
                <wp:extent cx="0" cy="239284"/>
                <wp:effectExtent l="95250" t="0" r="57150" b="66040"/>
                <wp:wrapNone/>
                <wp:docPr id="14" name="Straight Arrow Connector 14"/>
                <wp:cNvGraphicFramePr/>
                <a:graphic xmlns:a="http://schemas.openxmlformats.org/drawingml/2006/main">
                  <a:graphicData uri="http://schemas.microsoft.com/office/word/2010/wordprocessingShape">
                    <wps:wsp>
                      <wps:cNvCnPr/>
                      <wps:spPr>
                        <a:xfrm>
                          <a:off x="0" y="0"/>
                          <a:ext cx="0" cy="2392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xmlns:o="urn:schemas-microsoft-com:office:office" xmlns:v="urn:schemas-microsoft-com:vml" id="_x0000_t32" coordsize="21600,21600" o:spt="32" o:oned="t" path="m,l21600,21600e" filled="f">
                <v:path arrowok="t" fillok="f" o:connecttype="none"/>
                <o:lock v:ext="edit" shapetype="t"/>
              </v:shapetype>
              <v:shape xmlns:o="urn:schemas-microsoft-com:office:office" xmlns:v="urn:schemas-microsoft-com:vml" id="Straight Arrow Connector 14" o:spid="_x0000_s1026" type="#_x0000_t32" style="position:absolute;margin-left:219.15pt;margin-top:4.85pt;width:0;height:18.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" strokecolor="#4579b8 [3044]">
                <v:stroke endarrow="open"/>
              </v:shape>
            </w:pict>
          </mc:Fallback>
        </mc:AlternateContent>
      </w: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643255</wp:posOffset>
                </wp:positionH>
                <wp:positionV relativeFrom="paragraph">
                  <wp:posOffset>301444</wp:posOffset>
                </wp:positionV>
                <wp:extent cx="4462780" cy="389890"/>
                <wp:effectExtent l="0" t="0" r="1397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 xml:space="preserve">Adoption de la proposition par le collège des chefs d’administration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0.65pt;margin-top:23.75pt;width:351.4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">
                <v:textbox>
                  <w:txbxContent>
                    <w:p>
                      <w:pPr>
                        <w:jc w:val="center"/>
                        <w:rPr>
                          <w:rFonts w:ascii="Times New Roman" w:hAnsi="Times New Roman" w:cs="Times New Roman"/>
                          <w:sz w:val="20"/>
                          <w:szCs w:val="20"/>
                        </w:rPr>
                      </w:pPr>
                      <w:r>
                        <w:rPr>
                          <w:rFonts w:ascii="Times New Roman" w:hAnsi="Times New Roman"/>
                          <w:sz w:val="20"/>
                        </w:rPr>
                        <w:t xml:space="preserve">Adoption de la proposition par le collège des chefs d’administration </w:t>
                      </w:r>
                    </w:p>
                  </w:txbxContent>
                </v:textbox>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74624" behindDoc="0" locked="0" layoutInCell="1" allowOverlap="1">
                <wp:simplePos x="0" y="0"/>
                <wp:positionH relativeFrom="column">
                  <wp:posOffset>2787399</wp:posOffset>
                </wp:positionH>
                <wp:positionV relativeFrom="paragraph">
                  <wp:posOffset>34925</wp:posOffset>
                </wp:positionV>
                <wp:extent cx="0" cy="238760"/>
                <wp:effectExtent l="95250" t="0" r="57150" b="66040"/>
                <wp:wrapNone/>
                <wp:docPr id="15" name="Straight Arrow Connector 15"/>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15" o:spid="_x0000_s1026" type="#_x0000_t32" style="position:absolute;margin-left:219.5pt;margin-top:2.75pt;width:0;height:18.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" strokecolor="#4579b8 [3044]">
                <v:stroke endarrow="open"/>
              </v:shape>
            </w:pict>
          </mc:Fallback>
        </mc:AlternateContent>
      </w: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644525</wp:posOffset>
                </wp:positionH>
                <wp:positionV relativeFrom="paragraph">
                  <wp:posOffset>276609</wp:posOffset>
                </wp:positionV>
                <wp:extent cx="4462780" cy="389890"/>
                <wp:effectExtent l="0" t="0" r="1397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Élaboration d’un projet de règle par les services de la Commission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0.75pt;margin-top:21.8pt;width:351.4pt;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">
                <v:textbox>
                  <w:txbxContent>
                    <w:p>
                      <w:pPr>
                        <w:jc w:val="center"/>
                        <w:rPr>
                          <w:rFonts w:ascii="Times New Roman" w:hAnsi="Times New Roman" w:cs="Times New Roman"/>
                          <w:sz w:val="20"/>
                          <w:szCs w:val="20"/>
                        </w:rPr>
                      </w:pPr>
                      <w:r>
                        <w:rPr>
                          <w:rFonts w:ascii="Times New Roman" w:hAnsi="Times New Roman"/>
                          <w:sz w:val="20"/>
                        </w:rPr>
                        <w:t>Élaboration d’un projet de règle par les services de la Commission</w:t>
                      </w:r>
                    </w:p>
                  </w:txbxContent>
                </v:textbox>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65408" behindDoc="0" locked="0" layoutInCell="1" allowOverlap="1">
                <wp:simplePos x="0" y="0"/>
                <wp:positionH relativeFrom="column">
                  <wp:posOffset>639445</wp:posOffset>
                </wp:positionH>
                <wp:positionV relativeFrom="paragraph">
                  <wp:posOffset>254384</wp:posOffset>
                </wp:positionV>
                <wp:extent cx="4462780" cy="389890"/>
                <wp:effectExtent l="0" t="0" r="13970"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Examen par le comité du statut pour avis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0.35pt;margin-top:20.05pt;width:351.4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">
                <v:textbox>
                  <w:txbxContent>
                    <w:p>
                      <w:pPr>
                        <w:jc w:val="center"/>
                        <w:rPr>
                          <w:rFonts w:ascii="Times New Roman" w:hAnsi="Times New Roman" w:cs="Times New Roman"/>
                          <w:sz w:val="20"/>
                          <w:szCs w:val="20"/>
                        </w:rPr>
                      </w:pPr>
                      <w:r>
                        <w:rPr>
                          <w:rFonts w:ascii="Times New Roman" w:hAnsi="Times New Roman"/>
                          <w:sz w:val="20"/>
                        </w:rPr>
                        <w:t>Examen par le comité du statut pour avis</w:t>
                      </w:r>
                    </w:p>
                  </w:txbxContent>
                </v:textbox>
              </v:shape>
            </w:pict>
          </mc:Fallback>
        </mc:AlternateContent>
      </w: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76672" behindDoc="0" locked="0" layoutInCell="1" allowOverlap="1">
                <wp:simplePos x="0" y="0"/>
                <wp:positionH relativeFrom="column">
                  <wp:posOffset>2783840</wp:posOffset>
                </wp:positionH>
                <wp:positionV relativeFrom="paragraph">
                  <wp:posOffset>12065</wp:posOffset>
                </wp:positionV>
                <wp:extent cx="0" cy="238760"/>
                <wp:effectExtent l="95250" t="0" r="57150" b="66040"/>
                <wp:wrapNone/>
                <wp:docPr id="16" name="Straight Arrow Connector 16"/>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16" o:spid="_x0000_s1026" type="#_x0000_t32" style="position:absolute;margin-left:219.2pt;margin-top:.95pt;width:0;height:18.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78720" behindDoc="0" locked="0" layoutInCell="1" allowOverlap="1">
                <wp:simplePos x="0" y="0"/>
                <wp:positionH relativeFrom="column">
                  <wp:posOffset>2783840</wp:posOffset>
                </wp:positionH>
                <wp:positionV relativeFrom="paragraph">
                  <wp:posOffset>316230</wp:posOffset>
                </wp:positionV>
                <wp:extent cx="0" cy="238760"/>
                <wp:effectExtent l="95250" t="0" r="57150" b="66040"/>
                <wp:wrapNone/>
                <wp:docPr id="17" name="Straight Arrow Connector 17"/>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17" o:spid="_x0000_s1026" type="#_x0000_t32" style="position:absolute;margin-left:219.2pt;margin-top:24.9pt;width:0;height:18.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67456" behindDoc="0" locked="0" layoutInCell="1" allowOverlap="1">
                <wp:simplePos x="0" y="0"/>
                <wp:positionH relativeFrom="column">
                  <wp:posOffset>640080</wp:posOffset>
                </wp:positionH>
                <wp:positionV relativeFrom="paragraph">
                  <wp:posOffset>230756</wp:posOffset>
                </wp:positionV>
                <wp:extent cx="4462780" cy="389890"/>
                <wp:effectExtent l="0" t="0" r="13970"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Finalisation du texte par la Commission et transmission de celui-ci à toutes les 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0.4pt;margin-top:18.15pt;width:351.4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">
                <v:textbox>
                  <w:txbxContent>
                    <w:p>
                      <w:pPr>
                        <w:jc w:val="center"/>
                        <w:rPr>
                          <w:rFonts w:ascii="Times New Roman" w:hAnsi="Times New Roman" w:cs="Times New Roman"/>
                          <w:sz w:val="20"/>
                          <w:szCs w:val="20"/>
                        </w:rPr>
                      </w:pPr>
                      <w:r>
                        <w:rPr>
                          <w:rFonts w:ascii="Times New Roman" w:hAnsi="Times New Roman"/>
                          <w:sz w:val="20"/>
                        </w:rPr>
                        <w:t>Finalisation du texte par la Commission et transmission de celui-ci à toutes les institutions</w:t>
                      </w: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80768" behindDoc="0" locked="0" layoutInCell="1" allowOverlap="1">
                <wp:simplePos x="0" y="0"/>
                <wp:positionH relativeFrom="column">
                  <wp:posOffset>2792095</wp:posOffset>
                </wp:positionH>
                <wp:positionV relativeFrom="paragraph">
                  <wp:posOffset>296796</wp:posOffset>
                </wp:positionV>
                <wp:extent cx="0" cy="238760"/>
                <wp:effectExtent l="95250" t="0" r="57150" b="66040"/>
                <wp:wrapNone/>
                <wp:docPr id="18" name="Straight Arrow Connector 18"/>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18" o:spid="_x0000_s1026" type="#_x0000_t32" style="position:absolute;margin-left:219.85pt;margin-top:23.35pt;width:0;height:18.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69504" behindDoc="0" locked="0" layoutInCell="1" allowOverlap="1">
                <wp:simplePos x="0" y="0"/>
                <wp:positionH relativeFrom="column">
                  <wp:posOffset>638810</wp:posOffset>
                </wp:positionH>
                <wp:positionV relativeFrom="paragraph">
                  <wp:posOffset>213995</wp:posOffset>
                </wp:positionV>
                <wp:extent cx="4462780" cy="452755"/>
                <wp:effectExtent l="0" t="0" r="13970"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52755"/>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Adoption du texte par l’autorité investie du pouvoir de nomination de chaque institution et transmission de celui-ci au président de la Cour de justice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0.3pt;margin-top:16.85pt;width:351.4pt;height:3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">
                <v:textbox>
                  <w:txbxContent>
                    <w:p>
                      <w:pPr>
                        <w:jc w:val="center"/>
                        <w:rPr>
                          <w:rFonts w:ascii="Times New Roman" w:hAnsi="Times New Roman" w:cs="Times New Roman"/>
                          <w:sz w:val="20"/>
                          <w:szCs w:val="20"/>
                        </w:rPr>
                      </w:pPr>
                      <w:r>
                        <w:rPr>
                          <w:rFonts w:ascii="Times New Roman" w:hAnsi="Times New Roman"/>
                          <w:sz w:val="20"/>
                        </w:rPr>
                        <w:t>Adoption du texte par l’autorité investie du pouvoir de nomination de chaque institution et transmission de celui-ci au président de la Cour de justice</w:t>
                      </w:r>
                    </w:p>
                  </w:txbxContent>
                </v:textbox>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71552" behindDoc="0" locked="0" layoutInCell="1" allowOverlap="1">
                <wp:simplePos x="0" y="0"/>
                <wp:positionH relativeFrom="column">
                  <wp:posOffset>640715</wp:posOffset>
                </wp:positionH>
                <wp:positionV relativeFrom="paragraph">
                  <wp:posOffset>250190</wp:posOffset>
                </wp:positionV>
                <wp:extent cx="4462780" cy="452755"/>
                <wp:effectExtent l="0" t="0" r="13970"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52755"/>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Établissement de l’accord entre les institutions par le président de la Cour de justice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0.45pt;margin-top:19.7pt;width:351.4pt;height:3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">
                <v:textbox>
                  <w:txbxContent>
                    <w:p>
                      <w:pPr>
                        <w:jc w:val="center"/>
                        <w:rPr>
                          <w:rFonts w:ascii="Times New Roman" w:hAnsi="Times New Roman" w:cs="Times New Roman"/>
                          <w:sz w:val="20"/>
                          <w:szCs w:val="20"/>
                        </w:rPr>
                      </w:pPr>
                      <w:r>
                        <w:rPr>
                          <w:rFonts w:ascii="Times New Roman" w:hAnsi="Times New Roman"/>
                          <w:sz w:val="20"/>
                        </w:rPr>
                        <w:t>Établissement de l’accord entre les institutions par le président de la Cour de justice</w:t>
                      </w:r>
                    </w:p>
                  </w:txbxContent>
                </v:textbox>
              </v:shape>
            </w:pict>
          </mc:Fallback>
        </mc:AlternateContent>
      </w: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82816" behindDoc="0" locked="0" layoutInCell="1" allowOverlap="1">
                <wp:simplePos x="0" y="0"/>
                <wp:positionH relativeFrom="column">
                  <wp:posOffset>2792095</wp:posOffset>
                </wp:positionH>
                <wp:positionV relativeFrom="paragraph">
                  <wp:posOffset>12065</wp:posOffset>
                </wp:positionV>
                <wp:extent cx="0" cy="238760"/>
                <wp:effectExtent l="95250" t="0" r="57150" b="66040"/>
                <wp:wrapNone/>
                <wp:docPr id="19" name="Straight Arrow Connector 19"/>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19" o:spid="_x0000_s1026" type="#_x0000_t32" style="position:absolute;margin-left:219.85pt;margin-top:.95pt;width:0;height:18.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" strokecolor="#4579b8 [3044]">
                <v:stroke endarrow="open"/>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84864" behindDoc="0" locked="0" layoutInCell="1" allowOverlap="1">
                <wp:simplePos x="0" y="0"/>
                <wp:positionH relativeFrom="column">
                  <wp:posOffset>2787650</wp:posOffset>
                </wp:positionH>
                <wp:positionV relativeFrom="paragraph">
                  <wp:posOffset>46990</wp:posOffset>
                </wp:positionV>
                <wp:extent cx="0" cy="238760"/>
                <wp:effectExtent l="95250" t="0" r="57150" b="66040"/>
                <wp:wrapNone/>
                <wp:docPr id="20" name="Straight Arrow Connector 20"/>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20" o:spid="_x0000_s1026" type="#_x0000_t32" style="position:absolute;margin-left:219.5pt;margin-top:3.7pt;width:0;height:18.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" strokecolor="#4579b8 [3044]">
                <v:stroke endarrow="open"/>
              </v:shape>
            </w:pict>
          </mc:Fallback>
        </mc:AlternateContent>
      </w:r>
    </w:p>
    <w:p>
      <w:pPr>
        <w:jc w:val="center"/>
        <w:rPr>
          <w:rFonts w:ascii="Times New Roman" w:hAnsi="Times New Roman" w:cs="Times New Roman"/>
          <w:b/>
          <w:noProof/>
          <w:sz w:val="24"/>
          <w:szCs w:val="24"/>
        </w:rPr>
      </w:pPr>
      <w:r>
        <w:rPr>
          <w:rFonts w:ascii="Times New Roman" w:hAnsi="Times New Roman"/>
          <w:b/>
          <w:noProof/>
          <w:sz w:val="24"/>
        </w:rPr>
        <w:t>RÈGLE ARRÊTÉE D’UN COMMUN ACCORD ENTRE LES INSTITUTIONS</w:t>
      </w:r>
    </w:p>
    <w:p>
      <w:pPr>
        <w:jc w:val="both"/>
        <w:rPr>
          <w:rFonts w:ascii="Times New Roman" w:hAnsi="Times New Roman" w:cs="Times New Roman"/>
          <w:noProof/>
          <w:sz w:val="24"/>
          <w:szCs w:val="24"/>
        </w:rPr>
      </w:pPr>
    </w:p>
    <w:p>
      <w:pPr>
        <w:pStyle w:val="Heading2"/>
        <w:rPr>
          <w:noProof/>
        </w:rPr>
      </w:pPr>
      <w:bookmarkStart w:id="6" w:name="_Toc486939892"/>
      <w:bookmarkStart w:id="7" w:name="_Toc495934028"/>
      <w:r>
        <w:rPr>
          <w:noProof/>
        </w:rPr>
        <w:t>b)</w:t>
      </w:r>
      <w:r>
        <w:rPr>
          <w:noProof/>
        </w:rPr>
        <w:tab/>
        <w:t>Dispositions générales d’exécution</w:t>
      </w:r>
      <w:bookmarkEnd w:id="6"/>
      <w:bookmarkEnd w:id="7"/>
    </w:p>
    <w:p>
      <w:pPr>
        <w:jc w:val="both"/>
        <w:rPr>
          <w:rFonts w:ascii="Times New Roman" w:hAnsi="Times New Roman" w:cs="Times New Roman"/>
          <w:noProof/>
          <w:sz w:val="24"/>
          <w:szCs w:val="24"/>
        </w:rPr>
      </w:pPr>
      <w:r>
        <w:rPr>
          <w:rFonts w:ascii="Times New Roman" w:hAnsi="Times New Roman"/>
          <w:noProof/>
          <w:sz w:val="24"/>
        </w:rPr>
        <w:t>Le statut des fonctionnaires et le régime applicable aux autres agents confient respectivement aux autorités investies du pouvoir de nomination et aux autorités habilitées à conclure des contrats d’engagement des pouvoirs spécifiques pour adopter des dispositions générales d’exécution.</w:t>
      </w:r>
    </w:p>
    <w:p>
      <w:pPr>
        <w:jc w:val="both"/>
        <w:rPr>
          <w:rFonts w:ascii="Times New Roman" w:hAnsi="Times New Roman" w:cs="Times New Roman"/>
          <w:noProof/>
          <w:sz w:val="24"/>
          <w:szCs w:val="24"/>
        </w:rPr>
      </w:pPr>
      <w:r>
        <w:rPr>
          <w:rFonts w:ascii="Times New Roman" w:hAnsi="Times New Roman"/>
          <w:noProof/>
          <w:sz w:val="24"/>
        </w:rPr>
        <w:t>Ces pouvoirs concernent les sujets suivants</w:t>
      </w:r>
      <w:r>
        <w:rPr>
          <w:rStyle w:val="FootnoteReference"/>
          <w:rFonts w:ascii="Times New Roman" w:hAnsi="Times New Roman"/>
          <w:noProof/>
          <w:sz w:val="24"/>
        </w:rPr>
        <w:footnoteReference w:id="5"/>
      </w:r>
      <w:r>
        <w:rPr>
          <w:noProof/>
        </w:rPr>
        <w:t>:</w:t>
      </w:r>
    </w:p>
    <w:p>
      <w:pPr>
        <w:pBdr>
          <w:top w:val="dashed" w:sz="4" w:space="1" w:color="auto"/>
          <w:left w:val="dashed" w:sz="4" w:space="4" w:color="auto"/>
          <w:bottom w:val="dashed" w:sz="4" w:space="1" w:color="auto"/>
          <w:right w:val="dashed" w:sz="4" w:space="4" w:color="auto"/>
        </w:pBdr>
        <w:jc w:val="center"/>
        <w:rPr>
          <w:rFonts w:ascii="Times New Roman" w:hAnsi="Times New Roman" w:cs="Times New Roman"/>
          <w:b/>
          <w:i/>
          <w:noProof/>
          <w:sz w:val="24"/>
          <w:szCs w:val="24"/>
        </w:rPr>
      </w:pPr>
      <w:r>
        <w:rPr>
          <w:rFonts w:ascii="Times New Roman" w:hAnsi="Times New Roman"/>
          <w:b/>
          <w:i/>
          <w:noProof/>
          <w:sz w:val="24"/>
        </w:rPr>
        <w:t>Statut des fonctionnaires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27</w:t>
      </w:r>
      <w:r>
        <w:rPr>
          <w:noProof/>
        </w:rPr>
        <w:tab/>
      </w:r>
      <w:r>
        <w:rPr>
          <w:rFonts w:ascii="Times New Roman" w:hAnsi="Times New Roman"/>
          <w:noProof/>
          <w:sz w:val="20"/>
        </w:rPr>
        <w:t>Mesures appropriées en cas de constat d’un déséquilibre important entre nationalités parmi les fonctionnaires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32</w:t>
      </w:r>
      <w:r>
        <w:rPr>
          <w:noProof/>
        </w:rPr>
        <w:tab/>
      </w:r>
      <w:r>
        <w:rPr>
          <w:rFonts w:ascii="Times New Roman" w:hAnsi="Times New Roman"/>
          <w:noProof/>
          <w:sz w:val="20"/>
        </w:rPr>
        <w:t>Classement en échelon lors du recrutement</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 xml:space="preserve">Article 42 </w:t>
      </w:r>
      <w:r>
        <w:rPr>
          <w:rFonts w:ascii="Times New Roman" w:hAnsi="Times New Roman"/>
          <w:i/>
          <w:noProof/>
          <w:sz w:val="20"/>
        </w:rPr>
        <w:t>bis</w:t>
      </w:r>
      <w:r>
        <w:rPr>
          <w:noProof/>
        </w:rPr>
        <w:tab/>
      </w:r>
      <w:r>
        <w:rPr>
          <w:rFonts w:ascii="Times New Roman" w:hAnsi="Times New Roman"/>
          <w:noProof/>
          <w:sz w:val="20"/>
        </w:rPr>
        <w:t>Congé parental, parents isolés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43</w:t>
      </w:r>
      <w:r>
        <w:rPr>
          <w:noProof/>
        </w:rPr>
        <w:tab/>
      </w:r>
      <w:r>
        <w:rPr>
          <w:rFonts w:ascii="Times New Roman" w:hAnsi="Times New Roman"/>
          <w:noProof/>
          <w:sz w:val="20"/>
        </w:rPr>
        <w:t>Rapport annuel sur la compétence, le rendement et la conduite dans le service</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45 </w:t>
      </w:r>
      <w:r>
        <w:rPr>
          <w:rFonts w:ascii="Times New Roman" w:hAnsi="Times New Roman"/>
          <w:i/>
          <w:noProof/>
          <w:sz w:val="20"/>
        </w:rPr>
        <w:t>bis</w:t>
      </w:r>
      <w:r>
        <w:rPr>
          <w:rFonts w:ascii="Times New Roman" w:hAnsi="Times New Roman"/>
          <w:noProof/>
          <w:sz w:val="20"/>
        </w:rPr>
        <w:t>, paragraphe 5</w:t>
      </w:r>
      <w:r>
        <w:rPr>
          <w:noProof/>
        </w:rPr>
        <w:tab/>
      </w:r>
      <w:r>
        <w:rPr>
          <w:rFonts w:ascii="Times New Roman" w:hAnsi="Times New Roman"/>
          <w:noProof/>
          <w:sz w:val="20"/>
        </w:rPr>
        <w:t>Nomination d’un fonctionnaire du groupe de fonctions AST à un emploi du groupe de fonctions AD</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72, paragraphe 1</w:t>
      </w:r>
      <w:r>
        <w:rPr>
          <w:noProof/>
        </w:rPr>
        <w:tab/>
      </w:r>
      <w:r>
        <w:rPr>
          <w:rFonts w:ascii="Times New Roman" w:hAnsi="Times New Roman"/>
          <w:noProof/>
          <w:sz w:val="20"/>
        </w:rPr>
        <w:t>Remboursement des frais médicaux</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Annexe VII, article 3, paragraphe 1</w:t>
      </w:r>
      <w:r>
        <w:rPr>
          <w:noProof/>
        </w:rPr>
        <w:tab/>
      </w:r>
      <w:r>
        <w:rPr>
          <w:rFonts w:ascii="Times New Roman" w:hAnsi="Times New Roman"/>
          <w:noProof/>
          <w:sz w:val="20"/>
        </w:rPr>
        <w:t>Allocation scolaire</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Annexe VII, article 9, paragraphe 1</w:t>
      </w:r>
      <w:r>
        <w:rPr>
          <w:noProof/>
        </w:rPr>
        <w:tab/>
      </w:r>
      <w:r>
        <w:rPr>
          <w:rFonts w:ascii="Times New Roman" w:hAnsi="Times New Roman"/>
          <w:noProof/>
          <w:sz w:val="20"/>
        </w:rPr>
        <w:t>Frais de déménagement</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 xml:space="preserve">Annexe VII, article 13 </w:t>
      </w:r>
      <w:r>
        <w:rPr>
          <w:rFonts w:ascii="Times New Roman" w:hAnsi="Times New Roman"/>
          <w:i/>
          <w:noProof/>
          <w:sz w:val="20"/>
        </w:rPr>
        <w:t>bis</w:t>
      </w:r>
      <w:r>
        <w:rPr>
          <w:noProof/>
        </w:rPr>
        <w:tab/>
      </w:r>
      <w:r>
        <w:rPr>
          <w:rFonts w:ascii="Times New Roman" w:hAnsi="Times New Roman"/>
          <w:noProof/>
          <w:sz w:val="20"/>
        </w:rPr>
        <w:t>Frais de mission</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Annexe VIII, article 11, paragraphe 2</w:t>
      </w:r>
      <w:r>
        <w:rPr>
          <w:noProof/>
        </w:rPr>
        <w:tab/>
      </w:r>
      <w:r>
        <w:rPr>
          <w:rFonts w:ascii="Times New Roman" w:hAnsi="Times New Roman"/>
          <w:noProof/>
          <w:sz w:val="20"/>
        </w:rPr>
        <w:t>Transfert IN des droits à pension</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Annexe IX, article 2, paragraphe 3</w:t>
      </w:r>
      <w:r>
        <w:rPr>
          <w:noProof/>
        </w:rPr>
        <w:tab/>
      </w:r>
      <w:r>
        <w:rPr>
          <w:rFonts w:ascii="Times New Roman" w:hAnsi="Times New Roman"/>
          <w:noProof/>
          <w:sz w:val="20"/>
        </w:rPr>
        <w:t>Enquêtes administratives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Annexe X, article 1</w:t>
      </w:r>
      <w:r>
        <w:rPr>
          <w:rFonts w:ascii="Times New Roman" w:hAnsi="Times New Roman"/>
          <w:noProof/>
          <w:sz w:val="20"/>
          <w:vertAlign w:val="superscript"/>
        </w:rPr>
        <w:t>er</w:t>
      </w:r>
      <w:r>
        <w:rPr>
          <w:noProof/>
        </w:rPr>
        <w:tab/>
      </w:r>
      <w:r>
        <w:rPr>
          <w:rFonts w:ascii="Times New Roman" w:hAnsi="Times New Roman"/>
          <w:noProof/>
          <w:sz w:val="20"/>
        </w:rPr>
        <w:t>Fonctionnaires affectés dans un pays tiers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Annexe X, article 3</w:t>
      </w:r>
      <w:r>
        <w:rPr>
          <w:noProof/>
        </w:rPr>
        <w:tab/>
      </w:r>
      <w:r>
        <w:rPr>
          <w:rFonts w:ascii="Times New Roman" w:hAnsi="Times New Roman"/>
          <w:noProof/>
          <w:sz w:val="20"/>
        </w:rPr>
        <w:t>Application exceptionnelle de l’annexe X aux fonctionnaires temporairement réaffectés au siège</w:t>
      </w:r>
    </w:p>
    <w:p>
      <w:pPr>
        <w:pBdr>
          <w:top w:val="dashed" w:sz="4" w:space="1" w:color="auto"/>
          <w:left w:val="dashed" w:sz="4" w:space="4" w:color="auto"/>
          <w:bottom w:val="dashed" w:sz="4" w:space="1" w:color="auto"/>
          <w:right w:val="dashed" w:sz="4" w:space="4" w:color="auto"/>
        </w:pBdr>
        <w:ind w:left="3120" w:hanging="3120"/>
        <w:jc w:val="center"/>
        <w:rPr>
          <w:rFonts w:ascii="Times New Roman" w:hAnsi="Times New Roman" w:cs="Times New Roman"/>
          <w:b/>
          <w:i/>
          <w:noProof/>
          <w:sz w:val="24"/>
          <w:szCs w:val="24"/>
        </w:rPr>
      </w:pPr>
      <w:r>
        <w:rPr>
          <w:rFonts w:ascii="Times New Roman" w:hAnsi="Times New Roman"/>
          <w:b/>
          <w:i/>
          <w:noProof/>
          <w:sz w:val="24"/>
        </w:rPr>
        <w:t>Régime applicable aux autres agents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12, paragraphe 1</w:t>
      </w:r>
      <w:r>
        <w:rPr>
          <w:noProof/>
        </w:rPr>
        <w:tab/>
      </w:r>
      <w:r>
        <w:rPr>
          <w:rFonts w:ascii="Times New Roman" w:hAnsi="Times New Roman"/>
          <w:noProof/>
          <w:sz w:val="20"/>
        </w:rPr>
        <w:t>Mesures appropriées en cas de constat d’un déséquilibre important entre nationalités parmi les agents temporaires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12, paragraphe 5</w:t>
      </w:r>
      <w:r>
        <w:rPr>
          <w:noProof/>
        </w:rPr>
        <w:tab/>
      </w:r>
      <w:r>
        <w:rPr>
          <w:rFonts w:ascii="Times New Roman" w:hAnsi="Times New Roman"/>
          <w:noProof/>
          <w:sz w:val="20"/>
        </w:rPr>
        <w:t>Procédures de recrutement du personnel temporaire</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54</w:t>
      </w:r>
      <w:r>
        <w:rPr>
          <w:noProof/>
        </w:rPr>
        <w:tab/>
      </w:r>
      <w:r>
        <w:rPr>
          <w:rFonts w:ascii="Times New Roman" w:hAnsi="Times New Roman"/>
          <w:noProof/>
          <w:sz w:val="20"/>
        </w:rPr>
        <w:t>Reclassement des agents temporaires visés à l’article 2, point f)</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56</w:t>
      </w:r>
      <w:r>
        <w:rPr>
          <w:noProof/>
        </w:rPr>
        <w:tab/>
      </w:r>
      <w:r>
        <w:rPr>
          <w:rFonts w:ascii="Times New Roman" w:hAnsi="Times New Roman"/>
          <w:noProof/>
          <w:sz w:val="20"/>
        </w:rPr>
        <w:t>Engagement et emploi des agents temporaires visés à l’article 2, point f)</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79</w:t>
      </w:r>
      <w:r>
        <w:rPr>
          <w:noProof/>
        </w:rPr>
        <w:tab/>
      </w:r>
      <w:r>
        <w:rPr>
          <w:rFonts w:ascii="Times New Roman" w:hAnsi="Times New Roman"/>
          <w:noProof/>
          <w:sz w:val="20"/>
        </w:rPr>
        <w:t>Recours aux agents contractuels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82, paragraphe 6</w:t>
      </w:r>
      <w:r>
        <w:rPr>
          <w:noProof/>
        </w:rPr>
        <w:tab/>
      </w:r>
      <w:r>
        <w:rPr>
          <w:rFonts w:ascii="Times New Roman" w:hAnsi="Times New Roman"/>
          <w:noProof/>
          <w:sz w:val="20"/>
        </w:rPr>
        <w:t>Recrutement des agents contractuels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86</w:t>
      </w:r>
      <w:r>
        <w:rPr>
          <w:noProof/>
        </w:rPr>
        <w:tab/>
      </w:r>
      <w:r>
        <w:rPr>
          <w:rFonts w:ascii="Times New Roman" w:hAnsi="Times New Roman"/>
          <w:noProof/>
          <w:sz w:val="20"/>
        </w:rPr>
        <w:t>Classement en grade des agents contractuels</w:t>
      </w:r>
    </w:p>
    <w:p>
      <w:pPr>
        <w:jc w:val="both"/>
        <w:rPr>
          <w:rFonts w:ascii="Times New Roman" w:hAnsi="Times New Roman" w:cs="Times New Roman"/>
          <w:noProof/>
          <w:sz w:val="24"/>
          <w:szCs w:val="24"/>
        </w:rPr>
      </w:pPr>
      <w:r>
        <w:rPr>
          <w:rFonts w:ascii="Times New Roman" w:hAnsi="Times New Roman"/>
          <w:noProof/>
          <w:sz w:val="24"/>
        </w:rPr>
        <w:t>Contrairement à ce qui est le cas pour les règles arrêtées d’un commun accord entre les institutions, le contenu des dispositions générales d’exécution est déterminé par chaque institution en application du principe d’autonomie de chaque institution en qualité d’employeur reconnu par l’article 13, paragraphe 2, du traité sur l’Union européenne et par l’article 298 du traité sur le fonctionnement de l’Union européenne</w:t>
      </w:r>
      <w:r>
        <w:rPr>
          <w:rStyle w:val="FootnoteReference"/>
          <w:rFonts w:ascii="Times New Roman" w:hAnsi="Times New Roman"/>
          <w:noProof/>
          <w:sz w:val="24"/>
        </w:rPr>
        <w:footnoteReference w:id="6"/>
      </w:r>
      <w:r>
        <w:rPr>
          <w:rFonts w:ascii="Times New Roman" w:hAnsi="Times New Roman"/>
          <w:noProof/>
          <w:sz w:val="24"/>
        </w:rPr>
        <w:t>. En ce qui concerne le remboursement des frais médicaux dans le cadre du régime commun d’assurance maladie, la Commission a toutefois adopté, sur la base de la réglementation commune relative à la couverture des risques de maladie des fonctionnaires de l’Union européenne, des dispositions générales d’exécution s’appliquant aux membres du personnel de toutes les institutions et agences.</w:t>
      </w:r>
    </w:p>
    <w:p>
      <w:pPr>
        <w:jc w:val="both"/>
        <w:rPr>
          <w:rFonts w:ascii="Times New Roman" w:hAnsi="Times New Roman" w:cs="Times New Roman"/>
          <w:noProof/>
          <w:sz w:val="24"/>
          <w:szCs w:val="24"/>
        </w:rPr>
      </w:pPr>
      <w:r>
        <w:rPr>
          <w:rFonts w:ascii="Times New Roman" w:hAnsi="Times New Roman"/>
          <w:noProof/>
          <w:sz w:val="24"/>
        </w:rPr>
        <w:t>D’après l’article 110, paragraphe 1, du statut des fonctionnaires et l’article 141, premier alinéa, du régime applicable aux autres agents, les dispositions générales d’exécution sont arrêtées par l’autorité compétente de chaque institution après consultation de son comité du personnel et avis du comité du statut.</w:t>
      </w:r>
    </w:p>
    <w:p>
      <w:pPr>
        <w:jc w:val="both"/>
        <w:rPr>
          <w:rFonts w:ascii="Times New Roman" w:hAnsi="Times New Roman" w:cs="Times New Roman"/>
          <w:noProof/>
          <w:sz w:val="24"/>
          <w:szCs w:val="24"/>
        </w:rPr>
      </w:pPr>
    </w:p>
    <w:p>
      <w:pPr>
        <w:jc w:val="center"/>
        <w:rPr>
          <w:rFonts w:ascii="Times New Roman" w:hAnsi="Times New Roman" w:cs="Times New Roman"/>
          <w:noProof/>
          <w:sz w:val="24"/>
          <w:szCs w:val="24"/>
          <w:u w:val="single"/>
        </w:rPr>
      </w:pPr>
      <w:r>
        <w:rPr>
          <w:rFonts w:ascii="Times New Roman" w:hAnsi="Times New Roman"/>
          <w:noProof/>
          <w:sz w:val="24"/>
          <w:u w:val="single"/>
        </w:rPr>
        <w:t xml:space="preserve">PROCÉDURE D’ADOPTION DES </w:t>
      </w:r>
    </w:p>
    <w:p>
      <w:pPr>
        <w:jc w:val="center"/>
        <w:rPr>
          <w:rFonts w:ascii="Times New Roman" w:hAnsi="Times New Roman" w:cs="Times New Roman"/>
          <w:noProof/>
          <w:sz w:val="24"/>
          <w:szCs w:val="24"/>
          <w:u w:val="single"/>
        </w:rPr>
      </w:pPr>
      <w:r>
        <w:rPr>
          <w:rFonts w:ascii="Times New Roman" w:hAnsi="Times New Roman"/>
          <w:noProof/>
          <w:sz w:val="24"/>
          <w:u w:val="single"/>
        </w:rPr>
        <w:t>DISPOSITIONS GÉNÉRALES D’EXECUTION (DGE)</w:t>
      </w:r>
      <w:r>
        <w:rPr>
          <w:rStyle w:val="FootnoteReference"/>
          <w:rFonts w:ascii="Times New Roman" w:hAnsi="Times New Roman"/>
          <w:noProof/>
          <w:sz w:val="24"/>
        </w:rPr>
        <w:footnoteReference w:id="7"/>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91008" behindDoc="0" locked="0" layoutInCell="1" allowOverlap="1">
                <wp:simplePos x="0" y="0"/>
                <wp:positionH relativeFrom="column">
                  <wp:posOffset>-23145</wp:posOffset>
                </wp:positionH>
                <wp:positionV relativeFrom="paragraph">
                  <wp:posOffset>271820</wp:posOffset>
                </wp:positionV>
                <wp:extent cx="2428240" cy="771601"/>
                <wp:effectExtent l="0" t="0" r="1016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71601"/>
                        </a:xfrm>
                        <a:prstGeom prst="rect">
                          <a:avLst/>
                        </a:prstGeom>
                        <a:solidFill>
                          <a:srgbClr val="FFFFFF"/>
                        </a:solidFill>
                        <a:ln w="9525">
                          <a:solidFill>
                            <a:srgbClr val="000000"/>
                          </a:solidFill>
                          <a:prstDash val="dash"/>
                          <a:miter lim="800000"/>
                          <a:headEnd/>
                          <a:tailEnd/>
                        </a:ln>
                      </wps:spPr>
                      <wps:txbx>
                        <w:txbxContent>
                          <w:p>
                            <w:pPr>
                              <w:jc w:val="center"/>
                              <w:rPr>
                                <w:rFonts w:ascii="Times New Roman" w:hAnsi="Times New Roman" w:cs="Times New Roman"/>
                                <w:sz w:val="20"/>
                                <w:szCs w:val="20"/>
                                <w14:textOutline w14:w="0" w14:cap="rnd" w14:cmpd="sng" w14:algn="ctr">
                                  <w14:noFill/>
                                  <w14:prstDash w14:val="dashDot"/>
                                  <w14:bevel/>
                                </w14:textOutline>
                              </w:rPr>
                            </w:pPr>
                            <w:r>
                              <w:rPr>
                                <w:rFonts w:ascii="Times New Roman" w:hAnsi="Times New Roman"/>
                                <w:sz w:val="20"/>
                                <w14:textOutline w14:w="0" w14:cap="rnd" w14:cmpd="sng" w14:algn="ctr">
                                  <w14:noFill/>
                                  <w14:prstDash w14:val="dashDot"/>
                                  <w14:bevel/>
                                </w14:textOutline>
                              </w:rPr>
                              <w:t>Discussion au sein du collège des chefs d’administration (seulement si les DGE s’appliquent de manière générale à toutes les institutions ou les concernent toutes)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pt;margin-top:21.4pt;width:191.2pt;height:6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">
                <v:stroke dashstyle="dash"/>
                <v:textbox>
                  <w:txbxContent>
                    <w:p>
                      <w:pPr>
                        <w:jc w:val="center"/>
                        <w:rPr>
                          <w:rFonts w:ascii="Times New Roman" w:hAnsi="Times New Roman" w:cs="Times New Roman"/>
                          <w:sz w:val="20"/>
                          <w:szCs w:val="20"/>
                          <w14:textOutline w14:w="0" w14:cap="rnd" w14:cmpd="sng" w14:algn="ctr">
                            <w14:noFill/>
                            <w14:prstDash w14:val="dashDot"/>
                            <w14:bevel/>
                          </w14:textOutline>
                        </w:rPr>
                      </w:pPr>
                      <w:r>
                        <w:rPr>
                          <w:rFonts w:ascii="Times New Roman" w:hAnsi="Times New Roman"/>
                          <w:sz w:val="20"/>
                          <w14:textOutline w14:w="0" w14:cap="rnd" w14:cmpd="sng" w14:algn="ctr">
                            <w14:noFill/>
                            <w14:prstDash w14:val="dashDot"/>
                            <w14:bevel/>
                          </w14:textOutline>
                        </w:rPr>
                        <w:t>Discussion au sein du collège des chefs d’administration (seulement si les DGE s’appliquent de manière générale à toutes les institutions ou les concernent toutes)</w:t>
                      </w:r>
                    </w:p>
                  </w:txbxContent>
                </v:textbox>
              </v:shape>
            </w:pict>
          </mc:Fallback>
        </mc:AlternateContent>
      </w: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88960" behindDoc="0" locked="0" layoutInCell="1" allowOverlap="1">
                <wp:simplePos x="0" y="0"/>
                <wp:positionH relativeFrom="column">
                  <wp:posOffset>2933700</wp:posOffset>
                </wp:positionH>
                <wp:positionV relativeFrom="paragraph">
                  <wp:posOffset>57785</wp:posOffset>
                </wp:positionV>
                <wp:extent cx="2847975" cy="985520"/>
                <wp:effectExtent l="0" t="0" r="28575" b="2413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98552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18"/>
                                <w:szCs w:val="18"/>
                              </w:rPr>
                            </w:pPr>
                            <w:r>
                              <w:rPr>
                                <w:rFonts w:ascii="Times New Roman" w:hAnsi="Times New Roman"/>
                                <w:sz w:val="18"/>
                                <w:szCs w:val="18"/>
                              </w:rPr>
                              <w:t>Préparation d’une proposition de DGE par chaque institution qui adoptera ses propres DGE (si les DGE s’appliquent de manière générale à toutes les institutions ou les concernent toutes: préparation au sein d’un groupe de travail ou comité interinstitutionnel)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31pt;margin-top:4.55pt;width:224.25pt;height:7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">
                <v:textbox>
                  <w:txbxContent>
                    <w:p>
                      <w:pPr>
                        <w:jc w:val="center"/>
                        <w:rPr>
                          <w:rFonts w:ascii="Times New Roman" w:hAnsi="Times New Roman" w:cs="Times New Roman"/>
                          <w:sz w:val="18"/>
                          <w:szCs w:val="18"/>
                        </w:rPr>
                      </w:pPr>
                      <w:r>
                        <w:rPr>
                          <w:rFonts w:ascii="Times New Roman" w:hAnsi="Times New Roman"/>
                          <w:sz w:val="18"/>
                          <w:szCs w:val="18"/>
                        </w:rPr>
                        <w:t>Préparation d’une proposition de DGE par chaque institution qui adoptera ses propres DGE (si les DGE s’appliquent de manière générale à toutes les institutions ou les concernent toutes: préparation au sein d’un groupe de travail ou comité interinstitutionnel)</w:t>
                      </w: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98176" behindDoc="0" locked="0" layoutInCell="1" allowOverlap="1">
                <wp:simplePos x="0" y="0"/>
                <wp:positionH relativeFrom="column">
                  <wp:posOffset>2405095</wp:posOffset>
                </wp:positionH>
                <wp:positionV relativeFrom="paragraph">
                  <wp:posOffset>69361</wp:posOffset>
                </wp:positionV>
                <wp:extent cx="528879" cy="4194"/>
                <wp:effectExtent l="0" t="76200" r="24130" b="110490"/>
                <wp:wrapNone/>
                <wp:docPr id="28" name="Straight Arrow Connector 28"/>
                <wp:cNvGraphicFramePr/>
                <a:graphic xmlns:a="http://schemas.openxmlformats.org/drawingml/2006/main">
                  <a:graphicData uri="http://schemas.microsoft.com/office/word/2010/wordprocessingShape">
                    <wps:wsp>
                      <wps:cNvCnPr/>
                      <wps:spPr>
                        <a:xfrm flipV="1">
                          <a:off x="0" y="0"/>
                          <a:ext cx="528879" cy="41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28" o:spid="_x0000_s1026" type="#_x0000_t32" style="position:absolute;margin-left:189.4pt;margin-top:5.45pt;width:41.65pt;height:.3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99200" behindDoc="0" locked="0" layoutInCell="1" allowOverlap="1">
                <wp:simplePos x="0" y="0"/>
                <wp:positionH relativeFrom="column">
                  <wp:posOffset>2405467</wp:posOffset>
                </wp:positionH>
                <wp:positionV relativeFrom="paragraph">
                  <wp:posOffset>29851</wp:posOffset>
                </wp:positionV>
                <wp:extent cx="528320"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a:off x="0" y="0"/>
                          <a:ext cx="5283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29" o:spid="_x0000_s1026" type="#_x0000_t32" style="position:absolute;margin-left:189.4pt;margin-top:2.35pt;width:41.6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00224" behindDoc="0" locked="0" layoutInCell="1" allowOverlap="1">
                <wp:simplePos x="0" y="0"/>
                <wp:positionH relativeFrom="column">
                  <wp:posOffset>3873541</wp:posOffset>
                </wp:positionH>
                <wp:positionV relativeFrom="paragraph">
                  <wp:posOffset>57826</wp:posOffset>
                </wp:positionV>
                <wp:extent cx="8389" cy="675576"/>
                <wp:effectExtent l="76200" t="0" r="106045" b="48895"/>
                <wp:wrapNone/>
                <wp:docPr id="30" name="Straight Arrow Connector 30"/>
                <wp:cNvGraphicFramePr/>
                <a:graphic xmlns:a="http://schemas.openxmlformats.org/drawingml/2006/main">
                  <a:graphicData uri="http://schemas.microsoft.com/office/word/2010/wordprocessingShape">
                    <wps:wsp>
                      <wps:cNvCnPr/>
                      <wps:spPr>
                        <a:xfrm>
                          <a:off x="0" y="0"/>
                          <a:ext cx="8389" cy="6755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30" o:spid="_x0000_s1026" type="#_x0000_t32" style="position:absolute;margin-left:305pt;margin-top:4.55pt;width:.65pt;height:53.2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" strokecolor="#4579b8 [3044]">
                <v:stroke endarrow="open"/>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86912" behindDoc="0" locked="0" layoutInCell="1" allowOverlap="1">
                <wp:simplePos x="0" y="0"/>
                <wp:positionH relativeFrom="column">
                  <wp:posOffset>643255</wp:posOffset>
                </wp:positionH>
                <wp:positionV relativeFrom="paragraph">
                  <wp:posOffset>76200</wp:posOffset>
                </wp:positionV>
                <wp:extent cx="4462780" cy="389890"/>
                <wp:effectExtent l="0" t="0" r="13970" b="101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Examen par le comité du personnel de l’institution pour avis</w:t>
                            </w:r>
                          </w:p>
                          <w:p>
                            <w:pPr>
                              <w:jc w:val="cente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0.65pt;margin-top:6pt;width:351.4pt;height:3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">
                <v:textbox>
                  <w:txbxContent>
                    <w:p>
                      <w:pPr>
                        <w:jc w:val="center"/>
                        <w:rPr>
                          <w:rFonts w:ascii="Times New Roman" w:hAnsi="Times New Roman" w:cs="Times New Roman"/>
                          <w:sz w:val="20"/>
                          <w:szCs w:val="20"/>
                        </w:rPr>
                      </w:pPr>
                      <w:r>
                        <w:rPr>
                          <w:rFonts w:ascii="Times New Roman" w:hAnsi="Times New Roman"/>
                          <w:sz w:val="20"/>
                        </w:rPr>
                        <w:t>Examen par le comité du personnel de l’institution pour avis</w:t>
                      </w:r>
                    </w:p>
                    <w:p>
                      <w:pPr>
                        <w:jc w:val="center"/>
                        <w:rPr>
                          <w:rFonts w:ascii="Times New Roman" w:hAnsi="Times New Roman" w:cs="Times New Roman"/>
                          <w:sz w:val="20"/>
                          <w:szCs w:val="20"/>
                        </w:rPr>
                      </w:pP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01248" behindDoc="0" locked="0" layoutInCell="1" allowOverlap="1">
                <wp:simplePos x="0" y="0"/>
                <wp:positionH relativeFrom="column">
                  <wp:posOffset>2824917</wp:posOffset>
                </wp:positionH>
                <wp:positionV relativeFrom="paragraph">
                  <wp:posOffset>137772</wp:posOffset>
                </wp:positionV>
                <wp:extent cx="0" cy="310590"/>
                <wp:effectExtent l="95250" t="0" r="57150" b="51435"/>
                <wp:wrapNone/>
                <wp:docPr id="31" name="Straight Arrow Connector 31"/>
                <wp:cNvGraphicFramePr/>
                <a:graphic xmlns:a="http://schemas.openxmlformats.org/drawingml/2006/main">
                  <a:graphicData uri="http://schemas.microsoft.com/office/word/2010/wordprocessingShape">
                    <wps:wsp>
                      <wps:cNvCnPr/>
                      <wps:spPr>
                        <a:xfrm>
                          <a:off x="0" y="0"/>
                          <a:ext cx="0" cy="310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31" o:spid="_x0000_s1026" type="#_x0000_t32" style="position:absolute;margin-left:222.45pt;margin-top:10.85pt;width:0;height:24.4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93056" behindDoc="0" locked="0" layoutInCell="1" allowOverlap="1">
                <wp:simplePos x="0" y="0"/>
                <wp:positionH relativeFrom="column">
                  <wp:posOffset>642620</wp:posOffset>
                </wp:positionH>
                <wp:positionV relativeFrom="paragraph">
                  <wp:posOffset>120015</wp:posOffset>
                </wp:positionV>
                <wp:extent cx="4462780" cy="389890"/>
                <wp:effectExtent l="0" t="0" r="13970" b="1016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Examen par le comité du statut pour avis</w:t>
                            </w:r>
                          </w:p>
                          <w:p>
                            <w:pPr>
                              <w:jc w:val="cente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0.6pt;margin-top:9.45pt;width:351.4pt;height:3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">
                <v:textbox>
                  <w:txbxContent>
                    <w:p>
                      <w:pPr>
                        <w:jc w:val="center"/>
                        <w:rPr>
                          <w:rFonts w:ascii="Times New Roman" w:hAnsi="Times New Roman" w:cs="Times New Roman"/>
                          <w:sz w:val="20"/>
                          <w:szCs w:val="20"/>
                        </w:rPr>
                      </w:pPr>
                      <w:r>
                        <w:rPr>
                          <w:rFonts w:ascii="Times New Roman" w:hAnsi="Times New Roman"/>
                          <w:sz w:val="20"/>
                        </w:rPr>
                        <w:t>Examen par le comité du statut pour avis</w:t>
                      </w:r>
                    </w:p>
                    <w:p>
                      <w:pPr>
                        <w:jc w:val="center"/>
                        <w:rPr>
                          <w:rFonts w:ascii="Times New Roman" w:hAnsi="Times New Roman" w:cs="Times New Roman"/>
                          <w:sz w:val="20"/>
                          <w:szCs w:val="20"/>
                        </w:rPr>
                      </w:pP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03296" behindDoc="0" locked="0" layoutInCell="1" allowOverlap="1">
                <wp:simplePos x="0" y="0"/>
                <wp:positionH relativeFrom="column">
                  <wp:posOffset>2821684</wp:posOffset>
                </wp:positionH>
                <wp:positionV relativeFrom="paragraph">
                  <wp:posOffset>177497</wp:posOffset>
                </wp:positionV>
                <wp:extent cx="0" cy="310590"/>
                <wp:effectExtent l="95250" t="0" r="57150" b="51435"/>
                <wp:wrapNone/>
                <wp:docPr id="288" name="Straight Arrow Connector 288"/>
                <wp:cNvGraphicFramePr/>
                <a:graphic xmlns:a="http://schemas.openxmlformats.org/drawingml/2006/main">
                  <a:graphicData uri="http://schemas.microsoft.com/office/word/2010/wordprocessingShape">
                    <wps:wsp>
                      <wps:cNvCnPr/>
                      <wps:spPr>
                        <a:xfrm>
                          <a:off x="0" y="0"/>
                          <a:ext cx="0" cy="310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288" o:spid="_x0000_s1026" type="#_x0000_t32" style="position:absolute;margin-left:222.2pt;margin-top:14pt;width:0;height:24.4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" strokecolor="#4579b8 [3044]">
                <v:stroke endarrow="open"/>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95104" behindDoc="0" locked="0" layoutInCell="1" allowOverlap="1">
                <wp:simplePos x="0" y="0"/>
                <wp:positionH relativeFrom="column">
                  <wp:posOffset>644105</wp:posOffset>
                </wp:positionH>
                <wp:positionV relativeFrom="paragraph">
                  <wp:posOffset>-167867</wp:posOffset>
                </wp:positionV>
                <wp:extent cx="4462780" cy="389890"/>
                <wp:effectExtent l="0" t="0" r="13970" b="1016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Finalisation du texte par l’institution</w:t>
                            </w:r>
                          </w:p>
                          <w:p>
                            <w:pPr>
                              <w:jc w:val="cente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0.7pt;margin-top:-13.2pt;width:351.4pt;height:3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">
                <v:textbox>
                  <w:txbxContent>
                    <w:p>
                      <w:pPr>
                        <w:jc w:val="center"/>
                        <w:rPr>
                          <w:rFonts w:ascii="Times New Roman" w:hAnsi="Times New Roman" w:cs="Times New Roman"/>
                          <w:sz w:val="20"/>
                          <w:szCs w:val="20"/>
                        </w:rPr>
                      </w:pPr>
                      <w:r>
                        <w:rPr>
                          <w:rFonts w:ascii="Times New Roman" w:hAnsi="Times New Roman"/>
                          <w:sz w:val="20"/>
                        </w:rPr>
                        <w:t>Finalisation du texte par l’institution</w:t>
                      </w:r>
                    </w:p>
                    <w:p>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05344" behindDoc="0" locked="0" layoutInCell="1" allowOverlap="1">
                <wp:simplePos x="0" y="0"/>
                <wp:positionH relativeFrom="column">
                  <wp:posOffset>2821305</wp:posOffset>
                </wp:positionH>
                <wp:positionV relativeFrom="paragraph">
                  <wp:posOffset>220345</wp:posOffset>
                </wp:positionV>
                <wp:extent cx="0" cy="310515"/>
                <wp:effectExtent l="95250" t="0" r="57150" b="51435"/>
                <wp:wrapNone/>
                <wp:docPr id="289" name="Straight Arrow Connector 289"/>
                <wp:cNvGraphicFramePr/>
                <a:graphic xmlns:a="http://schemas.openxmlformats.org/drawingml/2006/main">
                  <a:graphicData uri="http://schemas.microsoft.com/office/word/2010/wordprocessingShape">
                    <wps:wsp>
                      <wps:cNvCnPr/>
                      <wps:spPr>
                        <a:xfrm>
                          <a:off x="0" y="0"/>
                          <a:ext cx="0" cy="310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289" o:spid="_x0000_s1026" type="#_x0000_t32" style="position:absolute;margin-left:222.15pt;margin-top:17.35pt;width:0;height:24.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97152" behindDoc="0" locked="0" layoutInCell="1" allowOverlap="1">
                <wp:simplePos x="0" y="0"/>
                <wp:positionH relativeFrom="column">
                  <wp:posOffset>644525</wp:posOffset>
                </wp:positionH>
                <wp:positionV relativeFrom="paragraph">
                  <wp:posOffset>205356</wp:posOffset>
                </wp:positionV>
                <wp:extent cx="4462780" cy="389890"/>
                <wp:effectExtent l="0" t="0" r="13970" b="1016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Adoption des dispositions par l’autorité investie du pouvoir de nomination de l’institution</w:t>
                            </w:r>
                          </w:p>
                          <w:p>
                            <w:pPr>
                              <w:jc w:val="cente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0.75pt;margin-top:16.15pt;width:351.4pt;height:3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">
                <v:textbox>
                  <w:txbxContent>
                    <w:p>
                      <w:pPr>
                        <w:jc w:val="center"/>
                        <w:rPr>
                          <w:rFonts w:ascii="Times New Roman" w:hAnsi="Times New Roman" w:cs="Times New Roman"/>
                          <w:sz w:val="20"/>
                          <w:szCs w:val="20"/>
                        </w:rPr>
                      </w:pPr>
                      <w:r>
                        <w:rPr>
                          <w:rFonts w:ascii="Times New Roman" w:hAnsi="Times New Roman"/>
                          <w:sz w:val="20"/>
                        </w:rPr>
                        <w:t>Adoption des dispositions par l’autorité investie du pouvoir de nomination de l’institution</w:t>
                      </w:r>
                    </w:p>
                    <w:p>
                      <w:pPr>
                        <w:jc w:val="center"/>
                        <w:rPr>
                          <w:rFonts w:ascii="Times New Roman" w:hAnsi="Times New Roman" w:cs="Times New Roman"/>
                          <w:sz w:val="20"/>
                          <w:szCs w:val="20"/>
                        </w:rPr>
                      </w:pP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07392" behindDoc="0" locked="0" layoutInCell="1" allowOverlap="1">
                <wp:simplePos x="0" y="0"/>
                <wp:positionH relativeFrom="column">
                  <wp:posOffset>2821305</wp:posOffset>
                </wp:positionH>
                <wp:positionV relativeFrom="paragraph">
                  <wp:posOffset>267970</wp:posOffset>
                </wp:positionV>
                <wp:extent cx="0" cy="310515"/>
                <wp:effectExtent l="95250" t="0" r="57150" b="51435"/>
                <wp:wrapNone/>
                <wp:docPr id="290" name="Straight Arrow Connector 290"/>
                <wp:cNvGraphicFramePr/>
                <a:graphic xmlns:a="http://schemas.openxmlformats.org/drawingml/2006/main">
                  <a:graphicData uri="http://schemas.microsoft.com/office/word/2010/wordprocessingShape">
                    <wps:wsp>
                      <wps:cNvCnPr/>
                      <wps:spPr>
                        <a:xfrm>
                          <a:off x="0" y="0"/>
                          <a:ext cx="0" cy="310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290" o:spid="_x0000_s1026" type="#_x0000_t32" style="position:absolute;margin-left:222.15pt;margin-top:21.1pt;width:0;height:24.4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" strokecolor="#4579b8 [3044]">
                <v:stroke endarrow="open"/>
              </v:shape>
            </w:pict>
          </mc:Fallback>
        </mc:AlternateContent>
      </w:r>
    </w:p>
    <w:p>
      <w:pPr>
        <w:jc w:val="both"/>
        <w:rPr>
          <w:rFonts w:ascii="Times New Roman" w:hAnsi="Times New Roman" w:cs="Times New Roman"/>
          <w:noProof/>
          <w:sz w:val="24"/>
          <w:szCs w:val="24"/>
        </w:rPr>
      </w:pPr>
    </w:p>
    <w:p>
      <w:pPr>
        <w:jc w:val="center"/>
        <w:rPr>
          <w:rFonts w:ascii="Times New Roman" w:hAnsi="Times New Roman" w:cs="Times New Roman"/>
          <w:b/>
          <w:noProof/>
          <w:sz w:val="24"/>
          <w:szCs w:val="24"/>
        </w:rPr>
      </w:pPr>
      <w:r>
        <w:rPr>
          <w:rFonts w:ascii="Times New Roman" w:hAnsi="Times New Roman"/>
          <w:b/>
          <w:noProof/>
          <w:sz w:val="24"/>
        </w:rPr>
        <w:t>DISPOSITIONS GÉNÉRALES D’EXECUTION</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En vertu de l’article 142 du régime applicable aux autres agents, les dispositions générales d’exécution visées à l’article 110 du statut s’appliquent aux agents visés par ce régime dans la mesure où les dispositions du statut sont rendues applicables à ces agents par ce régime.</w:t>
      </w:r>
    </w:p>
    <w:p>
      <w:pPr>
        <w:pStyle w:val="Heading2"/>
        <w:rPr>
          <w:noProof/>
        </w:rPr>
      </w:pPr>
      <w:bookmarkStart w:id="8" w:name="_Toc486939893"/>
      <w:bookmarkStart w:id="9" w:name="_Toc495934029"/>
      <w:r>
        <w:rPr>
          <w:noProof/>
        </w:rPr>
        <w:t>c)</w:t>
      </w:r>
      <w:r>
        <w:rPr>
          <w:noProof/>
        </w:rPr>
        <w:tab/>
        <w:t>Autres règles d’exécution</w:t>
      </w:r>
      <w:bookmarkEnd w:id="8"/>
      <w:bookmarkEnd w:id="9"/>
    </w:p>
    <w:p>
      <w:pPr>
        <w:jc w:val="both"/>
        <w:rPr>
          <w:rFonts w:ascii="Times New Roman" w:hAnsi="Times New Roman" w:cs="Times New Roman"/>
          <w:noProof/>
          <w:sz w:val="24"/>
          <w:szCs w:val="24"/>
        </w:rPr>
      </w:pPr>
      <w:r>
        <w:rPr>
          <w:rFonts w:ascii="Times New Roman" w:hAnsi="Times New Roman"/>
          <w:noProof/>
          <w:sz w:val="24"/>
        </w:rPr>
        <w:t>Le statut des fonctionnaires et le régime applicable aux autres agents confient également respectivement à l’autorité investie du pouvoir de nomination de chaque institution et à l’autorité habilitée à conclure des contrats d’engagement de chaque institution le pouvoir d’adopter d’autres règles d’exécution, sans préciser la procédure d’adoption.</w:t>
      </w:r>
    </w:p>
    <w:p>
      <w:pPr>
        <w:jc w:val="both"/>
        <w:rPr>
          <w:rFonts w:ascii="Times New Roman" w:hAnsi="Times New Roman" w:cs="Times New Roman"/>
          <w:noProof/>
          <w:sz w:val="24"/>
          <w:szCs w:val="24"/>
        </w:rPr>
      </w:pPr>
      <w:r>
        <w:rPr>
          <w:rFonts w:ascii="Times New Roman" w:hAnsi="Times New Roman"/>
          <w:noProof/>
          <w:sz w:val="24"/>
        </w:rPr>
        <w:t>Dans un cas de figure (concernant les fonctionnaires de la Commission travaillant dans une délégation de l’Union et les fonctionnaires du SEAE qui doivent accomplir des tâches pour la Commission dans l’exercice de leurs fonctions), l’article 96 du statut prévoit un pouvoir commun de la Commission et du SEAE.</w:t>
      </w:r>
    </w:p>
    <w:p>
      <w:pPr>
        <w:jc w:val="both"/>
        <w:rPr>
          <w:rFonts w:ascii="Times New Roman" w:hAnsi="Times New Roman" w:cs="Times New Roman"/>
          <w:noProof/>
          <w:sz w:val="24"/>
          <w:szCs w:val="24"/>
        </w:rPr>
      </w:pPr>
      <w:r>
        <w:rPr>
          <w:rFonts w:ascii="Times New Roman" w:hAnsi="Times New Roman"/>
          <w:noProof/>
          <w:sz w:val="24"/>
        </w:rPr>
        <w:t>Ces autres règles d’exécution sont prévues pour les sujets suivants:</w:t>
      </w:r>
    </w:p>
    <w:p>
      <w:pPr>
        <w:pBdr>
          <w:top w:val="dashed" w:sz="4" w:space="1" w:color="auto"/>
          <w:left w:val="dashed" w:sz="4" w:space="4" w:color="auto"/>
          <w:bottom w:val="dashed" w:sz="4" w:space="1" w:color="auto"/>
          <w:right w:val="dashed" w:sz="4" w:space="4" w:color="auto"/>
        </w:pBdr>
        <w:jc w:val="center"/>
        <w:rPr>
          <w:rFonts w:ascii="Times New Roman" w:hAnsi="Times New Roman" w:cs="Times New Roman"/>
          <w:b/>
          <w:i/>
          <w:noProof/>
          <w:sz w:val="24"/>
          <w:szCs w:val="24"/>
        </w:rPr>
      </w:pPr>
      <w:r>
        <w:rPr>
          <w:rFonts w:ascii="Times New Roman" w:hAnsi="Times New Roman"/>
          <w:b/>
          <w:i/>
          <w:noProof/>
          <w:sz w:val="24"/>
        </w:rPr>
        <w:t>Statut des fonctionnaires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2</w:t>
      </w:r>
      <w:r>
        <w:rPr>
          <w:noProof/>
        </w:rPr>
        <w:tab/>
      </w:r>
      <w:r>
        <w:rPr>
          <w:rFonts w:ascii="Times New Roman" w:hAnsi="Times New Roman"/>
          <w:noProof/>
          <w:sz w:val="20"/>
        </w:rPr>
        <w:t>Détermination des pouvoirs de l’autorité investie du pouvoir de nomination</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5</w:t>
      </w:r>
      <w:r>
        <w:rPr>
          <w:noProof/>
        </w:rPr>
        <w:tab/>
      </w:r>
      <w:r>
        <w:rPr>
          <w:rFonts w:ascii="Times New Roman" w:hAnsi="Times New Roman"/>
          <w:noProof/>
          <w:sz w:val="20"/>
        </w:rPr>
        <w:t>Définition des emplois types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9</w:t>
      </w:r>
      <w:r>
        <w:rPr>
          <w:noProof/>
        </w:rPr>
        <w:tab/>
      </w:r>
      <w:r>
        <w:rPr>
          <w:rFonts w:ascii="Times New Roman" w:hAnsi="Times New Roman"/>
          <w:noProof/>
          <w:sz w:val="20"/>
        </w:rPr>
        <w:t>Composition et modalités de fonctionnement des organes (comités et commissions)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 xml:space="preserve">Article 22 </w:t>
      </w:r>
      <w:r>
        <w:rPr>
          <w:rFonts w:ascii="Times New Roman" w:hAnsi="Times New Roman"/>
          <w:i/>
          <w:noProof/>
          <w:sz w:val="20"/>
        </w:rPr>
        <w:t>quater</w:t>
      </w:r>
      <w:r>
        <w:rPr>
          <w:noProof/>
        </w:rPr>
        <w:tab/>
      </w:r>
      <w:r>
        <w:rPr>
          <w:rFonts w:ascii="Times New Roman" w:hAnsi="Times New Roman"/>
          <w:noProof/>
          <w:sz w:val="20"/>
        </w:rPr>
        <w:t>Dénonciation des dysfonctionnements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51</w:t>
      </w:r>
      <w:r>
        <w:rPr>
          <w:noProof/>
        </w:rPr>
        <w:tab/>
      </w:r>
      <w:r>
        <w:rPr>
          <w:rFonts w:ascii="Times New Roman" w:hAnsi="Times New Roman"/>
          <w:noProof/>
          <w:sz w:val="20"/>
        </w:rPr>
        <w:t>Procédures de traitement de l’insuffisance professionnelle</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55, paragraphe 3</w:t>
      </w:r>
      <w:r>
        <w:rPr>
          <w:noProof/>
        </w:rPr>
        <w:tab/>
      </w:r>
      <w:r>
        <w:rPr>
          <w:rFonts w:ascii="Times New Roman" w:hAnsi="Times New Roman"/>
          <w:noProof/>
          <w:sz w:val="20"/>
        </w:rPr>
        <w:t>Astreintes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55, paragraphe 4</w:t>
      </w:r>
      <w:r>
        <w:rPr>
          <w:noProof/>
        </w:rPr>
        <w:tab/>
      </w:r>
      <w:r>
        <w:rPr>
          <w:rFonts w:ascii="Times New Roman" w:hAnsi="Times New Roman"/>
          <w:noProof/>
          <w:sz w:val="20"/>
        </w:rPr>
        <w:t>Mesures d’aménagement du temps de travail</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 xml:space="preserve">Article 55 </w:t>
      </w:r>
      <w:r>
        <w:rPr>
          <w:rFonts w:ascii="Times New Roman" w:hAnsi="Times New Roman"/>
          <w:i/>
          <w:noProof/>
          <w:sz w:val="20"/>
        </w:rPr>
        <w:t>ter</w:t>
      </w:r>
      <w:r>
        <w:rPr>
          <w:noProof/>
        </w:rPr>
        <w:tab/>
      </w:r>
      <w:r>
        <w:rPr>
          <w:rFonts w:ascii="Times New Roman" w:hAnsi="Times New Roman"/>
          <w:noProof/>
          <w:sz w:val="20"/>
        </w:rPr>
        <w:t>Emploi partagé</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56</w:t>
      </w:r>
      <w:r>
        <w:rPr>
          <w:noProof/>
        </w:rPr>
        <w:tab/>
      </w:r>
      <w:r>
        <w:rPr>
          <w:rFonts w:ascii="Times New Roman" w:hAnsi="Times New Roman"/>
          <w:noProof/>
          <w:sz w:val="20"/>
        </w:rPr>
        <w:t>Heures supplémentaires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Article 96</w:t>
      </w:r>
      <w:r>
        <w:rPr>
          <w:noProof/>
        </w:rPr>
        <w:tab/>
      </w:r>
      <w:r>
        <w:rPr>
          <w:rFonts w:ascii="Times New Roman" w:hAnsi="Times New Roman"/>
          <w:noProof/>
          <w:sz w:val="20"/>
        </w:rPr>
        <w:t>Fonctionnaires de la Commission travaillant dans une délégation de l’Union et fonctionnaires du SEAE qui doivent accomplir des tâches pour la Commission dans l’exercice de leurs fonctions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 xml:space="preserve">Annexe IV </w:t>
      </w:r>
      <w:r>
        <w:rPr>
          <w:rFonts w:ascii="Times New Roman" w:hAnsi="Times New Roman"/>
          <w:i/>
          <w:noProof/>
          <w:sz w:val="20"/>
        </w:rPr>
        <w:t>bis</w:t>
      </w:r>
      <w:r>
        <w:rPr>
          <w:rFonts w:ascii="Times New Roman" w:hAnsi="Times New Roman"/>
          <w:noProof/>
          <w:sz w:val="20"/>
        </w:rPr>
        <w:t>, article 5</w:t>
      </w:r>
      <w:r>
        <w:rPr>
          <w:noProof/>
        </w:rPr>
        <w:tab/>
      </w:r>
      <w:r>
        <w:rPr>
          <w:rFonts w:ascii="Times New Roman" w:hAnsi="Times New Roman"/>
          <w:noProof/>
          <w:sz w:val="20"/>
        </w:rPr>
        <w:t>Activité à temps partiel</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Annexe VII, art. 13, par. 2, point b)</w:t>
      </w:r>
      <w:r>
        <w:rPr>
          <w:noProof/>
        </w:rPr>
        <w:tab/>
      </w:r>
      <w:r>
        <w:rPr>
          <w:rFonts w:ascii="Times New Roman" w:hAnsi="Times New Roman"/>
          <w:noProof/>
          <w:sz w:val="20"/>
        </w:rPr>
        <w:t>Barème applicable aux missions dans des pays tiers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Annexe IX, article 30</w:t>
      </w:r>
      <w:r>
        <w:rPr>
          <w:noProof/>
        </w:rPr>
        <w:tab/>
      </w:r>
      <w:r>
        <w:rPr>
          <w:rFonts w:ascii="Times New Roman" w:hAnsi="Times New Roman"/>
          <w:noProof/>
          <w:sz w:val="20"/>
        </w:rPr>
        <w:t>Procédure disciplinaire</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Annexe X, article 2</w:t>
      </w:r>
      <w:r>
        <w:rPr>
          <w:noProof/>
        </w:rPr>
        <w:tab/>
      </w:r>
      <w:r>
        <w:rPr>
          <w:rFonts w:ascii="Times New Roman" w:hAnsi="Times New Roman"/>
          <w:noProof/>
          <w:sz w:val="20"/>
        </w:rPr>
        <w:t>Mobilité des fonctionnaires affectés dans un pays tiers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Annexe X, article 5</w:t>
      </w:r>
      <w:r>
        <w:rPr>
          <w:noProof/>
        </w:rPr>
        <w:tab/>
      </w:r>
      <w:r>
        <w:rPr>
          <w:rFonts w:ascii="Times New Roman" w:hAnsi="Times New Roman"/>
          <w:noProof/>
          <w:sz w:val="20"/>
        </w:rPr>
        <w:t>Logement des fonctionnaires affectés dans un pays tiers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Annexe X, article 10</w:t>
      </w:r>
      <w:r>
        <w:rPr>
          <w:noProof/>
        </w:rPr>
        <w:tab/>
      </w:r>
      <w:r>
        <w:rPr>
          <w:rFonts w:ascii="Times New Roman" w:hAnsi="Times New Roman"/>
          <w:noProof/>
          <w:sz w:val="20"/>
        </w:rPr>
        <w:t>Indemnité de conditions de vie</w:t>
      </w:r>
      <w:r>
        <w:rPr>
          <w:rStyle w:val="FootnoteReference"/>
          <w:rFonts w:ascii="Times New Roman" w:hAnsi="Times New Roman"/>
          <w:noProof/>
          <w:sz w:val="20"/>
        </w:rPr>
        <w:footnoteReference w:id="8"/>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Annexe X, article 23</w:t>
      </w:r>
      <w:r>
        <w:rPr>
          <w:noProof/>
        </w:rPr>
        <w:tab/>
      </w:r>
      <w:r>
        <w:rPr>
          <w:rFonts w:ascii="Times New Roman" w:hAnsi="Times New Roman"/>
          <w:noProof/>
          <w:sz w:val="20"/>
        </w:rPr>
        <w:t>Remboursement du montant du loyer des fonctionnaires affectés dans un pays tiers</w:t>
      </w:r>
    </w:p>
    <w:p>
      <w:pPr>
        <w:pBdr>
          <w:top w:val="dashed" w:sz="4" w:space="1" w:color="auto"/>
          <w:left w:val="dashed" w:sz="4" w:space="4" w:color="auto"/>
          <w:bottom w:val="dashed" w:sz="4" w:space="1" w:color="auto"/>
          <w:right w:val="dashed" w:sz="4" w:space="4" w:color="auto"/>
        </w:pBdr>
        <w:ind w:left="3120" w:hanging="3120"/>
        <w:jc w:val="both"/>
        <w:rPr>
          <w:rFonts w:ascii="Times New Roman" w:hAnsi="Times New Roman" w:cs="Times New Roman"/>
          <w:noProof/>
          <w:sz w:val="20"/>
          <w:szCs w:val="20"/>
        </w:rPr>
      </w:pPr>
      <w:r>
        <w:rPr>
          <w:rFonts w:ascii="Times New Roman" w:hAnsi="Times New Roman"/>
          <w:noProof/>
          <w:sz w:val="20"/>
        </w:rPr>
        <w:t>Annexe XIII, art. 30, par. 3</w:t>
      </w:r>
      <w:r>
        <w:rPr>
          <w:noProof/>
        </w:rPr>
        <w:tab/>
      </w:r>
      <w:r>
        <w:rPr>
          <w:rFonts w:ascii="Times New Roman" w:hAnsi="Times New Roman"/>
          <w:noProof/>
          <w:sz w:val="20"/>
        </w:rPr>
        <w:t>Classement des fonctionnaires investis de responsabilités particulières dans l’emploi type «chef d’unité ou équivalent» ou «conseiller ou équivalent» avant le 31 décembre 2015</w:t>
      </w:r>
    </w:p>
    <w:p>
      <w:pPr>
        <w:rPr>
          <w:noProof/>
        </w:rPr>
      </w:pPr>
    </w:p>
    <w:p>
      <w:pPr>
        <w:pBdr>
          <w:top w:val="dashed" w:sz="4" w:space="1" w:color="auto"/>
          <w:left w:val="dashed" w:sz="4" w:space="4" w:color="auto"/>
          <w:bottom w:val="dashed" w:sz="4" w:space="1" w:color="auto"/>
          <w:right w:val="dashed" w:sz="4" w:space="4" w:color="auto"/>
        </w:pBdr>
        <w:ind w:left="1440" w:hanging="1440"/>
        <w:jc w:val="center"/>
        <w:rPr>
          <w:rFonts w:ascii="Times New Roman" w:hAnsi="Times New Roman" w:cs="Times New Roman"/>
          <w:b/>
          <w:i/>
          <w:noProof/>
          <w:sz w:val="24"/>
          <w:szCs w:val="24"/>
        </w:rPr>
      </w:pPr>
      <w:r>
        <w:rPr>
          <w:rFonts w:ascii="Times New Roman" w:hAnsi="Times New Roman"/>
          <w:b/>
          <w:i/>
          <w:noProof/>
          <w:sz w:val="24"/>
        </w:rPr>
        <w:t>Régime applicable aux autres agents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Article 125</w:t>
      </w:r>
      <w:r>
        <w:rPr>
          <w:noProof/>
        </w:rPr>
        <w:tab/>
      </w:r>
      <w:r>
        <w:rPr>
          <w:noProof/>
        </w:rPr>
        <w:tab/>
      </w:r>
      <w:r>
        <w:rPr>
          <w:noProof/>
        </w:rPr>
        <w:tab/>
      </w:r>
      <w:r>
        <w:rPr>
          <w:rFonts w:ascii="Times New Roman" w:hAnsi="Times New Roman"/>
          <w:noProof/>
          <w:sz w:val="20"/>
        </w:rPr>
        <w:t>Assistants parlementaires</w:t>
      </w:r>
    </w:p>
    <w:p>
      <w:pPr>
        <w:jc w:val="both"/>
        <w:rPr>
          <w:rFonts w:ascii="Times New Roman" w:hAnsi="Times New Roman" w:cs="Times New Roman"/>
          <w:noProof/>
          <w:sz w:val="24"/>
          <w:szCs w:val="24"/>
        </w:rPr>
      </w:pPr>
      <w:r>
        <w:rPr>
          <w:rFonts w:ascii="Times New Roman" w:hAnsi="Times New Roman"/>
          <w:noProof/>
          <w:sz w:val="24"/>
        </w:rPr>
        <w:t>Lorsque le statut des fonctionnaires et le régime applicable aux autres agents ne prévoient pas expressément la possibilité de fixer d’autres règles d’exécution, les institutions en ont adoptées lorsque les dispositions réglementaires doivent être mises en œuvre au moyen de règles plus spécifiques.</w:t>
      </w:r>
    </w:p>
    <w:p>
      <w:pPr>
        <w:jc w:val="both"/>
        <w:rPr>
          <w:rFonts w:ascii="Times New Roman" w:hAnsi="Times New Roman" w:cs="Times New Roman"/>
          <w:noProof/>
          <w:sz w:val="24"/>
          <w:szCs w:val="24"/>
        </w:rPr>
      </w:pPr>
      <w:r>
        <w:rPr>
          <w:rFonts w:ascii="Times New Roman" w:hAnsi="Times New Roman"/>
          <w:noProof/>
          <w:sz w:val="24"/>
        </w:rPr>
        <w:t>Le processus d’adoption de ces autres règles d’exécution dépend de la pratique administrative de l’institution concernée.</w:t>
      </w:r>
    </w:p>
    <w:p>
      <w:pPr>
        <w:rPr>
          <w:noProof/>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b/>
          <w:i/>
          <w:noProof/>
          <w:sz w:val="24"/>
        </w:rPr>
        <w:t>APPLICATION COHÉRENTE DU STATUT</w:t>
      </w: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xml:space="preserve">→ Les institutions disposent d’une certaine autonomie pour appliquer le statut des fonctionnaires et le régime applicable aux autres agents à leur personnel. Cette autonomie est exercée dans le respect du cadre juridique prévu par le statut. </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Le statut prévoit des mécanismes spécifiques pour parvenir à une approche interinstitutionnelle commune chaque fois qu’une telle harmonisation est nécessaire.</w:t>
      </w:r>
    </w:p>
    <w:p>
      <w:pPr>
        <w:rPr>
          <w:noProof/>
        </w:rPr>
      </w:pPr>
      <w:r>
        <w:rPr>
          <w:noProof/>
        </w:rPr>
        <w:br w:type="page"/>
      </w:r>
    </w:p>
    <w:p>
      <w:pPr>
        <w:pStyle w:val="Heading1"/>
        <w:rPr>
          <w:noProof/>
        </w:rPr>
      </w:pPr>
      <w:bookmarkStart w:id="10" w:name="_Toc486939894"/>
      <w:bookmarkStart w:id="11" w:name="_Toc495934030"/>
      <w:r>
        <w:rPr>
          <w:noProof/>
        </w:rPr>
        <w:t>TITRE 2.</w:t>
      </w:r>
      <w:r>
        <w:rPr>
          <w:noProof/>
        </w:rPr>
        <w:tab/>
        <w:t>ÉVALUATION QUANTITATIVE</w:t>
      </w:r>
      <w:bookmarkEnd w:id="10"/>
      <w:bookmarkEnd w:id="11"/>
    </w:p>
    <w:p>
      <w:pPr>
        <w:rPr>
          <w:noProof/>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b/>
          <w:i/>
          <w:noProof/>
          <w:sz w:val="24"/>
        </w:rPr>
        <w:t>TRANSPARENCE</w:t>
      </w:r>
    </w:p>
    <w:p>
      <w:pPr>
        <w:pBdr>
          <w:top w:val="double" w:sz="4" w:space="1" w:color="auto"/>
          <w:left w:val="double" w:sz="4" w:space="4" w:color="auto"/>
          <w:bottom w:val="double" w:sz="4" w:space="7" w:color="auto"/>
          <w:right w:val="double" w:sz="4" w:space="4" w:color="auto"/>
        </w:pBdr>
        <w:rPr>
          <w:rFonts w:cs="Times New Roman"/>
          <w:b/>
          <w:i/>
          <w:noProof/>
          <w:sz w:val="24"/>
          <w:szCs w:val="24"/>
        </w:rPr>
      </w:pPr>
      <w:r>
        <w:rPr>
          <w:b/>
          <w:i/>
          <w:noProof/>
          <w:sz w:val="24"/>
        </w:rPr>
        <w:t>→ Quelles règles ont été adoptées, et pour quelles matières?</w:t>
      </w:r>
    </w:p>
    <w:p>
      <w:pPr>
        <w:pBdr>
          <w:top w:val="double" w:sz="4" w:space="1" w:color="auto"/>
          <w:left w:val="double" w:sz="4" w:space="4" w:color="auto"/>
          <w:bottom w:val="double" w:sz="4" w:space="7" w:color="auto"/>
          <w:right w:val="double" w:sz="4" w:space="4" w:color="auto"/>
        </w:pBdr>
        <w:rPr>
          <w:rFonts w:cs="Times New Roman"/>
          <w:b/>
          <w:i/>
          <w:noProof/>
          <w:sz w:val="24"/>
          <w:szCs w:val="24"/>
        </w:rPr>
      </w:pPr>
      <w:r>
        <w:rPr>
          <w:b/>
          <w:i/>
          <w:noProof/>
          <w:sz w:val="24"/>
        </w:rPr>
        <w:t>→ Quelle est la situation dans les institutions?</w:t>
      </w:r>
    </w:p>
    <w:p>
      <w:pPr>
        <w:pBdr>
          <w:top w:val="double" w:sz="4" w:space="1" w:color="auto"/>
          <w:left w:val="double" w:sz="4" w:space="4" w:color="auto"/>
          <w:bottom w:val="double" w:sz="4" w:space="7" w:color="auto"/>
          <w:right w:val="double" w:sz="4" w:space="4" w:color="auto"/>
        </w:pBdr>
        <w:rPr>
          <w:rFonts w:cs="Times New Roman"/>
          <w:b/>
          <w:i/>
          <w:noProof/>
          <w:sz w:val="24"/>
          <w:szCs w:val="24"/>
        </w:rPr>
      </w:pPr>
      <w:r>
        <w:rPr>
          <w:b/>
          <w:i/>
          <w:noProof/>
          <w:sz w:val="24"/>
        </w:rPr>
        <w:t>→ Quelle est la situation dans les agences?</w:t>
      </w:r>
    </w:p>
    <w:p>
      <w:pPr>
        <w:jc w:val="both"/>
        <w:rPr>
          <w:rFonts w:ascii="Times New Roman" w:hAnsi="Times New Roman" w:cs="Times New Roman"/>
          <w:noProof/>
          <w:sz w:val="24"/>
          <w:szCs w:val="24"/>
        </w:rPr>
      </w:pPr>
    </w:p>
    <w:p>
      <w:pPr>
        <w:pStyle w:val="Heading2"/>
        <w:rPr>
          <w:noProof/>
        </w:rPr>
      </w:pPr>
      <w:bookmarkStart w:id="12" w:name="_Toc486939895"/>
      <w:bookmarkStart w:id="13" w:name="_Toc495934031"/>
      <w:r>
        <w:rPr>
          <w:noProof/>
        </w:rPr>
        <w:t>a)</w:t>
      </w:r>
      <w:r>
        <w:rPr>
          <w:noProof/>
        </w:rPr>
        <w:tab/>
        <w:t>Règles d’exécution dans les institutions</w:t>
      </w:r>
      <w:bookmarkEnd w:id="12"/>
      <w:bookmarkEnd w:id="13"/>
    </w:p>
    <w:p>
      <w:pPr>
        <w:jc w:val="both"/>
        <w:rPr>
          <w:rFonts w:ascii="Times New Roman" w:hAnsi="Times New Roman" w:cs="Times New Roman"/>
          <w:noProof/>
          <w:sz w:val="24"/>
          <w:szCs w:val="24"/>
        </w:rPr>
      </w:pPr>
      <w:r>
        <w:rPr>
          <w:rFonts w:ascii="Times New Roman" w:hAnsi="Times New Roman"/>
          <w:noProof/>
          <w:sz w:val="24"/>
        </w:rPr>
        <w:t>Conformément à l’article 13 du traité sur l’Union européenne et aux articles 1</w:t>
      </w:r>
      <w:r>
        <w:rPr>
          <w:rFonts w:ascii="Times New Roman" w:hAnsi="Times New Roman"/>
          <w:noProof/>
          <w:sz w:val="24"/>
          <w:vertAlign w:val="superscript"/>
        </w:rPr>
        <w:t>er</w:t>
      </w:r>
      <w:r>
        <w:rPr>
          <w:rFonts w:ascii="Times New Roman" w:hAnsi="Times New Roman"/>
          <w:noProof/>
          <w:sz w:val="24"/>
        </w:rPr>
        <w:t>, 1</w:t>
      </w:r>
      <w:r>
        <w:rPr>
          <w:rFonts w:ascii="Times New Roman" w:hAnsi="Times New Roman"/>
          <w:noProof/>
          <w:sz w:val="24"/>
          <w:vertAlign w:val="superscript"/>
        </w:rPr>
        <w:t>er</w:t>
      </w:r>
      <w:r>
        <w:rPr>
          <w:rFonts w:ascii="Times New Roman" w:hAnsi="Times New Roman"/>
          <w:noProof/>
          <w:sz w:val="24"/>
        </w:rPr>
        <w:t> </w:t>
      </w:r>
      <w:r>
        <w:rPr>
          <w:rFonts w:ascii="Times New Roman" w:hAnsi="Times New Roman"/>
          <w:i/>
          <w:noProof/>
          <w:sz w:val="24"/>
        </w:rPr>
        <w:t>bis</w:t>
      </w:r>
      <w:r>
        <w:rPr>
          <w:rFonts w:ascii="Times New Roman" w:hAnsi="Times New Roman"/>
          <w:noProof/>
          <w:sz w:val="24"/>
        </w:rPr>
        <w:t xml:space="preserve"> et 1</w:t>
      </w:r>
      <w:r>
        <w:rPr>
          <w:rFonts w:ascii="Times New Roman" w:hAnsi="Times New Roman"/>
          <w:noProof/>
          <w:sz w:val="24"/>
          <w:vertAlign w:val="superscript"/>
        </w:rPr>
        <w:t>er</w:t>
      </w:r>
      <w:r>
        <w:rPr>
          <w:rFonts w:ascii="Times New Roman" w:hAnsi="Times New Roman"/>
          <w:noProof/>
          <w:sz w:val="24"/>
        </w:rPr>
        <w:t> </w:t>
      </w:r>
      <w:r>
        <w:rPr>
          <w:rFonts w:ascii="Times New Roman" w:hAnsi="Times New Roman"/>
          <w:i/>
          <w:noProof/>
          <w:sz w:val="24"/>
        </w:rPr>
        <w:t>ter</w:t>
      </w:r>
      <w:r>
        <w:rPr>
          <w:rFonts w:ascii="Times New Roman" w:hAnsi="Times New Roman"/>
          <w:noProof/>
          <w:sz w:val="24"/>
        </w:rPr>
        <w:t xml:space="preserve"> du statut, les dix institutions suivantes sont concernées par le présent rapport</w:t>
      </w:r>
      <w:r>
        <w:rPr>
          <w:rStyle w:val="FootnoteReference"/>
          <w:rFonts w:ascii="Times New Roman" w:hAnsi="Times New Roman"/>
          <w:noProof/>
          <w:sz w:val="24"/>
        </w:rPr>
        <w:footnoteReference w:id="9"/>
      </w:r>
      <w:r>
        <w:rPr>
          <w:noProof/>
        </w:rPr>
        <w:t>:</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le Parlement européen (PE),</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le Conseil (C),</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la Commission européenne (COM),</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la Cour de justice de l’Union européenne (CJUE),</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 xml:space="preserve">la Cour des comptes (CCE), </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le Service européen pour l’action extérieure (SEAE),</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le Comité économique et social européen (CESE),</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le Comité des régions (CdR),</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le Médiateur européen (ME), et</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le Contrôleur européen de la protection des données (CEPD).</w:t>
      </w:r>
    </w:p>
    <w:p>
      <w:pPr>
        <w:jc w:val="both"/>
        <w:rPr>
          <w:rFonts w:ascii="Times New Roman" w:hAnsi="Times New Roman" w:cs="Times New Roman"/>
          <w:noProof/>
          <w:sz w:val="24"/>
          <w:szCs w:val="24"/>
        </w:rPr>
      </w:pPr>
      <w:r>
        <w:rPr>
          <w:rFonts w:ascii="Times New Roman" w:hAnsi="Times New Roman"/>
          <w:noProof/>
          <w:sz w:val="24"/>
        </w:rPr>
        <w:t>Aux fins du présent rapport, les neuf autres institutions ont transmis leurs règles d’exécution à la Commission. Parallèlement, la Commission a consulté le registre tenu par la Cour de justice de l’Union européenne.</w:t>
      </w:r>
    </w:p>
    <w:p>
      <w:pPr>
        <w:jc w:val="both"/>
        <w:rPr>
          <w:rFonts w:ascii="Times New Roman" w:hAnsi="Times New Roman" w:cs="Times New Roman"/>
          <w:noProof/>
          <w:sz w:val="24"/>
          <w:szCs w:val="24"/>
        </w:rPr>
      </w:pPr>
      <w:r>
        <w:rPr>
          <w:rFonts w:ascii="Times New Roman" w:hAnsi="Times New Roman"/>
          <w:noProof/>
          <w:sz w:val="24"/>
        </w:rPr>
        <w:t>Sur la base de ces contributions et avec l’accord des institutions concernées, la Commission a élaboré les tableaux suivants qui détaillent la situation dans chacune des dix institutions:</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rPr>
        <w:t xml:space="preserve">une liste des règles arrêtées d’un commun accord entre les institutions </w:t>
      </w:r>
      <w:r>
        <w:rPr>
          <w:rFonts w:ascii="Times New Roman" w:hAnsi="Times New Roman"/>
          <w:b/>
          <w:noProof/>
          <w:sz w:val="24"/>
        </w:rPr>
        <w:t>(annexe I)</w:t>
      </w:r>
      <w:r>
        <w:rPr>
          <w:rFonts w:ascii="Times New Roman" w:hAnsi="Times New Roman"/>
          <w:noProof/>
          <w:sz w:val="24"/>
        </w:rPr>
        <w:t>;</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rPr>
        <w:t xml:space="preserve">dix tableaux dressant la liste des dispositions générales d’exécution et des autres règles d’exécution adoptées respectivement par l’autorité investie du pouvoir de nomination ou l’autorité habilitée à conclure des contrats d’engagement de chaque institution </w:t>
      </w:r>
      <w:r>
        <w:rPr>
          <w:rFonts w:ascii="Times New Roman" w:hAnsi="Times New Roman"/>
          <w:b/>
          <w:noProof/>
          <w:sz w:val="24"/>
        </w:rPr>
        <w:t>(annexes II.1 à II.10)</w:t>
      </w:r>
      <w:r>
        <w:rPr>
          <w:rFonts w:ascii="Times New Roman" w:hAnsi="Times New Roman"/>
          <w:noProof/>
          <w:sz w:val="24"/>
        </w:rPr>
        <w:t>;</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rPr>
        <w:t xml:space="preserve">un tableau général qui présente un résumé comparatif des règles d’exécution du statut des fonctionnaires et du régime applicable aux autres agents de toutes les institutions </w:t>
      </w:r>
      <w:r>
        <w:rPr>
          <w:rFonts w:ascii="Times New Roman" w:hAnsi="Times New Roman"/>
          <w:b/>
          <w:noProof/>
          <w:sz w:val="24"/>
        </w:rPr>
        <w:t>(annexe III)</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Les tableaux ont tous été conçus selon une même méthode:</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rPr>
        <w:t>ils dressent la liste des règles d’exécution qui étaient en vigueur, du moins en partie, pendant la période couverte par le rapport (du 1</w:t>
      </w:r>
      <w:r>
        <w:rPr>
          <w:rFonts w:ascii="Times New Roman" w:hAnsi="Times New Roman"/>
          <w:noProof/>
          <w:sz w:val="24"/>
          <w:vertAlign w:val="superscript"/>
        </w:rPr>
        <w:t>er</w:t>
      </w:r>
      <w:r>
        <w:rPr>
          <w:rFonts w:ascii="Times New Roman" w:hAnsi="Times New Roman"/>
          <w:noProof/>
          <w:sz w:val="24"/>
        </w:rPr>
        <w:t> janvier 2014 au 31 décembre 2016);</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rPr>
        <w:t>ils regroupent les règles d’exécution selon différents thèmes, en suivant la structure du statut des fonctionnaires et du régime applicable aux autres agents;</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rPr>
        <w:t>les règles d’exécution sont accompagnées d’un numéro de référence, de leur date d’entrée en vigueur et, le cas échéant, de leur date d’expiration.</w:t>
      </w:r>
    </w:p>
    <w:p>
      <w:pPr>
        <w:jc w:val="both"/>
        <w:rPr>
          <w:rFonts w:ascii="Times New Roman" w:hAnsi="Times New Roman" w:cs="Times New Roman"/>
          <w:noProof/>
          <w:sz w:val="24"/>
          <w:szCs w:val="24"/>
        </w:rPr>
      </w:pPr>
      <w:r>
        <w:rPr>
          <w:rFonts w:ascii="Times New Roman" w:hAnsi="Times New Roman"/>
          <w:noProof/>
          <w:sz w:val="24"/>
        </w:rPr>
        <w:t>La méthode de comptabilisation suivante a été appliquée:</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rPr>
        <w:t>les règles d’exécution ont été comptabilisées sur la base des listes pour chaque institution (annexes I et II.1 à II.10);</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rPr>
        <w:t>chaque règle d’exécution a été comptabilisée une seule fois, même si elle couvrait plusieurs sujets</w:t>
      </w:r>
      <w:r>
        <w:rPr>
          <w:rStyle w:val="FootnoteReference"/>
          <w:rFonts w:ascii="Times New Roman" w:hAnsi="Times New Roman"/>
          <w:noProof/>
          <w:sz w:val="24"/>
        </w:rPr>
        <w:footnoteReference w:id="10"/>
      </w:r>
      <w:r>
        <w:rPr>
          <w:rFonts w:ascii="Times New Roman" w:hAnsi="Times New Roman"/>
          <w:noProof/>
          <w:sz w:val="24"/>
        </w:rPr>
        <w:t>;</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rPr>
        <w:t>une règle modifiant une règle existante n’était pas comptabilisée séparément;</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rPr>
        <w:t>si une règle d’exécution a été remplacée pendant la période couverte par le rapport, une seule règle a été comptabilisée</w:t>
      </w:r>
      <w:r>
        <w:rPr>
          <w:rStyle w:val="FootnoteReference"/>
          <w:rFonts w:ascii="Times New Roman" w:hAnsi="Times New Roman"/>
          <w:noProof/>
          <w:sz w:val="24"/>
        </w:rPr>
        <w:footnoteReference w:id="11"/>
      </w:r>
      <w:r>
        <w:rPr>
          <w:noProof/>
        </w:rPr>
        <w:t>.</w:t>
      </w:r>
    </w:p>
    <w:p>
      <w:pPr>
        <w:jc w:val="center"/>
        <w:rPr>
          <w:rFonts w:ascii="Times New Roman" w:hAnsi="Times New Roman" w:cs="Times New Roman"/>
          <w:b/>
          <w:noProof/>
          <w:sz w:val="24"/>
          <w:szCs w:val="24"/>
        </w:rPr>
      </w:pPr>
      <w:r>
        <w:rPr>
          <w:rFonts w:ascii="Times New Roman" w:hAnsi="Times New Roman"/>
          <w:b/>
          <w:noProof/>
          <w:sz w:val="24"/>
        </w:rPr>
        <w:t>NOMBRE DE RÈGLES D’EXÉCUTION ADOPTÉES PAR LES INSTITUTIONS</w:t>
      </w:r>
    </w:p>
    <w:tbl>
      <w:tblPr>
        <w:tblStyle w:val="TableGrid"/>
        <w:tblW w:w="0" w:type="auto"/>
        <w:tblLook w:val="04A0" w:firstRow="1" w:lastRow="0" w:firstColumn="1" w:lastColumn="0" w:noHBand="0" w:noVBand="1"/>
      </w:tblPr>
      <w:tblGrid>
        <w:gridCol w:w="790"/>
        <w:gridCol w:w="2234"/>
        <w:gridCol w:w="2524"/>
        <w:gridCol w:w="2075"/>
        <w:gridCol w:w="1665"/>
      </w:tblGrid>
      <w:tr>
        <w:tc>
          <w:tcPr>
            <w:tcW w:w="790" w:type="dxa"/>
          </w:tcPr>
          <w:p>
            <w:pPr>
              <w:jc w:val="center"/>
              <w:rPr>
                <w:rFonts w:ascii="Times New Roman" w:hAnsi="Times New Roman" w:cs="Times New Roman"/>
                <w:b/>
                <w:noProof/>
                <w:sz w:val="20"/>
                <w:szCs w:val="20"/>
              </w:rPr>
            </w:pPr>
          </w:p>
        </w:tc>
        <w:tc>
          <w:tcPr>
            <w:tcW w:w="2234" w:type="dxa"/>
          </w:tcPr>
          <w:p>
            <w:pPr>
              <w:jc w:val="center"/>
              <w:rPr>
                <w:rFonts w:ascii="Times New Roman" w:hAnsi="Times New Roman" w:cs="Times New Roman"/>
                <w:b/>
                <w:noProof/>
                <w:sz w:val="20"/>
                <w:szCs w:val="20"/>
              </w:rPr>
            </w:pPr>
            <w:r>
              <w:rPr>
                <w:rFonts w:ascii="Times New Roman" w:hAnsi="Times New Roman"/>
                <w:b/>
                <w:noProof/>
                <w:sz w:val="20"/>
              </w:rPr>
              <w:t>Règles arrêtées d’un commun accord</w:t>
            </w:r>
          </w:p>
        </w:tc>
        <w:tc>
          <w:tcPr>
            <w:tcW w:w="2524" w:type="dxa"/>
          </w:tcPr>
          <w:p>
            <w:pPr>
              <w:jc w:val="center"/>
              <w:rPr>
                <w:rFonts w:ascii="Times New Roman" w:hAnsi="Times New Roman" w:cs="Times New Roman"/>
                <w:b/>
                <w:noProof/>
                <w:sz w:val="20"/>
                <w:szCs w:val="20"/>
              </w:rPr>
            </w:pPr>
            <w:r>
              <w:rPr>
                <w:rFonts w:ascii="Times New Roman" w:hAnsi="Times New Roman"/>
                <w:b/>
                <w:noProof/>
                <w:sz w:val="20"/>
              </w:rPr>
              <w:t>Dispositions générales d’exécution</w:t>
            </w:r>
          </w:p>
        </w:tc>
        <w:tc>
          <w:tcPr>
            <w:tcW w:w="2075" w:type="dxa"/>
          </w:tcPr>
          <w:p>
            <w:pPr>
              <w:jc w:val="center"/>
              <w:rPr>
                <w:rFonts w:ascii="Times New Roman" w:hAnsi="Times New Roman" w:cs="Times New Roman"/>
                <w:b/>
                <w:noProof/>
                <w:sz w:val="20"/>
                <w:szCs w:val="20"/>
              </w:rPr>
            </w:pPr>
            <w:r>
              <w:rPr>
                <w:rFonts w:ascii="Times New Roman" w:hAnsi="Times New Roman"/>
                <w:b/>
                <w:noProof/>
                <w:sz w:val="20"/>
              </w:rPr>
              <w:t>Autres règles d’exécution</w:t>
            </w:r>
          </w:p>
        </w:tc>
        <w:tc>
          <w:tcPr>
            <w:tcW w:w="1665" w:type="dxa"/>
          </w:tcPr>
          <w:p>
            <w:pPr>
              <w:jc w:val="center"/>
              <w:rPr>
                <w:rFonts w:ascii="Times New Roman" w:hAnsi="Times New Roman" w:cs="Times New Roman"/>
                <w:b/>
                <w:noProof/>
                <w:sz w:val="20"/>
                <w:szCs w:val="20"/>
              </w:rPr>
            </w:pPr>
            <w:r>
              <w:rPr>
                <w:rFonts w:ascii="Times New Roman" w:hAnsi="Times New Roman"/>
                <w:b/>
                <w:noProof/>
                <w:sz w:val="20"/>
              </w:rPr>
              <w:t>Nombre total de décisions</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rPr>
              <w:t>PE</w:t>
            </w:r>
          </w:p>
        </w:tc>
        <w:tc>
          <w:tcPr>
            <w:tcW w:w="2234" w:type="dxa"/>
          </w:tcPr>
          <w:p>
            <w:pPr>
              <w:jc w:val="center"/>
              <w:rPr>
                <w:rFonts w:ascii="Times New Roman" w:hAnsi="Times New Roman" w:cs="Times New Roman"/>
                <w:noProof/>
                <w:sz w:val="20"/>
                <w:szCs w:val="20"/>
              </w:rPr>
            </w:pPr>
            <w:r>
              <w:rPr>
                <w:rFonts w:ascii="Times New Roman" w:hAnsi="Times New Roman"/>
                <w:noProof/>
                <w:sz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17</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28</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55</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rPr>
              <w:t>C</w:t>
            </w:r>
          </w:p>
        </w:tc>
        <w:tc>
          <w:tcPr>
            <w:tcW w:w="2234" w:type="dxa"/>
          </w:tcPr>
          <w:p>
            <w:pPr>
              <w:jc w:val="center"/>
              <w:rPr>
                <w:rFonts w:ascii="Times New Roman" w:hAnsi="Times New Roman" w:cs="Times New Roman"/>
                <w:noProof/>
                <w:sz w:val="20"/>
                <w:szCs w:val="20"/>
              </w:rPr>
            </w:pPr>
            <w:r>
              <w:rPr>
                <w:rFonts w:ascii="Times New Roman" w:hAnsi="Times New Roman"/>
                <w:noProof/>
                <w:sz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15</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23</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48</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rPr>
              <w:t>COM</w:t>
            </w:r>
          </w:p>
        </w:tc>
        <w:tc>
          <w:tcPr>
            <w:tcW w:w="2234" w:type="dxa"/>
          </w:tcPr>
          <w:p>
            <w:pPr>
              <w:jc w:val="center"/>
              <w:rPr>
                <w:rFonts w:ascii="Times New Roman" w:hAnsi="Times New Roman" w:cs="Times New Roman"/>
                <w:noProof/>
                <w:sz w:val="20"/>
                <w:szCs w:val="20"/>
              </w:rPr>
            </w:pPr>
            <w:r>
              <w:rPr>
                <w:rFonts w:ascii="Times New Roman" w:hAnsi="Times New Roman"/>
                <w:noProof/>
                <w:sz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22</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57</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89</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rPr>
              <w:t>CJUE</w:t>
            </w:r>
          </w:p>
        </w:tc>
        <w:tc>
          <w:tcPr>
            <w:tcW w:w="2234" w:type="dxa"/>
          </w:tcPr>
          <w:p>
            <w:pPr>
              <w:jc w:val="center"/>
              <w:rPr>
                <w:rFonts w:ascii="Times New Roman" w:hAnsi="Times New Roman" w:cs="Times New Roman"/>
                <w:noProof/>
                <w:sz w:val="20"/>
                <w:szCs w:val="20"/>
              </w:rPr>
            </w:pPr>
            <w:r>
              <w:rPr>
                <w:rFonts w:ascii="Times New Roman" w:hAnsi="Times New Roman"/>
                <w:noProof/>
                <w:sz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11</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15</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36</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rPr>
              <w:t>CCE</w:t>
            </w:r>
          </w:p>
        </w:tc>
        <w:tc>
          <w:tcPr>
            <w:tcW w:w="2234" w:type="dxa"/>
          </w:tcPr>
          <w:p>
            <w:pPr>
              <w:jc w:val="center"/>
              <w:rPr>
                <w:rFonts w:ascii="Times New Roman" w:hAnsi="Times New Roman" w:cs="Times New Roman"/>
                <w:noProof/>
                <w:sz w:val="20"/>
                <w:szCs w:val="20"/>
              </w:rPr>
            </w:pPr>
            <w:r>
              <w:rPr>
                <w:rFonts w:ascii="Times New Roman" w:hAnsi="Times New Roman"/>
                <w:noProof/>
                <w:sz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10</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23</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43</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rPr>
              <w:t>SEAE</w:t>
            </w:r>
          </w:p>
        </w:tc>
        <w:tc>
          <w:tcPr>
            <w:tcW w:w="2234" w:type="dxa"/>
          </w:tcPr>
          <w:p>
            <w:pPr>
              <w:jc w:val="center"/>
              <w:rPr>
                <w:rFonts w:ascii="Times New Roman" w:hAnsi="Times New Roman" w:cs="Times New Roman"/>
                <w:noProof/>
                <w:sz w:val="20"/>
                <w:szCs w:val="20"/>
              </w:rPr>
            </w:pPr>
            <w:r>
              <w:rPr>
                <w:rFonts w:ascii="Times New Roman" w:hAnsi="Times New Roman"/>
                <w:noProof/>
                <w:sz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23</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38</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71</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rPr>
              <w:t>CESE</w:t>
            </w:r>
          </w:p>
        </w:tc>
        <w:tc>
          <w:tcPr>
            <w:tcW w:w="2234" w:type="dxa"/>
          </w:tcPr>
          <w:p>
            <w:pPr>
              <w:jc w:val="center"/>
              <w:rPr>
                <w:rFonts w:ascii="Times New Roman" w:hAnsi="Times New Roman" w:cs="Times New Roman"/>
                <w:noProof/>
                <w:sz w:val="20"/>
                <w:szCs w:val="20"/>
              </w:rPr>
            </w:pPr>
            <w:r>
              <w:rPr>
                <w:rFonts w:ascii="Times New Roman" w:hAnsi="Times New Roman"/>
                <w:noProof/>
                <w:sz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8</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23</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41</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rPr>
              <w:t>CdR</w:t>
            </w:r>
          </w:p>
        </w:tc>
        <w:tc>
          <w:tcPr>
            <w:tcW w:w="2234" w:type="dxa"/>
          </w:tcPr>
          <w:p>
            <w:pPr>
              <w:jc w:val="center"/>
              <w:rPr>
                <w:rFonts w:ascii="Times New Roman" w:hAnsi="Times New Roman" w:cs="Times New Roman"/>
                <w:noProof/>
                <w:sz w:val="20"/>
                <w:szCs w:val="20"/>
              </w:rPr>
            </w:pPr>
            <w:r>
              <w:rPr>
                <w:rFonts w:ascii="Times New Roman" w:hAnsi="Times New Roman"/>
                <w:noProof/>
                <w:sz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14</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25</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49</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rPr>
              <w:t>ME</w:t>
            </w:r>
          </w:p>
        </w:tc>
        <w:tc>
          <w:tcPr>
            <w:tcW w:w="2234" w:type="dxa"/>
          </w:tcPr>
          <w:p>
            <w:pPr>
              <w:jc w:val="center"/>
              <w:rPr>
                <w:rFonts w:ascii="Times New Roman" w:hAnsi="Times New Roman" w:cs="Times New Roman"/>
                <w:noProof/>
                <w:sz w:val="20"/>
                <w:szCs w:val="20"/>
              </w:rPr>
            </w:pPr>
            <w:r>
              <w:rPr>
                <w:rFonts w:ascii="Times New Roman" w:hAnsi="Times New Roman"/>
                <w:noProof/>
                <w:sz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15</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9</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34</w:t>
            </w:r>
          </w:p>
        </w:tc>
      </w:tr>
      <w:tr>
        <w:tc>
          <w:tcPr>
            <w:tcW w:w="790" w:type="dxa"/>
            <w:tcBorders>
              <w:bottom w:val="single" w:sz="4" w:space="0" w:color="auto"/>
            </w:tcBorders>
          </w:tcPr>
          <w:p>
            <w:pPr>
              <w:jc w:val="center"/>
              <w:rPr>
                <w:rFonts w:ascii="Times New Roman" w:hAnsi="Times New Roman" w:cs="Times New Roman"/>
                <w:b/>
                <w:noProof/>
                <w:sz w:val="20"/>
                <w:szCs w:val="20"/>
              </w:rPr>
            </w:pPr>
            <w:r>
              <w:rPr>
                <w:rFonts w:ascii="Times New Roman" w:hAnsi="Times New Roman"/>
                <w:b/>
                <w:noProof/>
                <w:sz w:val="20"/>
              </w:rPr>
              <w:t>CEPD</w:t>
            </w:r>
          </w:p>
        </w:tc>
        <w:tc>
          <w:tcPr>
            <w:tcW w:w="2234" w:type="dxa"/>
            <w:tcBorders>
              <w:bottom w:val="single" w:sz="4" w:space="0" w:color="auto"/>
            </w:tcBorders>
          </w:tcPr>
          <w:p>
            <w:pPr>
              <w:jc w:val="center"/>
              <w:rPr>
                <w:rFonts w:ascii="Times New Roman" w:hAnsi="Times New Roman" w:cs="Times New Roman"/>
                <w:noProof/>
                <w:sz w:val="20"/>
                <w:szCs w:val="20"/>
              </w:rPr>
            </w:pPr>
            <w:r>
              <w:rPr>
                <w:rFonts w:ascii="Times New Roman" w:hAnsi="Times New Roman"/>
                <w:noProof/>
                <w:sz w:val="20"/>
              </w:rPr>
              <w:t>10</w:t>
            </w:r>
          </w:p>
        </w:tc>
        <w:tc>
          <w:tcPr>
            <w:tcW w:w="2524" w:type="dxa"/>
            <w:tcBorders>
              <w:bottom w:val="single" w:sz="4" w:space="0" w:color="auto"/>
            </w:tcBorders>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16</w:t>
            </w:r>
          </w:p>
        </w:tc>
        <w:tc>
          <w:tcPr>
            <w:tcW w:w="2075" w:type="dxa"/>
            <w:tcBorders>
              <w:bottom w:val="single" w:sz="4" w:space="0" w:color="auto"/>
            </w:tcBorders>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11</w:t>
            </w:r>
          </w:p>
        </w:tc>
        <w:tc>
          <w:tcPr>
            <w:tcW w:w="1665" w:type="dxa"/>
            <w:tcBorders>
              <w:bottom w:val="single" w:sz="4" w:space="0" w:color="auto"/>
            </w:tcBorders>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rPr>
              <w:t>37</w:t>
            </w:r>
          </w:p>
        </w:tc>
      </w:tr>
      <w:tr>
        <w:tc>
          <w:tcPr>
            <w:tcW w:w="790" w:type="dxa"/>
            <w:tcBorders>
              <w:left w:val="nil"/>
              <w:right w:val="nil"/>
            </w:tcBorders>
          </w:tcPr>
          <w:p>
            <w:pPr>
              <w:jc w:val="center"/>
              <w:rPr>
                <w:rFonts w:ascii="Times New Roman" w:hAnsi="Times New Roman" w:cs="Times New Roman"/>
                <w:b/>
                <w:noProof/>
                <w:sz w:val="20"/>
                <w:szCs w:val="20"/>
              </w:rPr>
            </w:pPr>
          </w:p>
        </w:tc>
        <w:tc>
          <w:tcPr>
            <w:tcW w:w="2234" w:type="dxa"/>
            <w:tcBorders>
              <w:left w:val="nil"/>
              <w:right w:val="nil"/>
            </w:tcBorders>
          </w:tcPr>
          <w:p>
            <w:pPr>
              <w:jc w:val="center"/>
              <w:rPr>
                <w:rFonts w:ascii="Times New Roman" w:hAnsi="Times New Roman" w:cs="Times New Roman"/>
                <w:b/>
                <w:noProof/>
                <w:sz w:val="20"/>
                <w:szCs w:val="20"/>
              </w:rPr>
            </w:pPr>
          </w:p>
        </w:tc>
        <w:tc>
          <w:tcPr>
            <w:tcW w:w="2524" w:type="dxa"/>
            <w:tcBorders>
              <w:left w:val="nil"/>
              <w:right w:val="nil"/>
            </w:tcBorders>
          </w:tcPr>
          <w:p>
            <w:pPr>
              <w:jc w:val="center"/>
              <w:rPr>
                <w:rFonts w:ascii="Times New Roman" w:hAnsi="Times New Roman" w:cs="Times New Roman"/>
                <w:b/>
                <w:noProof/>
                <w:sz w:val="20"/>
                <w:szCs w:val="20"/>
              </w:rPr>
            </w:pPr>
          </w:p>
        </w:tc>
        <w:tc>
          <w:tcPr>
            <w:tcW w:w="2075" w:type="dxa"/>
            <w:tcBorders>
              <w:left w:val="nil"/>
              <w:right w:val="nil"/>
            </w:tcBorders>
          </w:tcPr>
          <w:p>
            <w:pPr>
              <w:jc w:val="center"/>
              <w:rPr>
                <w:rFonts w:ascii="Times New Roman" w:hAnsi="Times New Roman" w:cs="Times New Roman"/>
                <w:b/>
                <w:noProof/>
                <w:sz w:val="20"/>
                <w:szCs w:val="20"/>
              </w:rPr>
            </w:pPr>
          </w:p>
        </w:tc>
        <w:tc>
          <w:tcPr>
            <w:tcW w:w="1665" w:type="dxa"/>
            <w:tcBorders>
              <w:left w:val="nil"/>
              <w:right w:val="nil"/>
            </w:tcBorders>
          </w:tcPr>
          <w:p>
            <w:pPr>
              <w:jc w:val="center"/>
              <w:rPr>
                <w:rFonts w:ascii="Times New Roman" w:hAnsi="Times New Roman" w:cs="Times New Roman"/>
                <w:b/>
                <w:noProof/>
                <w:sz w:val="20"/>
                <w:szCs w:val="20"/>
              </w:rPr>
            </w:pP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rPr>
              <w:t>Total</w:t>
            </w:r>
          </w:p>
        </w:tc>
        <w:tc>
          <w:tcPr>
            <w:tcW w:w="2234" w:type="dxa"/>
          </w:tcPr>
          <w:p>
            <w:pPr>
              <w:jc w:val="center"/>
              <w:rPr>
                <w:rFonts w:ascii="Times New Roman" w:hAnsi="Times New Roman" w:cs="Times New Roman"/>
                <w:b/>
                <w:noProof/>
                <w:sz w:val="20"/>
                <w:szCs w:val="20"/>
              </w:rPr>
            </w:pPr>
            <w:r>
              <w:rPr>
                <w:rFonts w:ascii="Times New Roman" w:hAnsi="Times New Roman"/>
                <w:b/>
                <w:noProof/>
                <w:sz w:val="20"/>
              </w:rPr>
              <w:t>100</w:t>
            </w:r>
          </w:p>
        </w:tc>
        <w:tc>
          <w:tcPr>
            <w:tcW w:w="2524" w:type="dxa"/>
          </w:tcPr>
          <w:p>
            <w:pPr>
              <w:jc w:val="center"/>
              <w:rPr>
                <w:rFonts w:ascii="Times New Roman" w:hAnsi="Times New Roman" w:cs="Times New Roman"/>
                <w:b/>
                <w:noProof/>
                <w:sz w:val="20"/>
                <w:szCs w:val="20"/>
              </w:rPr>
            </w:pPr>
            <w:r>
              <w:rPr>
                <w:rFonts w:ascii="Times New Roman" w:hAnsi="Times New Roman"/>
                <w:b/>
                <w:noProof/>
                <w:sz w:val="20"/>
              </w:rPr>
              <w:t>151</w:t>
            </w:r>
          </w:p>
        </w:tc>
        <w:tc>
          <w:tcPr>
            <w:tcW w:w="2075" w:type="dxa"/>
          </w:tcPr>
          <w:p>
            <w:pPr>
              <w:jc w:val="center"/>
              <w:rPr>
                <w:rFonts w:ascii="Times New Roman" w:hAnsi="Times New Roman" w:cs="Times New Roman"/>
                <w:b/>
                <w:noProof/>
                <w:sz w:val="20"/>
                <w:szCs w:val="20"/>
              </w:rPr>
            </w:pPr>
            <w:r>
              <w:rPr>
                <w:rFonts w:ascii="Times New Roman" w:hAnsi="Times New Roman"/>
                <w:b/>
                <w:noProof/>
                <w:sz w:val="20"/>
              </w:rPr>
              <w:t>252</w:t>
            </w:r>
          </w:p>
        </w:tc>
        <w:tc>
          <w:tcPr>
            <w:tcW w:w="1665" w:type="dxa"/>
          </w:tcPr>
          <w:p>
            <w:pPr>
              <w:jc w:val="center"/>
              <w:rPr>
                <w:rFonts w:ascii="Times New Roman" w:hAnsi="Times New Roman" w:cs="Times New Roman"/>
                <w:b/>
                <w:noProof/>
                <w:sz w:val="20"/>
                <w:szCs w:val="20"/>
              </w:rPr>
            </w:pPr>
            <w:r>
              <w:rPr>
                <w:rFonts w:ascii="Times New Roman" w:hAnsi="Times New Roman"/>
                <w:b/>
                <w:noProof/>
                <w:sz w:val="20"/>
              </w:rPr>
              <w:t>503</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Les chiffres indiqués ci-dessus révèlent une différence de densité de réglementation entre les institutions. Ce phénomène peut s’expliquer par différentes raisons.</w:t>
      </w:r>
    </w:p>
    <w:p>
      <w:pPr>
        <w:jc w:val="both"/>
        <w:rPr>
          <w:rFonts w:ascii="Times New Roman" w:hAnsi="Times New Roman" w:cs="Times New Roman"/>
          <w:noProof/>
          <w:sz w:val="24"/>
          <w:szCs w:val="24"/>
        </w:rPr>
      </w:pPr>
      <w:r>
        <w:rPr>
          <w:rFonts w:ascii="Times New Roman" w:hAnsi="Times New Roman"/>
          <w:noProof/>
          <w:sz w:val="24"/>
        </w:rPr>
        <w:t>Comme les traités de l’Union européenne prévoient l’autonomie de chaque institution dans l’accomplissement de ses missions (voir article 13 du traité sur l’Union européenne et article 298 du traité sur le fonctionnement de l’Union européenne), différentes traditions se sont développées au sein de chaque institution concernant l’adoption de règles d’exécution.</w:t>
      </w:r>
    </w:p>
    <w:p>
      <w:pPr>
        <w:jc w:val="both"/>
        <w:rPr>
          <w:rFonts w:ascii="Times New Roman" w:hAnsi="Times New Roman" w:cs="Times New Roman"/>
          <w:noProof/>
          <w:sz w:val="24"/>
          <w:szCs w:val="24"/>
        </w:rPr>
      </w:pPr>
      <w:r>
        <w:rPr>
          <w:rFonts w:ascii="Times New Roman" w:hAnsi="Times New Roman"/>
          <w:noProof/>
          <w:sz w:val="24"/>
        </w:rPr>
        <w:t>Certains sujets moins importants pour certaines institutions ont donné lieu à l’adoption de règles d’exécution dans d’autres institutions. On peut citer, à titre d’exemple, le pouvoir conféré par l’article 1</w:t>
      </w:r>
      <w:r>
        <w:rPr>
          <w:rFonts w:ascii="Times New Roman" w:hAnsi="Times New Roman"/>
          <w:noProof/>
          <w:sz w:val="24"/>
          <w:vertAlign w:val="superscript"/>
        </w:rPr>
        <w:t>er</w:t>
      </w:r>
      <w:r>
        <w:rPr>
          <w:rFonts w:ascii="Times New Roman" w:hAnsi="Times New Roman"/>
          <w:noProof/>
          <w:sz w:val="24"/>
        </w:rPr>
        <w:t>, troisième alinéa, de l’annexe X du statut pour adopter des dispositions générales d’exécution concernant les fonctionnaires affectés dans un pays tiers (qui a été utilisé par la Commission européenne et le Service européen pour l’action extérieure, mais pas par les autres institutions).</w:t>
      </w:r>
    </w:p>
    <w:p>
      <w:pPr>
        <w:jc w:val="both"/>
        <w:rPr>
          <w:rFonts w:ascii="Times New Roman" w:hAnsi="Times New Roman" w:cs="Times New Roman"/>
          <w:noProof/>
          <w:sz w:val="24"/>
          <w:szCs w:val="24"/>
        </w:rPr>
      </w:pPr>
      <w:r>
        <w:rPr>
          <w:rFonts w:ascii="Times New Roman" w:hAnsi="Times New Roman"/>
          <w:noProof/>
          <w:sz w:val="24"/>
        </w:rPr>
        <w:t>De même, le statut des fonctionnaires et le régime applicable aux autres agents prévoient des pouvoirs sélectifs qui ne s’appliquent qu’à une seule institution. C’est le cas de l’article 72, paragraphe 1, troisième alinéa, du statut des fonctionnaires, qui prévoit que les autorités investies du pouvoir de nomination des institutions peuvent confier à l’une d’entre elles l’exercice du pouvoir de fixer les règles régissant le remboursement des frais médicaux (pouvoir qui a finalement été confié à la Commission), et de l’article 125, paragraphe 1, du régime applicable aux autres agents, qui habilite le Parlement européen à adopter, par une décision interne, des mesures d’application aux fins de l’application des dispositions relatives aux assistants parlementaires.</w:t>
      </w:r>
    </w:p>
    <w:p>
      <w:pPr>
        <w:jc w:val="both"/>
        <w:rPr>
          <w:rFonts w:ascii="Times New Roman" w:hAnsi="Times New Roman" w:cs="Times New Roman"/>
          <w:noProof/>
          <w:sz w:val="24"/>
          <w:szCs w:val="24"/>
        </w:rPr>
      </w:pPr>
      <w:r>
        <w:rPr>
          <w:rFonts w:ascii="Times New Roman" w:hAnsi="Times New Roman"/>
          <w:noProof/>
          <w:sz w:val="24"/>
        </w:rPr>
        <w:t>Parfois, des techniques législatives différentes mènent à des résultats quantitatifs différents. Ainsi, une institution peut réglementer plusieurs sujets connexes au moyen d’une seule règle d’exécution, tandis qu’une autre institution peut adopter plusieurs règles pour ces sujets</w:t>
      </w:r>
      <w:r>
        <w:rPr>
          <w:rStyle w:val="FootnoteReference"/>
          <w:rFonts w:ascii="Times New Roman" w:hAnsi="Times New Roman"/>
          <w:noProof/>
          <w:sz w:val="24"/>
        </w:rPr>
        <w:footnoteReference w:id="12"/>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Dans le même ordre d’idées, il existe entre les institutions des différences au niveau de la nomenclature juridique. En ce qui concerne, par exemple, les règles relatives au congé parental, sept institutions ont adopté des dispositions générales d’exécution, tandis que trois ont choisi d’arrêter d’autres règles d’exécution.</w:t>
      </w:r>
    </w:p>
    <w:p>
      <w:pPr>
        <w:pStyle w:val="Heading2"/>
        <w:rPr>
          <w:noProof/>
        </w:rPr>
      </w:pPr>
      <w:bookmarkStart w:id="14" w:name="_Toc486939896"/>
      <w:bookmarkStart w:id="15" w:name="_Toc495934032"/>
      <w:r>
        <w:rPr>
          <w:noProof/>
        </w:rPr>
        <w:t>b)</w:t>
      </w:r>
      <w:r>
        <w:rPr>
          <w:noProof/>
        </w:rPr>
        <w:tab/>
        <w:t>Règles d’exécution dans les agences</w:t>
      </w:r>
      <w:bookmarkEnd w:id="14"/>
      <w:bookmarkEnd w:id="15"/>
    </w:p>
    <w:p>
      <w:pPr>
        <w:jc w:val="both"/>
        <w:rPr>
          <w:rFonts w:ascii="Times New Roman" w:hAnsi="Times New Roman" w:cs="Times New Roman"/>
          <w:noProof/>
          <w:sz w:val="24"/>
          <w:szCs w:val="24"/>
        </w:rPr>
      </w:pPr>
      <w:r>
        <w:rPr>
          <w:rFonts w:ascii="Times New Roman" w:hAnsi="Times New Roman"/>
          <w:noProof/>
          <w:sz w:val="24"/>
        </w:rPr>
        <w:t>Le présent rapport donne également des informations sur les règles d’exécution adoptées par les agences qui étaient en vigueur au 31 décembre 2016.</w:t>
      </w:r>
    </w:p>
    <w:p>
      <w:pPr>
        <w:jc w:val="both"/>
        <w:rPr>
          <w:rFonts w:ascii="Times New Roman" w:hAnsi="Times New Roman" w:cs="Times New Roman"/>
          <w:noProof/>
          <w:sz w:val="24"/>
          <w:szCs w:val="24"/>
        </w:rPr>
      </w:pPr>
      <w:r>
        <w:rPr>
          <w:rFonts w:ascii="Times New Roman" w:hAnsi="Times New Roman"/>
          <w:noProof/>
          <w:sz w:val="24"/>
        </w:rPr>
        <w:t>Elles concernent les 48 agences suivantes au sens de l’article 1</w:t>
      </w:r>
      <w:r>
        <w:rPr>
          <w:rFonts w:ascii="Times New Roman" w:hAnsi="Times New Roman"/>
          <w:noProof/>
          <w:sz w:val="24"/>
          <w:vertAlign w:val="superscript"/>
        </w:rPr>
        <w:t>er</w:t>
      </w:r>
      <w:r>
        <w:rPr>
          <w:rFonts w:ascii="Times New Roman" w:hAnsi="Times New Roman"/>
          <w:noProof/>
          <w:sz w:val="24"/>
        </w:rPr>
        <w:t> </w:t>
      </w:r>
      <w:r>
        <w:rPr>
          <w:rFonts w:ascii="Times New Roman" w:hAnsi="Times New Roman"/>
          <w:i/>
          <w:noProof/>
          <w:sz w:val="24"/>
        </w:rPr>
        <w:t>bis</w:t>
      </w:r>
      <w:r>
        <w:rPr>
          <w:rFonts w:ascii="Times New Roman" w:hAnsi="Times New Roman"/>
          <w:noProof/>
          <w:sz w:val="24"/>
        </w:rPr>
        <w:t xml:space="preserve">, paragraphe 2, du statut: </w:t>
      </w:r>
    </w:p>
    <w:p>
      <w:pPr>
        <w:pStyle w:val="ListParagraph"/>
        <w:numPr>
          <w:ilvl w:val="0"/>
          <w:numId w:val="32"/>
        </w:numPr>
        <w:jc w:val="both"/>
        <w:rPr>
          <w:rFonts w:ascii="Times New Roman" w:hAnsi="Times New Roman" w:cs="Times New Roman"/>
          <w:noProof/>
          <w:sz w:val="24"/>
          <w:szCs w:val="24"/>
        </w:rPr>
      </w:pPr>
      <w:r>
        <w:rPr>
          <w:rFonts w:ascii="Times New Roman" w:hAnsi="Times New Roman"/>
          <w:noProof/>
          <w:sz w:val="24"/>
        </w:rPr>
        <w:t xml:space="preserve">6 agences exécutives; </w:t>
      </w:r>
    </w:p>
    <w:p>
      <w:pPr>
        <w:pStyle w:val="ListParagraph"/>
        <w:numPr>
          <w:ilvl w:val="0"/>
          <w:numId w:val="32"/>
        </w:numPr>
        <w:jc w:val="both"/>
        <w:rPr>
          <w:rFonts w:ascii="Times New Roman" w:hAnsi="Times New Roman" w:cs="Times New Roman"/>
          <w:noProof/>
          <w:sz w:val="24"/>
          <w:szCs w:val="24"/>
        </w:rPr>
      </w:pPr>
      <w:r>
        <w:rPr>
          <w:rFonts w:ascii="Times New Roman" w:hAnsi="Times New Roman"/>
          <w:noProof/>
          <w:sz w:val="24"/>
        </w:rPr>
        <w:t xml:space="preserve">34 agences décentralisées; et </w:t>
      </w:r>
    </w:p>
    <w:p>
      <w:pPr>
        <w:pStyle w:val="ListParagraph"/>
        <w:numPr>
          <w:ilvl w:val="0"/>
          <w:numId w:val="32"/>
        </w:numPr>
        <w:jc w:val="both"/>
        <w:rPr>
          <w:rFonts w:ascii="Times New Roman" w:hAnsi="Times New Roman" w:cs="Times New Roman"/>
          <w:noProof/>
          <w:sz w:val="24"/>
          <w:szCs w:val="24"/>
        </w:rPr>
      </w:pPr>
      <w:r>
        <w:rPr>
          <w:rFonts w:ascii="Times New Roman" w:hAnsi="Times New Roman"/>
          <w:noProof/>
          <w:sz w:val="24"/>
        </w:rPr>
        <w:t>8 entreprises communes.</w:t>
      </w:r>
    </w:p>
    <w:p>
      <w:pPr>
        <w:pStyle w:val="Heading3"/>
        <w:rPr>
          <w:noProof/>
        </w:rPr>
      </w:pPr>
      <w:bookmarkStart w:id="16" w:name="_Toc486939897"/>
      <w:bookmarkStart w:id="17" w:name="_Toc495934033"/>
      <w:r>
        <w:rPr>
          <w:noProof/>
        </w:rPr>
        <w:t>1)</w:t>
      </w:r>
      <w:r>
        <w:rPr>
          <w:noProof/>
        </w:rPr>
        <w:tab/>
        <w:t>La situation avant la réforme du statut opérée en 2014</w:t>
      </w:r>
      <w:bookmarkEnd w:id="16"/>
      <w:bookmarkEnd w:id="17"/>
    </w:p>
    <w:p>
      <w:pPr>
        <w:jc w:val="both"/>
        <w:rPr>
          <w:rFonts w:ascii="Times New Roman" w:hAnsi="Times New Roman" w:cs="Times New Roman"/>
          <w:noProof/>
          <w:sz w:val="24"/>
          <w:szCs w:val="24"/>
        </w:rPr>
      </w:pPr>
      <w:r>
        <w:rPr>
          <w:rFonts w:ascii="Times New Roman" w:hAnsi="Times New Roman"/>
          <w:noProof/>
          <w:sz w:val="24"/>
        </w:rPr>
        <w:t>L’article 110, paragraphe 1, du statut dans sa version antérieure à l’entrée en vigueur de la réforme de 2014 disposait que les agences arrêtent, après consultation de leur comité du personnel respectif et en accord avec la Commission, les modalités qui conviennent pour assurer la mise en œuvre du statut.</w:t>
      </w:r>
    </w:p>
    <w:p>
      <w:pPr>
        <w:pStyle w:val="Heading3"/>
        <w:rPr>
          <w:noProof/>
        </w:rPr>
      </w:pPr>
      <w:bookmarkStart w:id="18" w:name="_Toc486939898"/>
      <w:r>
        <w:rPr>
          <w:noProof/>
        </w:rPr>
        <w:t xml:space="preserve"> </w:t>
      </w:r>
      <w:bookmarkStart w:id="19" w:name="_Toc495934034"/>
      <w:r>
        <w:rPr>
          <w:noProof/>
        </w:rPr>
        <w:t>2)</w:t>
      </w:r>
      <w:r>
        <w:rPr>
          <w:noProof/>
        </w:rPr>
        <w:tab/>
        <w:t>La situation après la réforme du statut opérée en 2014</w:t>
      </w:r>
      <w:bookmarkEnd w:id="18"/>
      <w:bookmarkEnd w:id="19"/>
    </w:p>
    <w:p>
      <w:pPr>
        <w:jc w:val="both"/>
        <w:rPr>
          <w:rFonts w:ascii="Times New Roman" w:hAnsi="Times New Roman" w:cs="Times New Roman"/>
          <w:noProof/>
          <w:sz w:val="24"/>
          <w:szCs w:val="24"/>
        </w:rPr>
      </w:pPr>
      <w:r>
        <w:rPr>
          <w:rFonts w:ascii="Times New Roman" w:hAnsi="Times New Roman"/>
          <w:noProof/>
          <w:sz w:val="24"/>
        </w:rPr>
        <w:t>La réforme de 2014 a instauré un nouveau cadre pour l’adoption des règles d’exécution du statut par les agences.</w:t>
      </w:r>
    </w:p>
    <w:p>
      <w:pPr>
        <w:jc w:val="both"/>
        <w:rPr>
          <w:rFonts w:ascii="Times New Roman" w:hAnsi="Times New Roman" w:cs="Times New Roman"/>
          <w:noProof/>
          <w:sz w:val="24"/>
          <w:szCs w:val="24"/>
        </w:rPr>
      </w:pPr>
      <w:r>
        <w:rPr>
          <w:rFonts w:ascii="Times New Roman" w:hAnsi="Times New Roman"/>
          <w:noProof/>
          <w:sz w:val="24"/>
        </w:rPr>
        <w:t>L’article 110, paragraphe 2, du statut a introduit le principe général selon lequel les règles d’exécution qui sont adoptées par la Commission s’appliquent par analogie aux agences. À cette fin, la Commission informe les agences de toute règle d’exécution sans tarder après son adoption.</w:t>
      </w:r>
    </w:p>
    <w:p>
      <w:pPr>
        <w:jc w:val="both"/>
        <w:rPr>
          <w:rFonts w:ascii="Times New Roman" w:hAnsi="Times New Roman" w:cs="Times New Roman"/>
          <w:noProof/>
          <w:sz w:val="24"/>
          <w:szCs w:val="24"/>
        </w:rPr>
      </w:pPr>
      <w:r>
        <w:rPr>
          <w:rFonts w:ascii="Times New Roman" w:hAnsi="Times New Roman"/>
          <w:noProof/>
          <w:sz w:val="24"/>
        </w:rPr>
        <w:t>La Commission n’a pas informé les agences de ses règles qui étaient entrées en vigueur avant la réforme du statut de 2014. Le principe d’analogie ne s’applique qu’à l’égard des règles d’exécution de la Commission que celle-ci a communiquées aux agences.</w:t>
      </w:r>
    </w:p>
    <w:p>
      <w:pPr>
        <w:jc w:val="both"/>
        <w:rPr>
          <w:rFonts w:ascii="Times New Roman" w:hAnsi="Times New Roman" w:cs="Times New Roman"/>
          <w:noProof/>
          <w:sz w:val="24"/>
          <w:szCs w:val="24"/>
        </w:rPr>
      </w:pPr>
      <w:r>
        <w:rPr>
          <w:rFonts w:ascii="Times New Roman" w:hAnsi="Times New Roman"/>
          <w:noProof/>
          <w:sz w:val="24"/>
        </w:rPr>
        <w:t>Par dérogation au principe d’analogie, une agence peut décider, après consultation de son comité du personnel et après avoir reçu l’accord de la Commission, d’adopter des décisions individuelles en:</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rPr>
        <w:t>n’appliquant pas certaines règles de la Commission (</w:t>
      </w:r>
      <w:r>
        <w:rPr>
          <w:rFonts w:ascii="Times New Roman" w:hAnsi="Times New Roman"/>
          <w:i/>
          <w:noProof/>
          <w:sz w:val="24"/>
        </w:rPr>
        <w:t>opt-out</w:t>
      </w:r>
      <w:r>
        <w:rPr>
          <w:rFonts w:ascii="Times New Roman" w:hAnsi="Times New Roman"/>
          <w:noProof/>
          <w:sz w:val="24"/>
        </w:rPr>
        <w:t>);</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rPr>
        <w:t>adoptant des règles qui diffèrent de celles de la Commission;</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rPr>
        <w:t>adoptant des règles qui concernent d’autres sujets que ceux couverts par les règles adoptées par la Commission.</w:t>
      </w:r>
    </w:p>
    <w:p>
      <w:pPr>
        <w:jc w:val="both"/>
        <w:rPr>
          <w:rFonts w:ascii="Times New Roman" w:hAnsi="Times New Roman" w:cs="Times New Roman"/>
          <w:noProof/>
          <w:sz w:val="24"/>
          <w:szCs w:val="24"/>
        </w:rPr>
      </w:pPr>
      <w:r>
        <w:rPr>
          <w:rFonts w:ascii="Times New Roman" w:hAnsi="Times New Roman"/>
          <w:noProof/>
          <w:sz w:val="24"/>
        </w:rPr>
        <w:t>La Commission a aussi élaboré un mécanisme lui permettant de communiquer son accord horizontal sur ces décisions individuelles aux agences sans que ces dernières ne soient tenues de lui soumettre une demande formelle (accord ex ante)</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w:t>
      </w:r>
    </w:p>
    <w:p>
      <w:pPr>
        <w:jc w:val="both"/>
        <w:rPr>
          <w:rFonts w:ascii="Times New Roman" w:hAnsi="Times New Roman" w:cs="Times New Roman"/>
          <w:noProof/>
          <w:sz w:val="18"/>
          <w:szCs w:val="18"/>
        </w:rPr>
      </w:pPr>
      <w:r>
        <w:rPr>
          <w:rFonts w:ascii="Times New Roman" w:hAnsi="Times New Roman"/>
          <w:noProof/>
          <w:sz w:val="24"/>
        </w:rPr>
        <w:t>Sur la base des contributions des agences, la Commission a élaboré un tableau général résumant le nombre et le type de règles d’exécution qui étaient applicables dans les agences au 31 décembre 2016.</w:t>
      </w:r>
    </w:p>
    <w:p>
      <w:pPr>
        <w:jc w:val="both"/>
        <w:rPr>
          <w:rFonts w:ascii="Times New Roman" w:hAnsi="Times New Roman" w:cs="Times New Roman"/>
          <w:noProof/>
          <w:sz w:val="24"/>
          <w:szCs w:val="24"/>
        </w:rPr>
      </w:pPr>
      <w:r>
        <w:rPr>
          <w:rFonts w:ascii="Times New Roman" w:hAnsi="Times New Roman"/>
          <w:noProof/>
          <w:sz w:val="24"/>
        </w:rPr>
        <w:t>Ce tableau est reproduit à l’</w:t>
      </w:r>
      <w:r>
        <w:rPr>
          <w:rFonts w:ascii="Times New Roman" w:hAnsi="Times New Roman"/>
          <w:b/>
          <w:i/>
          <w:noProof/>
          <w:sz w:val="24"/>
        </w:rPr>
        <w:t>annexe IV</w:t>
      </w:r>
      <w:r>
        <w:rPr>
          <w:rFonts w:ascii="Times New Roman" w:hAnsi="Times New Roman"/>
          <w:noProof/>
          <w:sz w:val="24"/>
        </w:rPr>
        <w:t xml:space="preserve"> du présent rapport.</w:t>
      </w:r>
    </w:p>
    <w:p>
      <w:pPr>
        <w:jc w:val="both"/>
        <w:rPr>
          <w:rFonts w:ascii="Times New Roman" w:hAnsi="Times New Roman" w:cs="Times New Roman"/>
          <w:noProof/>
          <w:sz w:val="24"/>
          <w:szCs w:val="24"/>
        </w:rPr>
      </w:pPr>
      <w:r>
        <w:rPr>
          <w:rFonts w:ascii="Times New Roman" w:hAnsi="Times New Roman"/>
          <w:noProof/>
          <w:sz w:val="24"/>
        </w:rPr>
        <w:t>Il a été conçu selon la méthode suivante:</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rPr>
        <w:t>il concerne les règles d’exécution des agences qui étaient en vigueur au 31 décembre 2016;</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rPr>
        <w:t>il suit la structure du statut des fonctionnaires et du régime applicable aux autres agents afin de faciliter le recensement des différents sujets pour lesquels les agences ont adopté des règles d’exécution;</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rPr>
        <w:t>pour chaque sujet, le tableau opère une distinction entre plusieurs cas de figure différents dans lesquels les agences ont adopté leurs règles.</w:t>
      </w:r>
    </w:p>
    <w:p>
      <w:pPr>
        <w:jc w:val="both"/>
        <w:rPr>
          <w:rFonts w:ascii="Times New Roman" w:hAnsi="Times New Roman" w:cs="Times New Roman"/>
          <w:noProof/>
          <w:sz w:val="24"/>
          <w:szCs w:val="24"/>
        </w:rPr>
      </w:pPr>
      <w:r>
        <w:rPr>
          <w:rFonts w:ascii="Times New Roman" w:hAnsi="Times New Roman"/>
          <w:noProof/>
          <w:sz w:val="24"/>
        </w:rPr>
        <w:t>Ce tableau montre en particulier la manière dont les mécanismes introduits depuis 2014 ont fonctionné dans la pratique.</w:t>
      </w:r>
    </w:p>
    <w:p>
      <w:pPr>
        <w:jc w:val="center"/>
        <w:rPr>
          <w:rFonts w:ascii="Times New Roman" w:hAnsi="Times New Roman" w:cs="Times New Roman"/>
          <w:noProof/>
          <w:sz w:val="24"/>
          <w:szCs w:val="24"/>
        </w:rPr>
      </w:pPr>
      <w:r>
        <w:rPr>
          <w:rFonts w:ascii="Times New Roman" w:hAnsi="Times New Roman"/>
          <w:b/>
          <w:noProof/>
          <w:sz w:val="24"/>
        </w:rPr>
        <w:t xml:space="preserve">EFFETS DES MÉCANISMES INTRODUITS DEPUIS 2014 </w:t>
      </w:r>
      <w:r>
        <w:rPr>
          <w:rFonts w:ascii="Times New Roman" w:hAnsi="Times New Roman" w:cs="Times New Roman"/>
          <w:b/>
          <w:noProof/>
          <w:sz w:val="24"/>
          <w:szCs w:val="24"/>
        </w:rPr>
        <w:br/>
      </w:r>
    </w:p>
    <w:tbl>
      <w:tblPr>
        <w:tblStyle w:val="TableGrid"/>
        <w:tblW w:w="0" w:type="auto"/>
        <w:tblInd w:w="534" w:type="dxa"/>
        <w:tblLook w:val="04A0" w:firstRow="1" w:lastRow="0" w:firstColumn="1" w:lastColumn="0" w:noHBand="0" w:noVBand="1"/>
      </w:tblPr>
      <w:tblGrid>
        <w:gridCol w:w="2929"/>
        <w:gridCol w:w="2599"/>
        <w:gridCol w:w="2835"/>
      </w:tblGrid>
      <w:tr>
        <w:tc>
          <w:tcPr>
            <w:tcW w:w="2929" w:type="dxa"/>
          </w:tcPr>
          <w:p>
            <w:pPr>
              <w:jc w:val="center"/>
              <w:rPr>
                <w:rFonts w:ascii="Times New Roman" w:hAnsi="Times New Roman" w:cs="Times New Roman"/>
                <w:b/>
                <w:i/>
                <w:noProof/>
                <w:sz w:val="20"/>
                <w:szCs w:val="20"/>
              </w:rPr>
            </w:pPr>
            <w:r>
              <w:rPr>
                <w:rFonts w:ascii="Times New Roman" w:hAnsi="Times New Roman"/>
                <w:b/>
                <w:i/>
                <w:noProof/>
                <w:sz w:val="20"/>
              </w:rPr>
              <w:t>Règles d’exécution de la Commissions adoptées après la réforme de 2014 et notifiées aux agences</w:t>
            </w:r>
          </w:p>
        </w:tc>
        <w:tc>
          <w:tcPr>
            <w:tcW w:w="2599" w:type="dxa"/>
          </w:tcPr>
          <w:p>
            <w:pPr>
              <w:jc w:val="center"/>
              <w:rPr>
                <w:rFonts w:ascii="Times New Roman" w:hAnsi="Times New Roman" w:cs="Times New Roman"/>
                <w:b/>
                <w:i/>
                <w:noProof/>
                <w:sz w:val="20"/>
                <w:szCs w:val="20"/>
              </w:rPr>
            </w:pPr>
            <w:r>
              <w:rPr>
                <w:rFonts w:ascii="Times New Roman" w:hAnsi="Times New Roman"/>
                <w:b/>
                <w:i/>
                <w:noProof/>
                <w:sz w:val="20"/>
              </w:rPr>
              <w:t>Règles d’exécution dans les agences qui s’appliquent par analogie après la réforme de 2014</w:t>
            </w:r>
            <w:r>
              <w:rPr>
                <w:noProof/>
              </w:rPr>
              <w:t xml:space="preserve"> </w:t>
            </w:r>
            <w:r>
              <w:rPr>
                <w:rFonts w:ascii="Times New Roman" w:hAnsi="Times New Roman"/>
                <w:i/>
                <w:noProof/>
                <w:sz w:val="20"/>
              </w:rPr>
              <w:t>[article 110, paragraphe 2, du statut]</w:t>
            </w:r>
          </w:p>
        </w:tc>
        <w:tc>
          <w:tcPr>
            <w:tcW w:w="2835" w:type="dxa"/>
          </w:tcPr>
          <w:p>
            <w:pPr>
              <w:jc w:val="center"/>
              <w:rPr>
                <w:rFonts w:ascii="Times New Roman" w:hAnsi="Times New Roman" w:cs="Times New Roman"/>
                <w:b/>
                <w:i/>
                <w:noProof/>
                <w:sz w:val="20"/>
                <w:szCs w:val="20"/>
              </w:rPr>
            </w:pPr>
            <w:r>
              <w:rPr>
                <w:rFonts w:ascii="Times New Roman" w:hAnsi="Times New Roman"/>
                <w:b/>
                <w:i/>
                <w:noProof/>
                <w:sz w:val="20"/>
              </w:rPr>
              <w:t>Dérogations après 2014</w:t>
            </w:r>
            <w:r>
              <w:rPr>
                <w:rFonts w:ascii="Times New Roman" w:hAnsi="Times New Roman"/>
                <w:i/>
                <w:noProof/>
                <w:sz w:val="20"/>
              </w:rPr>
              <w:t xml:space="preserve"> (règles propres ou </w:t>
            </w:r>
            <w:r>
              <w:rPr>
                <w:rFonts w:ascii="Times New Roman" w:hAnsi="Times New Roman"/>
                <w:noProof/>
                <w:sz w:val="20"/>
              </w:rPr>
              <w:t>opt-out</w:t>
            </w:r>
            <w:r>
              <w:rPr>
                <w:rFonts w:ascii="Times New Roman" w:hAnsi="Times New Roman"/>
                <w:i/>
                <w:noProof/>
                <w:sz w:val="20"/>
              </w:rPr>
              <w:t>, y compris les demandes en cours)</w:t>
            </w:r>
          </w:p>
        </w:tc>
      </w:tr>
      <w:tr>
        <w:trPr>
          <w:trHeight w:val="710"/>
        </w:trPr>
        <w:tc>
          <w:tcPr>
            <w:tcW w:w="2929"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noProof/>
                <w:sz w:val="20"/>
                <w:szCs w:val="20"/>
              </w:rPr>
            </w:pPr>
          </w:p>
          <w:p>
            <w:pPr>
              <w:jc w:val="center"/>
              <w:rPr>
                <w:rFonts w:ascii="Times New Roman" w:hAnsi="Times New Roman" w:cs="Times New Roman"/>
                <w:b/>
                <w:noProof/>
                <w:sz w:val="20"/>
                <w:szCs w:val="20"/>
              </w:rPr>
            </w:pPr>
            <w:r>
              <w:rPr>
                <w:rFonts w:ascii="Times New Roman" w:hAnsi="Times New Roman"/>
                <w:b/>
                <w:noProof/>
                <w:sz w:val="20"/>
              </w:rPr>
              <w:t>23</w:t>
            </w:r>
          </w:p>
        </w:tc>
        <w:tc>
          <w:tcPr>
            <w:tcW w:w="2599"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noProof/>
                <w:sz w:val="20"/>
                <w:szCs w:val="20"/>
              </w:rPr>
            </w:pPr>
          </w:p>
          <w:p>
            <w:pPr>
              <w:jc w:val="center"/>
              <w:rPr>
                <w:rFonts w:ascii="Times New Roman" w:hAnsi="Times New Roman" w:cs="Times New Roman"/>
                <w:b/>
                <w:noProof/>
                <w:sz w:val="20"/>
                <w:szCs w:val="20"/>
              </w:rPr>
            </w:pPr>
            <w:r>
              <w:rPr>
                <w:rFonts w:ascii="Times New Roman" w:hAnsi="Times New Roman"/>
                <w:b/>
                <w:noProof/>
                <w:sz w:val="20"/>
              </w:rPr>
              <w:t>593</w:t>
            </w:r>
          </w:p>
        </w:tc>
        <w:tc>
          <w:tcPr>
            <w:tcW w:w="2835"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noProof/>
                <w:sz w:val="20"/>
                <w:szCs w:val="20"/>
              </w:rPr>
            </w:pPr>
          </w:p>
          <w:p>
            <w:pPr>
              <w:jc w:val="center"/>
              <w:rPr>
                <w:rFonts w:ascii="Times New Roman" w:hAnsi="Times New Roman" w:cs="Times New Roman"/>
                <w:b/>
                <w:noProof/>
                <w:sz w:val="20"/>
                <w:szCs w:val="20"/>
              </w:rPr>
            </w:pPr>
            <w:r>
              <w:rPr>
                <w:rFonts w:ascii="Times New Roman" w:hAnsi="Times New Roman"/>
                <w:b/>
                <w:noProof/>
                <w:sz w:val="20"/>
              </w:rPr>
              <w:t>201</w:t>
            </w:r>
          </w:p>
        </w:tc>
      </w:tr>
    </w:tbl>
    <w:p>
      <w:pPr>
        <w:jc w:val="both"/>
        <w:rPr>
          <w:rFonts w:ascii="Times New Roman" w:hAnsi="Times New Roman" w:cs="Times New Roman"/>
          <w:noProof/>
          <w:sz w:val="24"/>
          <w:szCs w:val="24"/>
        </w:rPr>
      </w:pPr>
    </w:p>
    <w:tbl>
      <w:tblPr>
        <w:tblStyle w:val="TableGrid"/>
        <w:tblW w:w="0" w:type="auto"/>
        <w:tblInd w:w="534" w:type="dxa"/>
        <w:tblLook w:val="04A0" w:firstRow="1" w:lastRow="0" w:firstColumn="1" w:lastColumn="0" w:noHBand="0" w:noVBand="1"/>
      </w:tblPr>
      <w:tblGrid>
        <w:gridCol w:w="4819"/>
        <w:gridCol w:w="3550"/>
      </w:tblGrid>
      <w:tr>
        <w:tc>
          <w:tcPr>
            <w:tcW w:w="4819" w:type="dxa"/>
          </w:tcPr>
          <w:p>
            <w:pPr>
              <w:jc w:val="center"/>
              <w:rPr>
                <w:rFonts w:ascii="Times New Roman" w:hAnsi="Times New Roman" w:cs="Times New Roman"/>
                <w:b/>
                <w:i/>
                <w:noProof/>
                <w:sz w:val="20"/>
                <w:szCs w:val="20"/>
              </w:rPr>
            </w:pPr>
            <w:r>
              <w:rPr>
                <w:rFonts w:ascii="Times New Roman" w:hAnsi="Times New Roman"/>
                <w:b/>
                <w:i/>
                <w:noProof/>
                <w:sz w:val="20"/>
              </w:rPr>
              <w:t xml:space="preserve">Accords ex ante horizontaux de la Commission </w:t>
            </w:r>
          </w:p>
        </w:tc>
        <w:tc>
          <w:tcPr>
            <w:tcW w:w="3550" w:type="dxa"/>
          </w:tcPr>
          <w:p>
            <w:pPr>
              <w:jc w:val="center"/>
              <w:rPr>
                <w:rFonts w:ascii="Times New Roman" w:hAnsi="Times New Roman" w:cs="Times New Roman"/>
                <w:b/>
                <w:i/>
                <w:noProof/>
                <w:sz w:val="20"/>
                <w:szCs w:val="20"/>
              </w:rPr>
            </w:pPr>
            <w:r>
              <w:rPr>
                <w:rFonts w:ascii="Times New Roman" w:hAnsi="Times New Roman"/>
                <w:b/>
                <w:i/>
                <w:noProof/>
                <w:sz w:val="20"/>
              </w:rPr>
              <w:t xml:space="preserve">Règles d’exécution adoptées par les agences sur la base d’un accord ex ante </w:t>
            </w:r>
          </w:p>
        </w:tc>
      </w:tr>
      <w:tr>
        <w:trPr>
          <w:trHeight w:val="710"/>
        </w:trPr>
        <w:tc>
          <w:tcPr>
            <w:tcW w:w="4819"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noProof/>
                <w:sz w:val="20"/>
                <w:szCs w:val="20"/>
              </w:rPr>
            </w:pPr>
          </w:p>
          <w:p>
            <w:pPr>
              <w:jc w:val="center"/>
              <w:rPr>
                <w:rFonts w:ascii="Times New Roman" w:hAnsi="Times New Roman" w:cs="Times New Roman"/>
                <w:b/>
                <w:noProof/>
                <w:sz w:val="20"/>
                <w:szCs w:val="20"/>
              </w:rPr>
            </w:pPr>
            <w:r>
              <w:rPr>
                <w:rFonts w:ascii="Times New Roman" w:hAnsi="Times New Roman"/>
                <w:b/>
                <w:noProof/>
                <w:sz w:val="20"/>
              </w:rPr>
              <w:t>14</w:t>
            </w:r>
          </w:p>
        </w:tc>
        <w:tc>
          <w:tcPr>
            <w:tcW w:w="3550"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noProof/>
                <w:sz w:val="20"/>
                <w:szCs w:val="20"/>
              </w:rPr>
            </w:pPr>
          </w:p>
          <w:p>
            <w:pPr>
              <w:jc w:val="center"/>
              <w:rPr>
                <w:rFonts w:ascii="Times New Roman" w:hAnsi="Times New Roman" w:cs="Times New Roman"/>
                <w:b/>
                <w:noProof/>
                <w:sz w:val="20"/>
                <w:szCs w:val="20"/>
              </w:rPr>
            </w:pPr>
            <w:r>
              <w:rPr>
                <w:rFonts w:ascii="Times New Roman" w:hAnsi="Times New Roman"/>
                <w:b/>
                <w:noProof/>
                <w:sz w:val="20"/>
              </w:rPr>
              <w:t>284</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b/>
          <w:i/>
          <w:noProof/>
          <w:sz w:val="24"/>
        </w:rPr>
        <w:t>TRANSPARENCE</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Le rapport dresse un bilan exhaustif de la situation dans toutes les institutions.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Le rapport présente toutes les règles d’exécution à l’aide d’une même méthode. Cela permet de comparer la situation des différentes institutions et, dès lors, de renforcer la transparence.</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Le rapport mesure les effets sur les agences des mécanismes d’harmonisation introduits depuis 2014.</w:t>
      </w:r>
    </w:p>
    <w:p>
      <w:pPr>
        <w:rPr>
          <w:noProof/>
        </w:rPr>
      </w:pPr>
      <w:r>
        <w:rPr>
          <w:noProof/>
        </w:rPr>
        <w:br w:type="page"/>
      </w:r>
    </w:p>
    <w:p>
      <w:pPr>
        <w:rPr>
          <w:noProof/>
        </w:rPr>
      </w:pPr>
    </w:p>
    <w:p>
      <w:pPr>
        <w:pStyle w:val="Heading1"/>
        <w:rPr>
          <w:noProof/>
        </w:rPr>
      </w:pPr>
      <w:bookmarkStart w:id="20" w:name="_Toc486939899"/>
      <w:bookmarkStart w:id="21" w:name="_Toc495934035"/>
      <w:r>
        <w:rPr>
          <w:noProof/>
        </w:rPr>
        <w:t>TITRE 3.</w:t>
      </w:r>
      <w:r>
        <w:rPr>
          <w:noProof/>
        </w:rPr>
        <w:tab/>
        <w:t>ÉVALUATION QUALITATIVE/RESPECT</w:t>
      </w:r>
      <w:bookmarkEnd w:id="20"/>
      <w:bookmarkEnd w:id="21"/>
    </w:p>
    <w:p>
      <w:pPr>
        <w:rPr>
          <w:noProof/>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b/>
          <w:i/>
          <w:noProof/>
          <w:sz w:val="24"/>
        </w:rPr>
        <w:t>RESPECT</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Les institutions se sont-elles conformées au cadre du statut des fonctionnaires et du régime applicable aux autres agents?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Quel est l’état d’avancement du registre tenu par la Cour de justice?</w:t>
      </w:r>
    </w:p>
    <w:p>
      <w:pPr>
        <w:jc w:val="both"/>
        <w:rPr>
          <w:rFonts w:ascii="Times New Roman" w:hAnsi="Times New Roman" w:cs="Times New Roman"/>
          <w:noProof/>
          <w:sz w:val="24"/>
          <w:szCs w:val="24"/>
        </w:rPr>
      </w:pPr>
    </w:p>
    <w:p>
      <w:pPr>
        <w:pStyle w:val="Heading2"/>
        <w:rPr>
          <w:noProof/>
        </w:rPr>
      </w:pPr>
      <w:bookmarkStart w:id="22" w:name="_Toc486939900"/>
      <w:bookmarkStart w:id="23" w:name="_Toc495934036"/>
      <w:r>
        <w:rPr>
          <w:noProof/>
        </w:rPr>
        <w:t>a)</w:t>
      </w:r>
      <w:r>
        <w:rPr>
          <w:noProof/>
        </w:rPr>
        <w:tab/>
        <w:t>Respect du statut des fonctionnaires et du régime applicable aux autres agents</w:t>
      </w:r>
      <w:bookmarkEnd w:id="22"/>
      <w:bookmarkEnd w:id="23"/>
    </w:p>
    <w:p>
      <w:pPr>
        <w:jc w:val="both"/>
        <w:rPr>
          <w:rFonts w:ascii="Times New Roman" w:hAnsi="Times New Roman" w:cs="Times New Roman"/>
          <w:noProof/>
          <w:sz w:val="24"/>
          <w:szCs w:val="24"/>
        </w:rPr>
      </w:pPr>
      <w:r>
        <w:rPr>
          <w:rFonts w:ascii="Times New Roman" w:hAnsi="Times New Roman"/>
          <w:noProof/>
          <w:sz w:val="24"/>
        </w:rPr>
        <w:t>Le rapport examine ci-dessous dans quelle mesure les pouvoirs spécifiques d’adoption de règles d’exécution confiés par le statut des fonctionnaires et le régime applicable aux autres agents respectivement à l’autorité investie du pouvoir de nomination et à l’autorité habilitée à conclure des contrats d’engagement de chaque institution ont été utilisés (voir les cadres en pointillés ci-après).</w:t>
      </w:r>
    </w:p>
    <w:p>
      <w:pPr>
        <w:jc w:val="both"/>
        <w:rPr>
          <w:rFonts w:ascii="Times New Roman" w:hAnsi="Times New Roman" w:cs="Times New Roman"/>
          <w:noProof/>
          <w:sz w:val="24"/>
          <w:szCs w:val="24"/>
        </w:rPr>
      </w:pPr>
      <w:r>
        <w:rPr>
          <w:rFonts w:ascii="Times New Roman" w:hAnsi="Times New Roman"/>
          <w:noProof/>
          <w:sz w:val="24"/>
        </w:rPr>
        <w:t>En outre, le rapport dresse la liste des matières pour lesquelles les institutions ont adopté des règles d’exécution qui ne sont pas expressément prévues par le statut des fonctionnaires et le régime applicable aux autres agents.</w:t>
      </w:r>
    </w:p>
    <w:p>
      <w:pPr>
        <w:jc w:val="center"/>
        <w:rPr>
          <w:rFonts w:ascii="Times New Roman" w:hAnsi="Times New Roman" w:cs="Times New Roman"/>
          <w:b/>
          <w:i/>
          <w:noProof/>
          <w:sz w:val="28"/>
          <w:szCs w:val="28"/>
        </w:rPr>
      </w:pPr>
      <w:r>
        <w:rPr>
          <w:rFonts w:ascii="Times New Roman" w:hAnsi="Times New Roman"/>
          <w:b/>
          <w:i/>
          <w:noProof/>
          <w:sz w:val="28"/>
        </w:rPr>
        <w:t>Statut des fonctionnaires</w:t>
      </w:r>
    </w:p>
    <w:p>
      <w:pPr>
        <w:jc w:val="center"/>
        <w:rPr>
          <w:rFonts w:ascii="Times New Roman" w:hAnsi="Times New Roman" w:cs="Times New Roman"/>
          <w:i/>
          <w:noProof/>
          <w:sz w:val="24"/>
          <w:szCs w:val="24"/>
          <w:u w:val="single"/>
        </w:rPr>
      </w:pPr>
      <w:r>
        <w:rPr>
          <w:rFonts w:ascii="Times New Roman" w:hAnsi="Times New Roman"/>
          <w:i/>
          <w:noProof/>
          <w:sz w:val="24"/>
          <w:u w:val="single"/>
        </w:rPr>
        <w:t>TITRE I – DISPOSITIONS GÉNÉRALES</w:t>
      </w:r>
    </w:p>
    <w:p>
      <w:pPr>
        <w:pBdr>
          <w:top w:val="dashed" w:sz="4" w:space="1" w:color="auto"/>
          <w:left w:val="dashed" w:sz="4" w:space="4" w:color="auto"/>
          <w:bottom w:val="dashed" w:sz="4" w:space="1" w:color="auto"/>
          <w:right w:val="dashed" w:sz="4" w:space="4" w:color="auto"/>
        </w:pBdr>
        <w:rPr>
          <w:rFonts w:ascii="Times New Roman" w:hAnsi="Times New Roman" w:cs="Times New Roman"/>
          <w:i/>
          <w:noProof/>
          <w:sz w:val="20"/>
          <w:szCs w:val="20"/>
        </w:rPr>
      </w:pPr>
      <w:r>
        <w:rPr>
          <w:rFonts w:ascii="Times New Roman" w:hAnsi="Times New Roman"/>
          <w:i/>
          <w:noProof/>
          <w:sz w:val="20"/>
        </w:rPr>
        <w:t>Article 2 – Exercice du pouvoir de l’autorité investie du pouvoir de nomination</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La plupart des institutions ont eu recours au pouvoir d’adopter des règles d’exécution concernant l’exercice du pouvoir de l’autorité investie du pouvoir de nomination. Certaines institutions ont utilisé la possibilité de confier ce pouvoir à une autre institution ou à un organisme interinstitutionnel.</w:t>
      </w:r>
    </w:p>
    <w:p>
      <w:pPr>
        <w:pBdr>
          <w:top w:val="dashed" w:sz="4" w:space="1" w:color="auto"/>
          <w:left w:val="dashed" w:sz="4" w:space="4" w:color="auto"/>
          <w:bottom w:val="dashed" w:sz="4" w:space="1" w:color="auto"/>
          <w:right w:val="dashed" w:sz="4" w:space="4" w:color="auto"/>
        </w:pBdr>
        <w:rPr>
          <w:rFonts w:ascii="Times New Roman" w:hAnsi="Times New Roman" w:cs="Times New Roman"/>
          <w:i/>
          <w:noProof/>
          <w:sz w:val="20"/>
          <w:szCs w:val="20"/>
        </w:rPr>
      </w:pPr>
      <w:r>
        <w:rPr>
          <w:rFonts w:ascii="Times New Roman" w:hAnsi="Times New Roman"/>
          <w:i/>
          <w:noProof/>
          <w:sz w:val="20"/>
        </w:rPr>
        <w:t>Article 5, paragraphe 4 – Description des fonctions et attributions associées à chaque emploi type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La plupart des institutions ont recouru à la possibilité qu’offre le statut de décrire plus en détail les fonctions et attributions associées à chaque emploi type.</w:t>
      </w:r>
    </w:p>
    <w:p>
      <w:pPr>
        <w:pBdr>
          <w:top w:val="dashed" w:sz="4" w:space="1" w:color="auto"/>
          <w:left w:val="dashed" w:sz="4" w:space="4" w:color="auto"/>
          <w:bottom w:val="dashed" w:sz="4" w:space="1" w:color="auto"/>
          <w:right w:val="dashed" w:sz="4" w:space="4" w:color="auto"/>
        </w:pBdr>
        <w:rPr>
          <w:rFonts w:ascii="Times New Roman" w:hAnsi="Times New Roman" w:cs="Times New Roman"/>
          <w:noProof/>
          <w:sz w:val="20"/>
          <w:szCs w:val="20"/>
        </w:rPr>
      </w:pPr>
      <w:r>
        <w:rPr>
          <w:rFonts w:ascii="Times New Roman" w:hAnsi="Times New Roman"/>
          <w:i/>
          <w:noProof/>
          <w:sz w:val="20"/>
        </w:rPr>
        <w:t>Article 5, paragraphe 4; annexe XIII, article 30, paragraphe 3 – Classement des fonctionnaires investis de responsabilités particulières dans l’emploi type «chef d’unité ou équivalent» ou «conseiller ou équivalent» avant le 31 décembre 2015</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La majorité des institutions ont arrêté des dispositions visant à déroger à l’article 30, paragraphe 3, de l’annexe XIII du statut concernant le classement des fonctionnaires des grades AD 9 à AD 14 investis de responsabilités particulières dans l’emploi type «chef d’unité ou équivalent» ou «conseiller ou équivalent» avant le 31 décembre 2015.</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i/>
          <w:noProof/>
          <w:sz w:val="20"/>
        </w:rPr>
        <w:t>Article 9, paragraphe 2 – Composition et modalités de fonctionnement des organes (comités et commissions)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noProof/>
          <w:sz w:val="20"/>
        </w:rPr>
        <w:t>Certaines institutions ont eu recours au pouvoir de déterminer la composition et les modalités de fonctionnement des organes mentionnés à l’article 9, paragraphe 1, du statut.</w:t>
      </w:r>
    </w:p>
    <w:p>
      <w:pPr>
        <w:pBdr>
          <w:top w:val="dashed" w:sz="4" w:space="1" w:color="auto"/>
          <w:left w:val="dashed" w:sz="4" w:space="4" w:color="auto"/>
          <w:bottom w:val="dashed" w:sz="4" w:space="1" w:color="auto"/>
          <w:right w:val="dashed" w:sz="4" w:space="4" w:color="auto"/>
        </w:pBdr>
        <w:rPr>
          <w:rFonts w:ascii="Times New Roman" w:hAnsi="Times New Roman" w:cs="Times New Roman"/>
          <w:i/>
          <w:noProof/>
          <w:sz w:val="20"/>
          <w:szCs w:val="20"/>
        </w:rPr>
      </w:pPr>
      <w:r>
        <w:rPr>
          <w:rFonts w:ascii="Times New Roman" w:hAnsi="Times New Roman"/>
          <w:i/>
          <w:noProof/>
          <w:sz w:val="20"/>
        </w:rPr>
        <w:t>Article 10 – Modalités de composition du comité du statut</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Toutes les institutions ont adopté une règle arrêtée d’un commun accord sur les modalités de composition du comité du statut, ainsi que le prévoit l’article 10 du statut.</w:t>
      </w:r>
    </w:p>
    <w:p>
      <w:pPr>
        <w:jc w:val="both"/>
        <w:rPr>
          <w:rFonts w:ascii="Times New Roman" w:hAnsi="Times New Roman" w:cs="Times New Roman"/>
          <w:noProof/>
          <w:sz w:val="24"/>
          <w:szCs w:val="24"/>
        </w:rPr>
      </w:pPr>
      <w:r>
        <w:rPr>
          <w:rFonts w:ascii="Times New Roman" w:hAnsi="Times New Roman"/>
          <w:noProof/>
          <w:sz w:val="24"/>
        </w:rPr>
        <w:t>Certaines institutions ont aussi adopté des règles d’exécution sur les sujets suivants abordés dans le titre I du statut: handicap, mesures à caractère social, normes de santé et de sécurité et mutation.</w:t>
      </w:r>
    </w:p>
    <w:p>
      <w:pPr>
        <w:jc w:val="center"/>
        <w:rPr>
          <w:rFonts w:ascii="Times New Roman" w:hAnsi="Times New Roman" w:cs="Times New Roman"/>
          <w:i/>
          <w:noProof/>
          <w:sz w:val="24"/>
          <w:szCs w:val="24"/>
          <w:u w:val="single"/>
        </w:rPr>
      </w:pPr>
      <w:r>
        <w:rPr>
          <w:rFonts w:ascii="Times New Roman" w:hAnsi="Times New Roman"/>
          <w:i/>
          <w:noProof/>
          <w:sz w:val="24"/>
          <w:u w:val="single"/>
        </w:rPr>
        <w:t>Titre II – Droits et obligations du fonctionnaire</w:t>
      </w:r>
    </w:p>
    <w:p>
      <w:pPr>
        <w:pBdr>
          <w:top w:val="dashed" w:sz="4" w:space="1" w:color="auto"/>
          <w:left w:val="dashed" w:sz="4" w:space="4" w:color="auto"/>
          <w:bottom w:val="dashed" w:sz="4" w:space="1" w:color="auto"/>
          <w:right w:val="dashed" w:sz="4" w:space="4" w:color="auto"/>
        </w:pBdr>
        <w:rPr>
          <w:rFonts w:ascii="Times New Roman" w:hAnsi="Times New Roman" w:cs="Times New Roman"/>
          <w:i/>
          <w:noProof/>
          <w:sz w:val="20"/>
          <w:szCs w:val="20"/>
        </w:rPr>
      </w:pPr>
      <w:r>
        <w:rPr>
          <w:rFonts w:ascii="Times New Roman" w:hAnsi="Times New Roman"/>
          <w:i/>
          <w:noProof/>
          <w:sz w:val="20"/>
        </w:rPr>
        <w:t>Article 22 </w:t>
      </w:r>
      <w:r>
        <w:rPr>
          <w:rFonts w:ascii="Times New Roman" w:hAnsi="Times New Roman"/>
          <w:noProof/>
          <w:sz w:val="20"/>
        </w:rPr>
        <w:t>quater</w:t>
      </w:r>
      <w:r>
        <w:rPr>
          <w:rFonts w:ascii="Times New Roman" w:hAnsi="Times New Roman"/>
          <w:i/>
          <w:noProof/>
          <w:sz w:val="20"/>
        </w:rPr>
        <w:t xml:space="preserve"> – Règles internes sur la dénonciation</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Toutes les institutions ont arrêté des règles internes sur la dénonciation, comme le prévoit l’article 22 </w:t>
      </w:r>
      <w:r>
        <w:rPr>
          <w:rFonts w:ascii="Times New Roman" w:hAnsi="Times New Roman"/>
          <w:i/>
          <w:noProof/>
          <w:sz w:val="20"/>
        </w:rPr>
        <w:t>quater</w:t>
      </w:r>
      <w:r>
        <w:rPr>
          <w:rFonts w:ascii="Times New Roman" w:hAnsi="Times New Roman"/>
          <w:noProof/>
          <w:sz w:val="20"/>
        </w:rPr>
        <w:t xml:space="preserve"> du statut.</w:t>
      </w:r>
    </w:p>
    <w:p>
      <w:pPr>
        <w:jc w:val="both"/>
        <w:rPr>
          <w:rFonts w:ascii="Times New Roman" w:hAnsi="Times New Roman" w:cs="Times New Roman"/>
          <w:noProof/>
          <w:sz w:val="24"/>
          <w:szCs w:val="24"/>
        </w:rPr>
      </w:pPr>
      <w:r>
        <w:rPr>
          <w:rFonts w:ascii="Times New Roman" w:hAnsi="Times New Roman"/>
          <w:noProof/>
          <w:sz w:val="24"/>
        </w:rPr>
        <w:t>Certaines institutions ont aussi adopté des règles d’exécution sur les sujets suivants abordés dans le titre II du statut: déontologie et honnêteté, harcèlement, activités extérieures, responsabilité financière et formation.</w:t>
      </w:r>
    </w:p>
    <w:p>
      <w:pPr>
        <w:jc w:val="center"/>
        <w:rPr>
          <w:rFonts w:ascii="Times New Roman" w:hAnsi="Times New Roman" w:cs="Times New Roman"/>
          <w:i/>
          <w:noProof/>
          <w:sz w:val="24"/>
          <w:szCs w:val="24"/>
          <w:u w:val="single"/>
        </w:rPr>
      </w:pPr>
      <w:r>
        <w:rPr>
          <w:rFonts w:ascii="Times New Roman" w:hAnsi="Times New Roman"/>
          <w:i/>
          <w:noProof/>
          <w:sz w:val="24"/>
          <w:u w:val="single"/>
        </w:rPr>
        <w:t>Titre III – De la carrière du fonctionnaire</w:t>
      </w:r>
    </w:p>
    <w:p>
      <w:pPr>
        <w:pBdr>
          <w:top w:val="dashed" w:sz="4" w:space="1" w:color="auto"/>
          <w:left w:val="dashed" w:sz="4" w:space="4" w:color="auto"/>
          <w:bottom w:val="dashed" w:sz="4" w:space="1" w:color="auto"/>
          <w:right w:val="dashed" w:sz="4" w:space="4" w:color="auto"/>
        </w:pBdr>
        <w:rPr>
          <w:rFonts w:ascii="Times New Roman" w:hAnsi="Times New Roman" w:cs="Times New Roman"/>
          <w:i/>
          <w:noProof/>
          <w:sz w:val="20"/>
          <w:szCs w:val="20"/>
        </w:rPr>
      </w:pPr>
      <w:r>
        <w:rPr>
          <w:rFonts w:ascii="Times New Roman" w:hAnsi="Times New Roman"/>
          <w:i/>
          <w:noProof/>
          <w:sz w:val="20"/>
        </w:rPr>
        <w:t>Article 27 – Mesures appropriées en cas de constat d’un déséquilibre important entre nationalités parmi les fonctionnaires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L’article 27 permet à chaque institution d’adopter des mesures appropriées si elle constate un déséquilibre important entre nationalités parmi les fonctionnaires, qui ne se justifie pas par des critères objectifs. Ces mesures appropriées doivent être justifiées et ne peuvent jamais se traduire par des critères de recrutement autres que ceux fondés sur le mérite. Avant l’adoption de telles mesures appropriées, l’autorité investie du pouvoir de nomination arrête des dispositions générales d’exécution. Au moment de la finalisation du présent rapport, aucune institution n’avait encore adopté de telles dispositions d’exécution.</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27; annexe II, article 2 – Modalités de constitution de la commission paritaire commune (COPARCO)</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Toutes les institutions ont adopté une règle arrêtée d’un commun accord sur les modalités de constitution de la commission paritaire commune, ainsi que le prévoit l’article 2 de l’annexe II du statut.</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i/>
          <w:noProof/>
          <w:sz w:val="20"/>
        </w:rPr>
        <w:t>Article 32 – Classement en échelon lors du recrutement</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L’ensemble des institutions ont adopté des dispositions générales d’exécution visant à permettre, pour tenir compte de l’expérience professionnelle d’un fonctionnaire, de lui accorder une bonification d’ancienneté de 24 mois au maximum, conformément à l’article 32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37 – Établissement d’une liste d’organismes consacrés à la poursuite des intérêts de l’Union</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Toutes les institutions ont établi de commun accord une liste d’organismes consacrés à la poursuite des intérêts de l’Union, en application de l’article 37, point b), deuxième tiret,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42 </w:t>
      </w:r>
      <w:r>
        <w:rPr>
          <w:rFonts w:ascii="Times New Roman" w:hAnsi="Times New Roman"/>
          <w:noProof/>
          <w:sz w:val="20"/>
        </w:rPr>
        <w:t>bis</w:t>
      </w:r>
      <w:r>
        <w:rPr>
          <w:rFonts w:ascii="Times New Roman" w:hAnsi="Times New Roman"/>
          <w:i/>
          <w:noProof/>
          <w:sz w:val="20"/>
        </w:rPr>
        <w:t xml:space="preserve"> – Congé parental, parents isolés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Toutes les institutions ont adopté des règles d’exécution sur le congé parental, y compris la question de la reconnaissance des parents isolés en vue de doubler la durée de ce congé, comme le prévoit l’article 42 </w:t>
      </w:r>
      <w:r>
        <w:rPr>
          <w:rFonts w:ascii="Times New Roman" w:hAnsi="Times New Roman"/>
          <w:i/>
          <w:noProof/>
          <w:sz w:val="20"/>
        </w:rPr>
        <w:t>bis</w:t>
      </w:r>
      <w:r>
        <w:rPr>
          <w:rFonts w:ascii="Times New Roman" w:hAnsi="Times New Roman"/>
          <w:noProof/>
          <w:sz w:val="20"/>
        </w:rPr>
        <w:t>, premier alinéa,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43 – Rapport annuel sur la compétence, le rendement et la conduite dans le service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Toutes les institutions ont arrêté des dispositions d’exécution relatives aux rapports annuels sur la compétence, le rendement et la conduite dans le service, en application de l’article 43, premier alinéa,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45 – Capacité à travailler dans une troisième langue avant la première promotion</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L’ensemble des institutions ont adopté des règles arrêtées d’un commun accord entre elles en vue de mettre en œuvre l’exigence selon laquelle les fonctionnaires sont tenus de démontrer, avant leur première promotion, leur capacité à travailler dans une troisième langue, conformément à l’article 45, paragraphe 2, du statut.</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i/>
          <w:noProof/>
          <w:sz w:val="20"/>
        </w:rPr>
        <w:t>Article 45 </w:t>
      </w:r>
      <w:r>
        <w:rPr>
          <w:rFonts w:ascii="Times New Roman" w:hAnsi="Times New Roman"/>
          <w:noProof/>
          <w:sz w:val="20"/>
        </w:rPr>
        <w:t>bis</w:t>
      </w:r>
      <w:r>
        <w:rPr>
          <w:rFonts w:ascii="Times New Roman" w:hAnsi="Times New Roman"/>
          <w:i/>
          <w:noProof/>
          <w:sz w:val="20"/>
        </w:rPr>
        <w:t xml:space="preserve"> – Nomination d’un fonctionnaire du groupe de fonctions AST à un emploi du groupe de fonctions AD</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Neuf institutions ont arrêté des dispositions générales d’exécution concernant la possibilité de nommer un fonctionnaire du groupe de fonctions AST à un emploi du groupe de fonctions AD, en application de l’article 45 </w:t>
      </w:r>
      <w:r>
        <w:rPr>
          <w:rFonts w:ascii="Times New Roman" w:hAnsi="Times New Roman"/>
          <w:i/>
          <w:noProof/>
          <w:sz w:val="20"/>
        </w:rPr>
        <w:t>bis</w:t>
      </w:r>
      <w:r>
        <w:rPr>
          <w:rFonts w:ascii="Times New Roman" w:hAnsi="Times New Roman"/>
          <w:noProof/>
          <w:sz w:val="20"/>
        </w:rPr>
        <w:t>, paragraphe 5,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51 – Procédures de traitement de l’insuffisance professionnelle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Cinq institutions ont adopté des dispositions internes visant à détecter, gérer et résoudre les cas d’insuffisance professionnelle en temps utile et de manière appropriée, en vertu de l’article 51, paragraphe 1, du statut.</w:t>
      </w:r>
    </w:p>
    <w:p>
      <w:pPr>
        <w:jc w:val="both"/>
        <w:rPr>
          <w:rFonts w:ascii="Times New Roman" w:hAnsi="Times New Roman" w:cs="Times New Roman"/>
          <w:noProof/>
          <w:sz w:val="24"/>
          <w:szCs w:val="24"/>
        </w:rPr>
      </w:pPr>
      <w:r>
        <w:rPr>
          <w:rFonts w:ascii="Times New Roman" w:hAnsi="Times New Roman"/>
          <w:noProof/>
          <w:sz w:val="24"/>
        </w:rPr>
        <w:t>Quelques institutions ont également arrêté des règles d’exécution sur les sujets suivants abordés dans le titre III du statut: nomination de membres du personnel d’encadrement supérieur, encadrement intermédiaire, détachement, congé de convenance personnelle, congé familial, promotion, mise à la retraite et honorariat.</w:t>
      </w:r>
    </w:p>
    <w:p>
      <w:pPr>
        <w:jc w:val="center"/>
        <w:rPr>
          <w:rFonts w:ascii="Times New Roman" w:hAnsi="Times New Roman" w:cs="Times New Roman"/>
          <w:i/>
          <w:noProof/>
          <w:sz w:val="24"/>
          <w:szCs w:val="24"/>
          <w:u w:val="single"/>
        </w:rPr>
      </w:pPr>
      <w:r>
        <w:rPr>
          <w:rFonts w:ascii="Times New Roman" w:hAnsi="Times New Roman"/>
          <w:i/>
          <w:noProof/>
          <w:sz w:val="24"/>
          <w:u w:val="single"/>
        </w:rPr>
        <w:t>Titre IV – Des conditions de travail du fonctionnaire</w:t>
      </w:r>
      <w:r>
        <w:rPr>
          <w:rStyle w:val="FootnoteReference"/>
          <w:rFonts w:ascii="Times New Roman" w:hAnsi="Times New Roman"/>
          <w:i/>
          <w:noProof/>
          <w:sz w:val="24"/>
          <w:u w:val="single"/>
        </w:rPr>
        <w:footnoteReference w:id="14"/>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55, paragraphe 3 – Astreintes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Les institutions n’ont pas fixé de modalités d’application des dispositions relatives aux astreintes, comme le prévoit l’article 55, paragraphe 3,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55, paragraphe 4 – Durée du travail/mesures d’aménagement du temps de travail</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Huit institutions ont introduit des mesures d’aménagement du temps de travail, en application de l’article 55, paragraphe 4,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55 </w:t>
      </w:r>
      <w:r>
        <w:rPr>
          <w:rFonts w:ascii="Times New Roman" w:hAnsi="Times New Roman"/>
          <w:noProof/>
          <w:sz w:val="20"/>
        </w:rPr>
        <w:t>bis</w:t>
      </w:r>
      <w:r>
        <w:rPr>
          <w:rFonts w:ascii="Times New Roman" w:hAnsi="Times New Roman"/>
          <w:i/>
          <w:noProof/>
          <w:sz w:val="20"/>
        </w:rPr>
        <w:t>; annexe IV </w:t>
      </w:r>
      <w:r>
        <w:rPr>
          <w:rFonts w:ascii="Times New Roman" w:hAnsi="Times New Roman"/>
          <w:noProof/>
          <w:sz w:val="20"/>
        </w:rPr>
        <w:t>bis</w:t>
      </w:r>
      <w:r>
        <w:rPr>
          <w:rFonts w:ascii="Times New Roman" w:hAnsi="Times New Roman"/>
          <w:i/>
          <w:noProof/>
          <w:sz w:val="20"/>
        </w:rPr>
        <w:t>, article 5 – Activité à temps partiel</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Huit institutions ont établi des modalités d’application des dispositions relatives à l’activité à temps partiel, comme le prévoit l’article 5 de l’annexe IV </w:t>
      </w:r>
      <w:r>
        <w:rPr>
          <w:rFonts w:ascii="Times New Roman" w:hAnsi="Times New Roman"/>
          <w:i/>
          <w:noProof/>
          <w:sz w:val="20"/>
        </w:rPr>
        <w:t>bis</w:t>
      </w:r>
      <w:r>
        <w:rPr>
          <w:rFonts w:ascii="Times New Roman" w:hAnsi="Times New Roman"/>
          <w:noProof/>
          <w:sz w:val="20"/>
        </w:rPr>
        <w:t xml:space="preserve">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55 </w:t>
      </w:r>
      <w:r>
        <w:rPr>
          <w:rFonts w:ascii="Times New Roman" w:hAnsi="Times New Roman"/>
          <w:noProof/>
          <w:sz w:val="20"/>
        </w:rPr>
        <w:t>ter</w:t>
      </w:r>
      <w:r>
        <w:rPr>
          <w:rFonts w:ascii="Times New Roman" w:hAnsi="Times New Roman"/>
          <w:i/>
          <w:noProof/>
          <w:sz w:val="20"/>
        </w:rPr>
        <w:t xml:space="preserve"> – Emploi partagé</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Une institution a établi des modalités d’application de l’article relatif à l’emploi partagé, conformément à l’article 55 </w:t>
      </w:r>
      <w:r>
        <w:rPr>
          <w:rFonts w:ascii="Times New Roman" w:hAnsi="Times New Roman"/>
          <w:i/>
          <w:noProof/>
          <w:sz w:val="20"/>
        </w:rPr>
        <w:t>ter</w:t>
      </w:r>
      <w:r>
        <w:rPr>
          <w:rFonts w:ascii="Times New Roman" w:hAnsi="Times New Roman"/>
          <w:noProof/>
          <w:sz w:val="20"/>
        </w:rPr>
        <w:t xml:space="preserve"> du statut.</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i/>
          <w:noProof/>
          <w:sz w:val="20"/>
        </w:rPr>
        <w:t>Article 56 – Heures supplémentaires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Neuf institutions ont établi une procédure concernant l’autorisation des heures supplémentaires prévue à l’article 56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57 – Congé annuel</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Les institutions n’ont pas adopté de règles arrêtées d’un commun accord entre elles concernant le congé annuel, comme le prévoit l’article 57 du statut. Neuf institutions ont adopté leurs propres règles en la matière.</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61 – Liste des jours fériés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Toutes les institutions ont arrêté d’un commun accord une liste des jours fériés, en application de l’article 61 du statut.</w:t>
      </w:r>
    </w:p>
    <w:p>
      <w:pPr>
        <w:jc w:val="both"/>
        <w:rPr>
          <w:rFonts w:ascii="Times New Roman" w:hAnsi="Times New Roman" w:cs="Times New Roman"/>
          <w:noProof/>
          <w:sz w:val="24"/>
          <w:szCs w:val="24"/>
        </w:rPr>
      </w:pPr>
      <w:r>
        <w:rPr>
          <w:rFonts w:ascii="Times New Roman" w:hAnsi="Times New Roman"/>
          <w:noProof/>
          <w:sz w:val="24"/>
        </w:rPr>
        <w:t>Quelques institutions ont aussi adopté des règles d’exécution sur les sujets suivants qui concernent le titre IV du statut: télétravail, congé de maternité, congé de maladie et absence injustifiée.</w:t>
      </w:r>
    </w:p>
    <w:p>
      <w:pPr>
        <w:jc w:val="center"/>
        <w:rPr>
          <w:rFonts w:ascii="Times New Roman" w:hAnsi="Times New Roman" w:cs="Times New Roman"/>
          <w:i/>
          <w:noProof/>
          <w:sz w:val="24"/>
          <w:szCs w:val="24"/>
          <w:u w:val="single"/>
        </w:rPr>
      </w:pPr>
      <w:r>
        <w:rPr>
          <w:rFonts w:ascii="Times New Roman" w:hAnsi="Times New Roman"/>
          <w:i/>
          <w:noProof/>
          <w:sz w:val="24"/>
          <w:u w:val="single"/>
        </w:rPr>
        <w:t>Titre V – Du régime pécuniaire et des avantages sociaux du fonctionnaire</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62; annexe VII, article 17 – Transfert d’une partie de la rémunération</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Toutes les institutions ont adopté des règles arrêtées d’un commun accord sur le transfert régulier spécial d’une partie de la rémunération d’un fonctionnaire, en vertu de l’article 17, paragraphe 1, de l’annexe VII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67, paragraphe 1, point c); annexe VII, article 3 – Allocation scolaire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L’ensemble des institutions ont fixé des dispositions générales d’exécution relatives à l’allocation scolaire, comme le prévoit l’article 3, paragraphe 1, de l’annexe VII du statut.</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i/>
          <w:noProof/>
          <w:sz w:val="20"/>
        </w:rPr>
        <w:t>Article 71; annexe VII, article 9 – Frais de déménagement</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Toutes les institutions ont arrêté des dispositions générales d’exécution ou d’autres règles d’exécution relatives aux frais de déménagement, comme le prévoit l’article 9, paragraphe 1, troisième alinéa, de l’annexe VII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71; annexe VII, article 13, paragraphe 2, point b) – Barème applicable aux missions dans des pays tiers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Une institution a fixé et adapté le barème applicable aux missions dans des pays situés en dehors de l’Union européenne, en vertu de l’article 13, paragraphe 2, point b), de l’annexe VII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71; annexe VII, article 13 bis – Frais de mission</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Huit institutions ont adopté des dispositions générales d’exécution relatives aux frais de mission, conformément à l’article 13 </w:t>
      </w:r>
      <w:r>
        <w:rPr>
          <w:rFonts w:ascii="Times New Roman" w:hAnsi="Times New Roman"/>
          <w:i/>
          <w:noProof/>
          <w:sz w:val="20"/>
        </w:rPr>
        <w:t>bis</w:t>
      </w:r>
      <w:r>
        <w:rPr>
          <w:rFonts w:ascii="Times New Roman" w:hAnsi="Times New Roman"/>
          <w:noProof/>
          <w:sz w:val="20"/>
        </w:rPr>
        <w:t xml:space="preserve"> de l’annexe VII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72 – Assurance maladie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L’ensemble des institutions ont élaboré des règles arrêtées d’un commun accord ayant trait à l’assurance maladie, ainsi que le prévoit l’article 72, paragraphe 1, premier alinéa,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72 – Remboursement des frais médicaux</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L’exercice de ce pouvoir lui ayant été confié par l’ensemble des institutions au titre de l’article 72, paragraphe 1, troisième alinéa, du statut, la Commission a adopté des règles régissant le remboursement des frais applicables dans toutes les institutions.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73 – Assurance contre les risques de maladie professionnelle et les risques d’accident</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Toutes les institutions ont élaboré des règles arrêtées d’un commun accord concernant l’assurance contre les risques de maladie professionnelle et les risques d’accident, en application de l’article 73, paragraphe 1, du statut.</w:t>
      </w:r>
    </w:p>
    <w:p>
      <w:pPr>
        <w:pBdr>
          <w:top w:val="dashed" w:sz="4" w:space="1" w:color="auto"/>
          <w:left w:val="dashed" w:sz="4" w:space="4" w:color="auto"/>
          <w:bottom w:val="dashed" w:sz="4" w:space="1" w:color="auto"/>
          <w:right w:val="dashed" w:sz="4" w:space="4" w:color="auto"/>
        </w:pBdr>
        <w:rPr>
          <w:rFonts w:ascii="Times New Roman" w:hAnsi="Times New Roman" w:cs="Times New Roman"/>
          <w:i/>
          <w:noProof/>
          <w:sz w:val="20"/>
          <w:szCs w:val="20"/>
        </w:rPr>
      </w:pPr>
      <w:r>
        <w:rPr>
          <w:rFonts w:ascii="Times New Roman" w:hAnsi="Times New Roman"/>
          <w:i/>
          <w:noProof/>
          <w:sz w:val="20"/>
        </w:rPr>
        <w:t>Article 76 </w:t>
      </w:r>
      <w:r>
        <w:rPr>
          <w:rFonts w:ascii="Times New Roman" w:hAnsi="Times New Roman"/>
          <w:noProof/>
          <w:sz w:val="20"/>
        </w:rPr>
        <w:t>bis</w:t>
      </w:r>
      <w:r>
        <w:rPr>
          <w:rFonts w:ascii="Times New Roman" w:hAnsi="Times New Roman"/>
          <w:i/>
          <w:noProof/>
          <w:sz w:val="20"/>
        </w:rPr>
        <w:t xml:space="preserve"> – Aide complétant la pension du conjoint survivant affecté d’une maladie grave ou prolongée ou souffrant d’un handicap</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Toutes les institutions ont fixé d’un commun accord des modalités d’application relatives à l’aide complétant la pension du conjoint survivant affecté d’une maladie grave ou prolongée ou souffrant d’un handicap, comme le prévoit l’article 76 </w:t>
      </w:r>
      <w:r>
        <w:rPr>
          <w:rFonts w:ascii="Times New Roman" w:hAnsi="Times New Roman"/>
          <w:i/>
          <w:noProof/>
          <w:sz w:val="20"/>
        </w:rPr>
        <w:t>bis</w:t>
      </w:r>
      <w:r>
        <w:rPr>
          <w:rFonts w:ascii="Times New Roman" w:hAnsi="Times New Roman"/>
          <w:noProof/>
          <w:sz w:val="20"/>
        </w:rPr>
        <w:t xml:space="preserve">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77; annexe VIII, article 11 – Transfert IN des droits à pension</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Huit institutions ont adopté des dispositions générales d’exécution pour déterminer le nombre d’annuités qu’elles prennent en compte d’après le régime de pension de l’Union au titre de la période de service antérieur pour un fonctionnaire qui entre au service de l’Union après avoir cessé ses fonctions auprès d’une administration ou d’une organisation nationale ou internationale ou dans le cadre d’une activité salariée ou non salariée, en vertu de l’article 11, paragraphe 2, deuxième alinéa, de l’annexe VIII du statut.</w:t>
      </w:r>
    </w:p>
    <w:p>
      <w:pPr>
        <w:jc w:val="both"/>
        <w:rPr>
          <w:rFonts w:ascii="Times New Roman" w:hAnsi="Times New Roman" w:cs="Times New Roman"/>
          <w:noProof/>
          <w:sz w:val="24"/>
          <w:szCs w:val="24"/>
        </w:rPr>
      </w:pPr>
      <w:r>
        <w:rPr>
          <w:rFonts w:ascii="Times New Roman" w:hAnsi="Times New Roman"/>
          <w:noProof/>
          <w:sz w:val="24"/>
        </w:rPr>
        <w:t>Plusieurs institutions ont également arrêté des règles d’exécution sur les sujets suivants abordés dans le titre V du statut: allocations familiales, allocation de foyer par décision spéciale, personnes assimilées à un enfant à charge, frais de voyage annuels, lieu d’origine, prêts et avances, calcul des droits à pension et allocation d’invalidité.</w:t>
      </w:r>
    </w:p>
    <w:p>
      <w:pPr>
        <w:jc w:val="center"/>
        <w:rPr>
          <w:rFonts w:ascii="Times New Roman" w:hAnsi="Times New Roman" w:cs="Times New Roman"/>
          <w:i/>
          <w:noProof/>
          <w:sz w:val="24"/>
          <w:szCs w:val="24"/>
          <w:u w:val="single"/>
        </w:rPr>
      </w:pPr>
      <w:r>
        <w:rPr>
          <w:rFonts w:ascii="Times New Roman" w:hAnsi="Times New Roman"/>
          <w:i/>
          <w:noProof/>
          <w:sz w:val="24"/>
          <w:u w:val="single"/>
        </w:rPr>
        <w:t>Titre VI – Du régime disciplinaire</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86; annexe IX, article 2, paragraphe 3, et article 30 – Enquêtes administratives et procédure disciplinaire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Six institutions ont arrêté des dispositions générales d’exécution concernant les enquêtes administratives et la procédure disciplinaire, en application de l’article 2, paragraphe 3, et de l’article 30 de l’annexe IX du statut.</w:t>
      </w:r>
    </w:p>
    <w:p>
      <w:pPr>
        <w:jc w:val="center"/>
        <w:rPr>
          <w:rFonts w:ascii="Times New Roman" w:hAnsi="Times New Roman" w:cs="Times New Roman"/>
          <w:i/>
          <w:noProof/>
          <w:sz w:val="24"/>
          <w:szCs w:val="24"/>
          <w:u w:val="single"/>
        </w:rPr>
      </w:pPr>
      <w:r>
        <w:rPr>
          <w:rFonts w:ascii="Times New Roman" w:hAnsi="Times New Roman"/>
          <w:i/>
          <w:noProof/>
          <w:sz w:val="24"/>
          <w:u w:val="single"/>
        </w:rPr>
        <w:t>Titre VII – Des voies de recours</w:t>
      </w:r>
    </w:p>
    <w:p>
      <w:pPr>
        <w:jc w:val="both"/>
        <w:rPr>
          <w:rFonts w:ascii="Times New Roman" w:hAnsi="Times New Roman" w:cs="Times New Roman"/>
          <w:noProof/>
          <w:sz w:val="24"/>
          <w:szCs w:val="24"/>
        </w:rPr>
      </w:pPr>
      <w:r>
        <w:rPr>
          <w:rFonts w:ascii="Times New Roman" w:hAnsi="Times New Roman"/>
          <w:noProof/>
          <w:sz w:val="24"/>
        </w:rPr>
        <w:t>Une institution a adopté des règles d’exécution sur les voies de recours au sens des articles 90 et 91 du statut.</w:t>
      </w:r>
    </w:p>
    <w:p>
      <w:pPr>
        <w:jc w:val="center"/>
        <w:rPr>
          <w:rFonts w:ascii="Times New Roman" w:hAnsi="Times New Roman" w:cs="Times New Roman"/>
          <w:i/>
          <w:noProof/>
          <w:sz w:val="24"/>
          <w:szCs w:val="24"/>
          <w:u w:val="single"/>
        </w:rPr>
      </w:pPr>
      <w:r>
        <w:rPr>
          <w:rFonts w:ascii="Times New Roman" w:hAnsi="Times New Roman"/>
          <w:i/>
          <w:noProof/>
          <w:sz w:val="24"/>
          <w:u w:val="single"/>
        </w:rPr>
        <w:t>Titre VIII </w:t>
      </w:r>
      <w:r>
        <w:rPr>
          <w:rFonts w:ascii="Times New Roman" w:hAnsi="Times New Roman"/>
          <w:noProof/>
          <w:sz w:val="24"/>
          <w:u w:val="single"/>
        </w:rPr>
        <w:t>bis</w:t>
      </w:r>
      <w:r>
        <w:rPr>
          <w:rFonts w:ascii="Times New Roman" w:hAnsi="Times New Roman"/>
          <w:i/>
          <w:noProof/>
          <w:sz w:val="24"/>
          <w:u w:val="single"/>
        </w:rPr>
        <w:t xml:space="preserve"> – Dispositions particulières applicables au SEAE </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i/>
          <w:noProof/>
          <w:sz w:val="20"/>
        </w:rPr>
        <w:t xml:space="preserve">Article 96 – Fonctionnaires de la Commission travaillant dans une délégation de l’Union et fonctionnaires du SEAE qui doivent accomplir des tâches pour la Commission </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La Commission et le SEAE ont convenu des mesures d’exécution détaillées sur le fait qu’un fonctionnaire de la Commission travaillant dans une délégation de l’Union doit suivre les instructions du chef de délégation et un fonctionnaire du SEAE qui doit accomplir des tâches pour la Commission doit suivre les instructions de cette dernière, en application de l’article 96 du statut.</w:t>
      </w:r>
    </w:p>
    <w:p>
      <w:pPr>
        <w:jc w:val="center"/>
        <w:rPr>
          <w:rFonts w:ascii="Times New Roman" w:hAnsi="Times New Roman" w:cs="Times New Roman"/>
          <w:i/>
          <w:noProof/>
          <w:sz w:val="24"/>
          <w:szCs w:val="24"/>
          <w:u w:val="single"/>
        </w:rPr>
      </w:pPr>
      <w:r>
        <w:rPr>
          <w:rFonts w:ascii="Times New Roman" w:hAnsi="Times New Roman"/>
          <w:i/>
          <w:noProof/>
          <w:sz w:val="24"/>
          <w:u w:val="single"/>
        </w:rPr>
        <w:t>Titre VIII </w:t>
      </w:r>
      <w:r>
        <w:rPr>
          <w:rFonts w:ascii="Times New Roman" w:hAnsi="Times New Roman"/>
          <w:noProof/>
          <w:sz w:val="24"/>
          <w:u w:val="single"/>
        </w:rPr>
        <w:t>ter</w:t>
      </w:r>
      <w:r>
        <w:rPr>
          <w:rFonts w:ascii="Times New Roman" w:hAnsi="Times New Roman"/>
          <w:i/>
          <w:noProof/>
          <w:sz w:val="24"/>
          <w:u w:val="single"/>
        </w:rPr>
        <w:t xml:space="preserve"> – Des dispositions particulières et dérogatoires applicables aux fonctionnaires affectés dans un pays tiers </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101 </w:t>
      </w:r>
      <w:r>
        <w:rPr>
          <w:rFonts w:ascii="Times New Roman" w:hAnsi="Times New Roman"/>
          <w:noProof/>
          <w:sz w:val="20"/>
        </w:rPr>
        <w:t>bis</w:t>
      </w:r>
      <w:r>
        <w:rPr>
          <w:rFonts w:ascii="Times New Roman" w:hAnsi="Times New Roman"/>
          <w:i/>
          <w:noProof/>
          <w:sz w:val="20"/>
        </w:rPr>
        <w:t>; annexe X, article 1</w:t>
      </w:r>
      <w:r>
        <w:rPr>
          <w:rFonts w:ascii="Times New Roman" w:hAnsi="Times New Roman"/>
          <w:i/>
          <w:noProof/>
          <w:sz w:val="20"/>
          <w:vertAlign w:val="superscript"/>
        </w:rPr>
        <w:t>er</w:t>
      </w:r>
      <w:r>
        <w:rPr>
          <w:rFonts w:ascii="Times New Roman" w:hAnsi="Times New Roman"/>
          <w:i/>
          <w:noProof/>
          <w:sz w:val="20"/>
        </w:rPr>
        <w:t xml:space="preserve"> – Fonctionnaires affectés dans un pays tiers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La Commission et le SEAE ont arrêté des dispositions générales d’exécution applicables aux fonctionnaires de l’Union européenne affectés dans un pays tiers, conformément à l’article 1</w:t>
      </w:r>
      <w:r>
        <w:rPr>
          <w:rFonts w:ascii="Times New Roman" w:hAnsi="Times New Roman"/>
          <w:noProof/>
          <w:sz w:val="20"/>
          <w:vertAlign w:val="superscript"/>
        </w:rPr>
        <w:t>er</w:t>
      </w:r>
      <w:r>
        <w:rPr>
          <w:rFonts w:ascii="Times New Roman" w:hAnsi="Times New Roman"/>
          <w:noProof/>
          <w:sz w:val="20"/>
        </w:rPr>
        <w:t>, troisième alinéa, de l’annexe X du statut.</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i/>
          <w:noProof/>
          <w:sz w:val="20"/>
        </w:rPr>
        <w:t>Article 101 </w:t>
      </w:r>
      <w:r>
        <w:rPr>
          <w:rFonts w:ascii="Times New Roman" w:hAnsi="Times New Roman"/>
          <w:noProof/>
          <w:sz w:val="20"/>
        </w:rPr>
        <w:t>bis</w:t>
      </w:r>
      <w:r>
        <w:rPr>
          <w:rFonts w:ascii="Times New Roman" w:hAnsi="Times New Roman"/>
          <w:i/>
          <w:noProof/>
          <w:sz w:val="20"/>
        </w:rPr>
        <w:t>; annexe X, article 2 – Mobilité des fonctionnaires affectés dans un pays tiers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Les institutions n’ont pas fixé de modalités concernant la mobilité suivant une procédure spécifique, dénommée «procédure de mobilité», ainsi que le prévoit l’article 2, deuxième alinéa, de l’annexe X du statut.</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i/>
          <w:noProof/>
          <w:sz w:val="20"/>
        </w:rPr>
        <w:t>Article 101 </w:t>
      </w:r>
      <w:r>
        <w:rPr>
          <w:rFonts w:ascii="Times New Roman" w:hAnsi="Times New Roman"/>
          <w:noProof/>
          <w:sz w:val="20"/>
        </w:rPr>
        <w:t>bis</w:t>
      </w:r>
      <w:r>
        <w:rPr>
          <w:rFonts w:ascii="Times New Roman" w:hAnsi="Times New Roman"/>
          <w:i/>
          <w:noProof/>
          <w:sz w:val="20"/>
        </w:rPr>
        <w:t>; annexe X, article 3 – Application exceptionnelle de l’annexe X aux fonctionnaires temporairement réaffectés au siège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Les institutions n’ont pas adopté de dispositions générales d’exécution sur l’application exceptionnelle de l’annexe X du statut aux fonctionnaires qui sont temporairement réaffectés au siège, comme prévu à l’article 3 de l’annexe X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101 </w:t>
      </w:r>
      <w:r>
        <w:rPr>
          <w:rFonts w:ascii="Times New Roman" w:hAnsi="Times New Roman"/>
          <w:noProof/>
          <w:sz w:val="20"/>
        </w:rPr>
        <w:t>bis</w:t>
      </w:r>
      <w:r>
        <w:rPr>
          <w:rFonts w:ascii="Times New Roman" w:hAnsi="Times New Roman"/>
          <w:i/>
          <w:noProof/>
          <w:sz w:val="20"/>
        </w:rPr>
        <w:t>; annexe X, article 5 – Logement des fonctionnaires affectés dans un pays tiers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La Commission et le SEAE ont fixé des modalités d’application sur la mise à disposition d’un logement au fonctionnaire, comme le prévoit l’article 5, paragraphe 2, de l’annexe X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101 </w:t>
      </w:r>
      <w:r>
        <w:rPr>
          <w:rFonts w:ascii="Times New Roman" w:hAnsi="Times New Roman"/>
          <w:noProof/>
          <w:sz w:val="20"/>
        </w:rPr>
        <w:t>bis</w:t>
      </w:r>
      <w:r>
        <w:rPr>
          <w:rFonts w:ascii="Times New Roman" w:hAnsi="Times New Roman"/>
          <w:i/>
          <w:noProof/>
          <w:sz w:val="20"/>
        </w:rPr>
        <w:t>; annexe X, article 10 – Indemnité de conditions de vie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La Commission et le SEAE ont adopté des modalités d’application concernant l’indemnité de conditions de vie, en application de l’article 10, paragraphe 3, de l’annexe X du statut.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i/>
          <w:noProof/>
          <w:sz w:val="20"/>
        </w:rPr>
        <w:t>Article 101 </w:t>
      </w:r>
      <w:r>
        <w:rPr>
          <w:rFonts w:ascii="Times New Roman" w:hAnsi="Times New Roman"/>
          <w:noProof/>
          <w:sz w:val="20"/>
        </w:rPr>
        <w:t>bis</w:t>
      </w:r>
      <w:r>
        <w:rPr>
          <w:rFonts w:ascii="Times New Roman" w:hAnsi="Times New Roman"/>
          <w:i/>
          <w:noProof/>
          <w:sz w:val="20"/>
        </w:rPr>
        <w:t>; annexe X, article 23 – Remboursement du montant du loyer des fonctionnaires affectés dans un pays tiers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La Commission et le SEAE ont fixé des modalités d’application concernant une indemnité de logement ou le remboursement du montant du loyer, comme le prévoit l’article 23, quatrième alinéa, de l’annexe X du statut.</w:t>
      </w:r>
    </w:p>
    <w:p>
      <w:pPr>
        <w:jc w:val="both"/>
        <w:rPr>
          <w:rFonts w:ascii="Times New Roman" w:hAnsi="Times New Roman" w:cs="Times New Roman"/>
          <w:noProof/>
          <w:sz w:val="24"/>
          <w:szCs w:val="24"/>
        </w:rPr>
      </w:pPr>
      <w:r>
        <w:rPr>
          <w:rFonts w:ascii="Times New Roman" w:hAnsi="Times New Roman"/>
          <w:noProof/>
          <w:sz w:val="24"/>
        </w:rPr>
        <w:t>La Commission et le SEAE ont également arrêté des règles d’exécution sur les sujets suivants abordés dans le titre VIII </w:t>
      </w:r>
      <w:r>
        <w:rPr>
          <w:rFonts w:ascii="Times New Roman" w:hAnsi="Times New Roman"/>
          <w:i/>
          <w:noProof/>
          <w:sz w:val="24"/>
        </w:rPr>
        <w:t>ter</w:t>
      </w:r>
      <w:r>
        <w:rPr>
          <w:rFonts w:ascii="Times New Roman" w:hAnsi="Times New Roman"/>
          <w:noProof/>
          <w:sz w:val="24"/>
        </w:rPr>
        <w:t xml:space="preserve"> du statut et l’annexe X: congé de détente, monnaie et coefficient correcteur, remboursement des fonctionnaires affectés dans un pays tiers, indemnité de logement provisoire et frais de transport, assurance maladie et couverture des risques d’accident.</w:t>
      </w:r>
    </w:p>
    <w:p>
      <w:pPr>
        <w:rPr>
          <w:rFonts w:ascii="Times New Roman" w:hAnsi="Times New Roman" w:cs="Times New Roman"/>
          <w:b/>
          <w:i/>
          <w:noProof/>
          <w:sz w:val="24"/>
          <w:szCs w:val="24"/>
        </w:rPr>
      </w:pPr>
    </w:p>
    <w:p>
      <w:pPr>
        <w:jc w:val="center"/>
        <w:rPr>
          <w:rFonts w:ascii="Times New Roman" w:hAnsi="Times New Roman" w:cs="Times New Roman"/>
          <w:b/>
          <w:i/>
          <w:noProof/>
          <w:sz w:val="28"/>
          <w:szCs w:val="28"/>
        </w:rPr>
      </w:pPr>
      <w:r>
        <w:rPr>
          <w:rFonts w:ascii="Times New Roman" w:hAnsi="Times New Roman"/>
          <w:b/>
          <w:i/>
          <w:noProof/>
          <w:sz w:val="28"/>
        </w:rPr>
        <w:t>Régime applicable aux autres agents</w:t>
      </w:r>
    </w:p>
    <w:p>
      <w:pPr>
        <w:jc w:val="center"/>
        <w:rPr>
          <w:rFonts w:ascii="Times New Roman" w:hAnsi="Times New Roman" w:cs="Times New Roman"/>
          <w:i/>
          <w:noProof/>
          <w:sz w:val="24"/>
          <w:szCs w:val="24"/>
          <w:u w:val="single"/>
        </w:rPr>
      </w:pPr>
      <w:r>
        <w:rPr>
          <w:rFonts w:ascii="Times New Roman" w:hAnsi="Times New Roman"/>
          <w:i/>
          <w:noProof/>
          <w:sz w:val="24"/>
          <w:u w:val="single"/>
        </w:rPr>
        <w:t>Titre II – Des agents temporaires</w:t>
      </w:r>
    </w:p>
    <w:p>
      <w:pPr>
        <w:pBdr>
          <w:top w:val="dashed" w:sz="4" w:space="1" w:color="auto"/>
          <w:left w:val="dashed" w:sz="4" w:space="4" w:color="auto"/>
          <w:bottom w:val="dashed" w:sz="4" w:space="1" w:color="auto"/>
          <w:right w:val="dashed" w:sz="4" w:space="4" w:color="auto"/>
        </w:pBdr>
        <w:rPr>
          <w:rFonts w:ascii="Times New Roman" w:hAnsi="Times New Roman" w:cs="Times New Roman"/>
          <w:i/>
          <w:noProof/>
          <w:sz w:val="20"/>
          <w:szCs w:val="20"/>
        </w:rPr>
      </w:pPr>
      <w:r>
        <w:rPr>
          <w:rFonts w:ascii="Times New Roman" w:hAnsi="Times New Roman"/>
          <w:i/>
          <w:noProof/>
          <w:sz w:val="20"/>
        </w:rPr>
        <w:t>Article 12, paragraphe 1, troisième alinéa – Mesures appropriées en cas de constat d’un déséquilibre important entre nationalités parmi les agents temporaires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L’article 12, paragraphe 1, troisième alinéa, permet à chaque institution d’adopter des mesures appropriées si elle constate un déséquilibre important entre nationalités parmi les agents temporaires, qui ne se justifie pas par des critères objectifs. Ces mesures appropriées doivent être justifiées et ne peuvent jamais se traduire par des critères de recrutement autres que ceux fondés sur le mérite. Avant l’adoption de telles mesures appropriées, l’autorité habilitée à conclure des contrats d’engagement arrête les dispositions générales d’exécution. Au moment de la finalisation du présent rapport, aucune institution n’avait encore adopté de telles dispositions d’exécution.</w:t>
      </w:r>
    </w:p>
    <w:p>
      <w:pPr>
        <w:pBdr>
          <w:top w:val="dashed" w:sz="4" w:space="1" w:color="auto"/>
          <w:left w:val="dashed" w:sz="4" w:space="4" w:color="auto"/>
          <w:bottom w:val="dashed" w:sz="4" w:space="1" w:color="auto"/>
          <w:right w:val="dashed" w:sz="4" w:space="4" w:color="auto"/>
        </w:pBdr>
        <w:ind w:left="2160" w:hanging="2160"/>
        <w:jc w:val="both"/>
        <w:rPr>
          <w:rFonts w:ascii="Times New Roman" w:hAnsi="Times New Roman" w:cs="Times New Roman"/>
          <w:i/>
          <w:noProof/>
          <w:sz w:val="20"/>
          <w:szCs w:val="20"/>
        </w:rPr>
      </w:pPr>
      <w:r>
        <w:rPr>
          <w:rFonts w:ascii="Times New Roman" w:hAnsi="Times New Roman"/>
          <w:i/>
          <w:noProof/>
          <w:sz w:val="20"/>
        </w:rPr>
        <w:t>Article 12, paragraphe 5 – Procédures de recrutement du personnel temporaire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 xml:space="preserve">Cinq institutions ont adopté des dispositions d’exécution concernant les procédures de recrutement du personnel temporaire conformément à l’article 12, paragraphe 5, du régime applicable aux autres agents. </w:t>
      </w:r>
    </w:p>
    <w:p>
      <w:pPr>
        <w:pBdr>
          <w:top w:val="dashed" w:sz="4" w:space="1" w:color="auto"/>
          <w:left w:val="dashed" w:sz="4" w:space="4" w:color="auto"/>
          <w:bottom w:val="dashed" w:sz="4" w:space="1" w:color="auto"/>
          <w:right w:val="dashed" w:sz="4" w:space="4" w:color="auto"/>
        </w:pBdr>
        <w:ind w:left="2160" w:hanging="2160"/>
        <w:jc w:val="both"/>
        <w:rPr>
          <w:rFonts w:ascii="Times New Roman" w:hAnsi="Times New Roman" w:cs="Times New Roman"/>
          <w:i/>
          <w:noProof/>
          <w:sz w:val="20"/>
          <w:szCs w:val="20"/>
        </w:rPr>
      </w:pPr>
      <w:r>
        <w:rPr>
          <w:rFonts w:ascii="Times New Roman" w:hAnsi="Times New Roman"/>
          <w:i/>
          <w:noProof/>
          <w:sz w:val="20"/>
        </w:rPr>
        <w:t>Article 28 bis, paragraphe 10 – Application de la disposition relative à l’octroi d’une allocation de chômage aux agents temporaires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Toutes les institutions ont établi d’un commun accord des modalités d’application des dispositions relatives à l’octroi d’une allocation de chômage aux agents temporaires, en application de l’article 28 </w:t>
      </w:r>
      <w:r>
        <w:rPr>
          <w:rFonts w:ascii="Times New Roman" w:hAnsi="Times New Roman"/>
          <w:i/>
          <w:noProof/>
          <w:sz w:val="20"/>
        </w:rPr>
        <w:t>bis</w:t>
      </w:r>
      <w:r>
        <w:rPr>
          <w:rFonts w:ascii="Times New Roman" w:hAnsi="Times New Roman"/>
          <w:noProof/>
          <w:sz w:val="20"/>
        </w:rPr>
        <w:t>, paragraphe 10, du régime applicable aux autres agents (RAA).</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i/>
          <w:noProof/>
          <w:sz w:val="20"/>
        </w:rPr>
        <w:t>Article 54 – Reclassement des agents temporaires - article 2, point f), du RAA</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La plupart des agences ont, sur la base d’un accord ex ante de la Commission, adopté des dispositions générales d’exécution des dispositions relatives au classement des agents temporaires [article 2, point f), du RAA] au grade immédiatement supérieur, comme le prévoit l’article 54, deuxième alinéa, du régime applicable aux autres agents.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i/>
          <w:noProof/>
          <w:sz w:val="20"/>
        </w:rPr>
        <w:t>Article 56 – Engagement et emploi des agents temporaires - article 2, point f), du RAA</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La plupart des agences ont, sur la base d’un accord ex ante de la Commission, adopté des dispositions générales d’exécution concernant les procédures d’engagement et d’emploi des agents temporaires [article 2, point f), du RAA], comme le prévoit l’article 56 du régime applicable aux autres agents.</w:t>
      </w:r>
    </w:p>
    <w:p>
      <w:pPr>
        <w:jc w:val="both"/>
        <w:rPr>
          <w:rFonts w:ascii="Times New Roman" w:hAnsi="Times New Roman" w:cs="Times New Roman"/>
          <w:noProof/>
          <w:sz w:val="24"/>
          <w:szCs w:val="24"/>
        </w:rPr>
      </w:pPr>
      <w:r>
        <w:rPr>
          <w:rFonts w:ascii="Times New Roman" w:hAnsi="Times New Roman"/>
          <w:noProof/>
          <w:sz w:val="24"/>
        </w:rPr>
        <w:t>Quelques institutions ont aussi adopté des règles d’exécution sur les sujets suivants qui concernent le titre II du régime applicable aux autres agents: politique générale d’engagement et d’emploi des agents temporaires, reclassement des agents temporaires et paiement du congé de maternité.</w:t>
      </w:r>
    </w:p>
    <w:p>
      <w:pPr>
        <w:jc w:val="center"/>
        <w:rPr>
          <w:rFonts w:ascii="Times New Roman" w:hAnsi="Times New Roman" w:cs="Times New Roman"/>
          <w:i/>
          <w:noProof/>
          <w:sz w:val="24"/>
          <w:szCs w:val="24"/>
          <w:u w:val="single"/>
        </w:rPr>
      </w:pPr>
      <w:r>
        <w:rPr>
          <w:rFonts w:ascii="Times New Roman" w:hAnsi="Times New Roman"/>
          <w:i/>
          <w:noProof/>
          <w:sz w:val="24"/>
          <w:u w:val="single"/>
        </w:rPr>
        <w:t>Titre IV – Agents contractuels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i/>
          <w:noProof/>
          <w:sz w:val="20"/>
        </w:rPr>
        <w:t>Article 79, paragraphe 2 – Recours aux agents contractuels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Toutes les institutions ont adopté des modalités générales d’application régissant le recours aux agents contractuels, ainsi que le prévoit l’article 79, paragraphe 2, du régime applicable aux autres agents.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i/>
          <w:noProof/>
          <w:sz w:val="20"/>
        </w:rPr>
        <w:t>Article 82, paragraphe 6 – Recrutement des agents contractuels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Toutes les institutions ont fixé des modalités générales d’application régissant les procédures de recrutement des agents contractuels, conformément à l’article 82, paragraphe 6, du régime applicable aux autres agents.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i/>
          <w:noProof/>
          <w:sz w:val="20"/>
        </w:rPr>
        <w:t>Article 86, paragraphe 1 – Classement en grade des agents contractuels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Toutes les institutions ont arrêté des dispositions générales d’exécution régissant le classement en grade des agents contractuels, en application de l’article 86, paragraphe 1, du régime applicable aux autres agents.</w:t>
      </w:r>
    </w:p>
    <w:p>
      <w:pPr>
        <w:jc w:val="both"/>
        <w:rPr>
          <w:rFonts w:ascii="Times New Roman" w:hAnsi="Times New Roman" w:cs="Times New Roman"/>
          <w:noProof/>
          <w:sz w:val="24"/>
          <w:szCs w:val="24"/>
        </w:rPr>
      </w:pPr>
      <w:r>
        <w:rPr>
          <w:rFonts w:ascii="Times New Roman" w:hAnsi="Times New Roman"/>
          <w:noProof/>
          <w:sz w:val="24"/>
        </w:rPr>
        <w:t>La Commission a également adopté des règles d’exécution concernant les agents contractuels dans les délégations.</w:t>
      </w:r>
    </w:p>
    <w:p>
      <w:pPr>
        <w:jc w:val="center"/>
        <w:rPr>
          <w:rFonts w:ascii="Times New Roman" w:hAnsi="Times New Roman" w:cs="Times New Roman"/>
          <w:i/>
          <w:noProof/>
          <w:sz w:val="24"/>
          <w:szCs w:val="24"/>
          <w:u w:val="single"/>
        </w:rPr>
      </w:pPr>
      <w:r>
        <w:rPr>
          <w:rFonts w:ascii="Times New Roman" w:hAnsi="Times New Roman"/>
          <w:i/>
          <w:noProof/>
          <w:sz w:val="24"/>
          <w:u w:val="single"/>
        </w:rPr>
        <w:t>Titre V – Des agents locaux</w:t>
      </w:r>
    </w:p>
    <w:p>
      <w:pPr>
        <w:jc w:val="both"/>
        <w:rPr>
          <w:rFonts w:ascii="Times New Roman" w:hAnsi="Times New Roman" w:cs="Times New Roman"/>
          <w:noProof/>
          <w:sz w:val="24"/>
          <w:szCs w:val="24"/>
        </w:rPr>
      </w:pPr>
      <w:r>
        <w:rPr>
          <w:rFonts w:ascii="Times New Roman" w:hAnsi="Times New Roman"/>
          <w:noProof/>
          <w:sz w:val="24"/>
        </w:rPr>
        <w:t>La Commission et le SEAE ont adopté des règles d’exécution relatives aux agents locaux dans les délégations.</w:t>
      </w:r>
    </w:p>
    <w:p>
      <w:pPr>
        <w:jc w:val="center"/>
        <w:rPr>
          <w:rFonts w:ascii="Times New Roman" w:hAnsi="Times New Roman" w:cs="Times New Roman"/>
          <w:i/>
          <w:noProof/>
          <w:sz w:val="24"/>
          <w:szCs w:val="24"/>
          <w:u w:val="single"/>
        </w:rPr>
      </w:pPr>
      <w:r>
        <w:rPr>
          <w:rFonts w:ascii="Times New Roman" w:hAnsi="Times New Roman"/>
          <w:i/>
          <w:noProof/>
          <w:sz w:val="24"/>
          <w:u w:val="single"/>
        </w:rPr>
        <w:t>Titre VI – Des conseillers spéciaux</w:t>
      </w:r>
    </w:p>
    <w:p>
      <w:pPr>
        <w:jc w:val="both"/>
        <w:rPr>
          <w:rFonts w:ascii="Times New Roman" w:hAnsi="Times New Roman" w:cs="Times New Roman"/>
          <w:noProof/>
          <w:sz w:val="24"/>
          <w:szCs w:val="24"/>
        </w:rPr>
      </w:pPr>
      <w:r>
        <w:rPr>
          <w:rFonts w:ascii="Times New Roman" w:hAnsi="Times New Roman"/>
          <w:noProof/>
          <w:sz w:val="24"/>
        </w:rPr>
        <w:t>La Commission a arrêté des règles d’exécution relatives aux conseillers spéciaux.</w:t>
      </w:r>
    </w:p>
    <w:p>
      <w:pPr>
        <w:jc w:val="center"/>
        <w:rPr>
          <w:rFonts w:ascii="Times New Roman" w:hAnsi="Times New Roman" w:cs="Times New Roman"/>
          <w:i/>
          <w:noProof/>
          <w:sz w:val="24"/>
          <w:szCs w:val="24"/>
          <w:u w:val="single"/>
        </w:rPr>
      </w:pPr>
      <w:r>
        <w:rPr>
          <w:rFonts w:ascii="Times New Roman" w:hAnsi="Times New Roman"/>
          <w:i/>
          <w:noProof/>
          <w:sz w:val="24"/>
          <w:u w:val="single"/>
        </w:rPr>
        <w:t>Titre VII – Assistants parlementaires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i/>
          <w:noProof/>
          <w:sz w:val="20"/>
        </w:rPr>
        <w:t>Article 125 – Assistants parlementaires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noProof/>
          <w:sz w:val="20"/>
        </w:rPr>
        <w:t>Le Parlement européen a adopté, par une décision interne, des mesures d’application aux fins de l’application des dispositions portant sur les assistants parlementaires, comme prévu à l’article 125, paragraphe 1, du régime applicable aux autres agents.</w:t>
      </w:r>
    </w:p>
    <w:p>
      <w:pPr>
        <w:pStyle w:val="Heading2"/>
        <w:rPr>
          <w:noProof/>
        </w:rPr>
      </w:pPr>
      <w:bookmarkStart w:id="24" w:name="_Toc486939901"/>
      <w:bookmarkStart w:id="25" w:name="_Toc495934037"/>
      <w:r>
        <w:rPr>
          <w:noProof/>
        </w:rPr>
        <w:t>b)</w:t>
      </w:r>
      <w:r>
        <w:rPr>
          <w:noProof/>
        </w:rPr>
        <w:tab/>
        <w:t>Le registre tenu par la Cour de justice</w:t>
      </w:r>
      <w:bookmarkEnd w:id="24"/>
      <w:bookmarkEnd w:id="25"/>
    </w:p>
    <w:p>
      <w:pPr>
        <w:jc w:val="both"/>
        <w:rPr>
          <w:rFonts w:ascii="Times New Roman" w:hAnsi="Times New Roman" w:cs="Times New Roman"/>
          <w:noProof/>
          <w:sz w:val="24"/>
          <w:szCs w:val="24"/>
        </w:rPr>
      </w:pPr>
      <w:r>
        <w:rPr>
          <w:rFonts w:ascii="Times New Roman" w:hAnsi="Times New Roman"/>
          <w:noProof/>
          <w:sz w:val="24"/>
        </w:rPr>
        <w:t>Depuis février 2014, le registre des règles adoptées par l’autorité investie du pouvoir de nomination de chaque institution et agence est accessible au public au moyen de l’application internet «Centre de ressources de communication et d’information pour les administrations, les entreprises et les citoyens (CIRCABC)», à laquelle il est possible d’accéder au moyen d’un compte ECAS (service d’authentification de la Commission européenne) spécifique.</w:t>
      </w:r>
    </w:p>
    <w:p>
      <w:pPr>
        <w:jc w:val="both"/>
        <w:rPr>
          <w:rFonts w:ascii="Times New Roman" w:hAnsi="Times New Roman" w:cs="Times New Roman"/>
          <w:noProof/>
          <w:sz w:val="24"/>
          <w:szCs w:val="24"/>
        </w:rPr>
      </w:pPr>
      <w:r>
        <w:rPr>
          <w:rFonts w:ascii="Times New Roman" w:hAnsi="Times New Roman"/>
          <w:noProof/>
          <w:sz w:val="24"/>
        </w:rPr>
        <w:t>Le registre est structuré comme suit:</w:t>
      </w:r>
    </w:p>
    <w:tbl>
      <w:tblPr>
        <w:tblStyle w:val="TableGrid"/>
        <w:tblW w:w="0" w:type="auto"/>
        <w:tblLook w:val="04A0" w:firstRow="1" w:lastRow="0" w:firstColumn="1" w:lastColumn="0" w:noHBand="0" w:noVBand="1"/>
      </w:tblPr>
      <w:tblGrid>
        <w:gridCol w:w="2660"/>
        <w:gridCol w:w="6628"/>
      </w:tblGrid>
      <w:tr>
        <w:tc>
          <w:tcPr>
            <w:tcW w:w="2660" w:type="dxa"/>
          </w:tcPr>
          <w:p>
            <w:pPr>
              <w:jc w:val="center"/>
              <w:rPr>
                <w:rFonts w:ascii="Times New Roman" w:hAnsi="Times New Roman" w:cs="Times New Roman"/>
                <w:b/>
                <w:noProof/>
                <w:sz w:val="24"/>
                <w:szCs w:val="24"/>
              </w:rPr>
            </w:pPr>
            <w:r>
              <w:rPr>
                <w:rFonts w:ascii="Times New Roman" w:hAnsi="Times New Roman"/>
                <w:b/>
                <w:noProof/>
                <w:sz w:val="24"/>
              </w:rPr>
              <w:t>Intitulé</w:t>
            </w:r>
          </w:p>
        </w:tc>
        <w:tc>
          <w:tcPr>
            <w:tcW w:w="6628" w:type="dxa"/>
          </w:tcPr>
          <w:p>
            <w:pPr>
              <w:jc w:val="center"/>
              <w:rPr>
                <w:rFonts w:ascii="Times New Roman" w:hAnsi="Times New Roman" w:cs="Times New Roman"/>
                <w:b/>
                <w:noProof/>
                <w:sz w:val="24"/>
                <w:szCs w:val="24"/>
              </w:rPr>
            </w:pPr>
            <w:r>
              <w:rPr>
                <w:rFonts w:ascii="Times New Roman" w:hAnsi="Times New Roman"/>
                <w:b/>
                <w:noProof/>
                <w:sz w:val="24"/>
              </w:rPr>
              <w:t>Description</w:t>
            </w:r>
          </w:p>
        </w:tc>
      </w:tr>
      <w:tr>
        <w:tc>
          <w:tcPr>
            <w:tcW w:w="2660" w:type="dxa"/>
          </w:tcPr>
          <w:p>
            <w:pPr>
              <w:rPr>
                <w:rFonts w:ascii="Times New Roman" w:hAnsi="Times New Roman" w:cs="Times New Roman"/>
                <w:b/>
                <w:noProof/>
                <w:sz w:val="20"/>
                <w:szCs w:val="20"/>
              </w:rPr>
            </w:pPr>
            <w:r>
              <w:rPr>
                <w:rFonts w:ascii="Times New Roman" w:hAnsi="Times New Roman"/>
                <w:b/>
                <w:noProof/>
                <w:sz w:val="20"/>
              </w:rPr>
              <w:t>1. Statut et RAA</w:t>
            </w:r>
          </w:p>
        </w:tc>
        <w:tc>
          <w:tcPr>
            <w:tcW w:w="6628" w:type="dxa"/>
          </w:tcPr>
          <w:p>
            <w:pPr>
              <w:jc w:val="both"/>
              <w:rPr>
                <w:rFonts w:ascii="Times New Roman" w:hAnsi="Times New Roman" w:cs="Times New Roman"/>
                <w:i/>
                <w:noProof/>
                <w:sz w:val="20"/>
                <w:szCs w:val="20"/>
              </w:rPr>
            </w:pPr>
            <w:r>
              <w:rPr>
                <w:rFonts w:ascii="Times New Roman" w:hAnsi="Times New Roman"/>
                <w:i/>
                <w:noProof/>
                <w:sz w:val="20"/>
              </w:rPr>
              <w:t>«Il s’agit du Statut applicable aux fonctionnaires de l’Union européenne et du Régime applicable aux autres agents de l’Union.»</w:t>
            </w:r>
          </w:p>
        </w:tc>
      </w:tr>
      <w:tr>
        <w:tc>
          <w:tcPr>
            <w:tcW w:w="2660" w:type="dxa"/>
          </w:tcPr>
          <w:p>
            <w:pPr>
              <w:rPr>
                <w:rFonts w:ascii="Times New Roman" w:hAnsi="Times New Roman" w:cs="Times New Roman"/>
                <w:b/>
                <w:noProof/>
                <w:sz w:val="20"/>
                <w:szCs w:val="20"/>
              </w:rPr>
            </w:pPr>
            <w:r>
              <w:rPr>
                <w:rFonts w:ascii="Times New Roman" w:hAnsi="Times New Roman"/>
                <w:b/>
                <w:noProof/>
                <w:sz w:val="20"/>
              </w:rPr>
              <w:t xml:space="preserve">2. Règlementations de portée générale </w:t>
            </w:r>
          </w:p>
        </w:tc>
        <w:tc>
          <w:tcPr>
            <w:tcW w:w="6628" w:type="dxa"/>
          </w:tcPr>
          <w:p>
            <w:pPr>
              <w:jc w:val="both"/>
              <w:rPr>
                <w:rFonts w:ascii="Times New Roman" w:hAnsi="Times New Roman" w:cs="Times New Roman"/>
                <w:i/>
                <w:noProof/>
                <w:sz w:val="20"/>
                <w:szCs w:val="20"/>
              </w:rPr>
            </w:pPr>
            <w:r>
              <w:rPr>
                <w:rFonts w:ascii="Times New Roman" w:hAnsi="Times New Roman"/>
                <w:i/>
                <w:noProof/>
                <w:sz w:val="20"/>
              </w:rPr>
              <w:t>«Il s’agit de règlements adoptés par le Conseil de l’Union européenne ou d’actes délégués adoptés par la Commission européenne pour l’application du statut et applicables au personnel de l’ensemble des institutions et agences de l’Union.»</w:t>
            </w:r>
          </w:p>
        </w:tc>
      </w:tr>
      <w:tr>
        <w:tc>
          <w:tcPr>
            <w:tcW w:w="2660" w:type="dxa"/>
          </w:tcPr>
          <w:p>
            <w:pPr>
              <w:rPr>
                <w:rFonts w:ascii="Times New Roman" w:hAnsi="Times New Roman" w:cs="Times New Roman"/>
                <w:b/>
                <w:noProof/>
                <w:sz w:val="20"/>
                <w:szCs w:val="20"/>
              </w:rPr>
            </w:pPr>
            <w:r>
              <w:rPr>
                <w:rFonts w:ascii="Times New Roman" w:hAnsi="Times New Roman"/>
                <w:b/>
                <w:noProof/>
                <w:sz w:val="20"/>
              </w:rPr>
              <w:t>3. Règlementations de commun accord</w:t>
            </w:r>
          </w:p>
          <w:p>
            <w:pPr>
              <w:rPr>
                <w:rFonts w:ascii="Times New Roman" w:hAnsi="Times New Roman" w:cs="Times New Roman"/>
                <w:b/>
                <w:noProof/>
                <w:sz w:val="20"/>
                <w:szCs w:val="20"/>
              </w:rPr>
            </w:pPr>
          </w:p>
        </w:tc>
        <w:tc>
          <w:tcPr>
            <w:tcW w:w="6628" w:type="dxa"/>
          </w:tcPr>
          <w:p>
            <w:pPr>
              <w:jc w:val="both"/>
              <w:rPr>
                <w:rFonts w:ascii="Times New Roman" w:hAnsi="Times New Roman" w:cs="Times New Roman"/>
                <w:i/>
                <w:noProof/>
                <w:sz w:val="20"/>
                <w:szCs w:val="20"/>
              </w:rPr>
            </w:pPr>
            <w:r>
              <w:rPr>
                <w:rFonts w:ascii="Times New Roman" w:hAnsi="Times New Roman"/>
                <w:i/>
                <w:noProof/>
                <w:sz w:val="20"/>
              </w:rPr>
              <w:t>«Certains articles du statut renvoient expressément pour leur application à une règlementation établie d’un commun accord entre les institutions. Ces règlementations sont adoptées à l’identique par chaque institution, le président de la Cour de justice constatant in fine le commun accord des institutions.»</w:t>
            </w:r>
          </w:p>
        </w:tc>
      </w:tr>
      <w:tr>
        <w:tc>
          <w:tcPr>
            <w:tcW w:w="2660" w:type="dxa"/>
          </w:tcPr>
          <w:p>
            <w:pPr>
              <w:rPr>
                <w:rFonts w:ascii="Times New Roman" w:hAnsi="Times New Roman" w:cs="Times New Roman"/>
                <w:b/>
                <w:noProof/>
                <w:sz w:val="20"/>
                <w:szCs w:val="20"/>
              </w:rPr>
            </w:pPr>
            <w:r>
              <w:rPr>
                <w:rFonts w:ascii="Times New Roman" w:hAnsi="Times New Roman"/>
                <w:b/>
                <w:noProof/>
                <w:sz w:val="20"/>
              </w:rPr>
              <w:t>4. Dispositions générales d’exécution</w:t>
            </w:r>
          </w:p>
          <w:p>
            <w:pPr>
              <w:rPr>
                <w:rFonts w:ascii="Times New Roman" w:hAnsi="Times New Roman" w:cs="Times New Roman"/>
                <w:b/>
                <w:noProof/>
                <w:sz w:val="20"/>
                <w:szCs w:val="20"/>
              </w:rPr>
            </w:pPr>
          </w:p>
        </w:tc>
        <w:tc>
          <w:tcPr>
            <w:tcW w:w="6628" w:type="dxa"/>
          </w:tcPr>
          <w:p>
            <w:pPr>
              <w:jc w:val="both"/>
              <w:rPr>
                <w:rFonts w:ascii="Times New Roman" w:hAnsi="Times New Roman" w:cs="Times New Roman"/>
                <w:i/>
                <w:noProof/>
                <w:sz w:val="20"/>
                <w:szCs w:val="20"/>
              </w:rPr>
            </w:pPr>
            <w:r>
              <w:rPr>
                <w:rFonts w:ascii="Times New Roman" w:hAnsi="Times New Roman"/>
                <w:i/>
                <w:noProof/>
                <w:sz w:val="20"/>
              </w:rPr>
              <w:t xml:space="preserve">«Chaque institution </w:t>
            </w:r>
            <w:r>
              <w:rPr>
                <w:rFonts w:ascii="Times New Roman" w:hAnsi="Times New Roman"/>
                <w:noProof/>
                <w:sz w:val="20"/>
              </w:rPr>
              <w:t>[arrête]</w:t>
            </w:r>
            <w:r>
              <w:rPr>
                <w:rFonts w:ascii="Times New Roman" w:hAnsi="Times New Roman"/>
                <w:i/>
                <w:noProof/>
                <w:sz w:val="20"/>
              </w:rPr>
              <w:t xml:space="preserve"> ses dispositions générales d’exécution des articles du statut qui le prévoient expressément, après consultation du comité du personnel et avis du comité du statut. Certains textes sont pris également par des institutions sous la forme de "dispositions générales d’exécution", soit lorsque les articles du statut prévoient des "dispositions d’application", soit </w:t>
            </w:r>
            <w:r>
              <w:rPr>
                <w:rFonts w:ascii="Times New Roman" w:hAnsi="Times New Roman"/>
                <w:noProof/>
                <w:sz w:val="20"/>
              </w:rPr>
              <w:t>[lorsque]</w:t>
            </w:r>
            <w:r>
              <w:rPr>
                <w:rFonts w:ascii="Times New Roman" w:hAnsi="Times New Roman"/>
                <w:i/>
                <w:noProof/>
                <w:sz w:val="20"/>
              </w:rPr>
              <w:t xml:space="preserve"> les dispositions </w:t>
            </w:r>
            <w:r>
              <w:rPr>
                <w:rFonts w:ascii="Times New Roman" w:hAnsi="Times New Roman"/>
                <w:noProof/>
                <w:sz w:val="20"/>
              </w:rPr>
              <w:t>[statutaires]</w:t>
            </w:r>
            <w:r>
              <w:rPr>
                <w:rFonts w:ascii="Times New Roman" w:hAnsi="Times New Roman"/>
                <w:i/>
                <w:noProof/>
                <w:sz w:val="20"/>
              </w:rPr>
              <w:t xml:space="preserve"> ne sont pas suffisamment explicites pour être appliquées directement.»</w:t>
            </w:r>
          </w:p>
        </w:tc>
      </w:tr>
      <w:tr>
        <w:tc>
          <w:tcPr>
            <w:tcW w:w="2660" w:type="dxa"/>
          </w:tcPr>
          <w:p>
            <w:pPr>
              <w:rPr>
                <w:rFonts w:ascii="Times New Roman" w:hAnsi="Times New Roman" w:cs="Times New Roman"/>
                <w:b/>
                <w:noProof/>
                <w:sz w:val="20"/>
                <w:szCs w:val="20"/>
              </w:rPr>
            </w:pPr>
            <w:r>
              <w:rPr>
                <w:rFonts w:ascii="Times New Roman" w:hAnsi="Times New Roman"/>
                <w:b/>
                <w:noProof/>
                <w:sz w:val="20"/>
              </w:rPr>
              <w:t>5. Autres règles d’exécution</w:t>
            </w:r>
          </w:p>
        </w:tc>
        <w:tc>
          <w:tcPr>
            <w:tcW w:w="6628" w:type="dxa"/>
          </w:tcPr>
          <w:p>
            <w:pPr>
              <w:jc w:val="both"/>
              <w:rPr>
                <w:rFonts w:ascii="Times New Roman" w:hAnsi="Times New Roman" w:cs="Times New Roman"/>
                <w:i/>
                <w:noProof/>
                <w:sz w:val="20"/>
                <w:szCs w:val="20"/>
              </w:rPr>
            </w:pPr>
            <w:r>
              <w:rPr>
                <w:rFonts w:ascii="Times New Roman" w:hAnsi="Times New Roman"/>
                <w:i/>
                <w:noProof/>
                <w:sz w:val="20"/>
              </w:rPr>
              <w:t>«Il s’agit de textes pris par chaque institution pour la mise en œuvre du statut et qui ne sont ni des règlementations de commun accord, ni des dispositions générales d’exécution.»</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Le présent rapport porte sur les règles énumérées sous les titres 3 à 5 du registre. </w:t>
      </w:r>
    </w:p>
    <w:p>
      <w:pPr>
        <w:jc w:val="both"/>
        <w:rPr>
          <w:rFonts w:ascii="Times New Roman" w:hAnsi="Times New Roman" w:cs="Times New Roman"/>
          <w:noProof/>
          <w:sz w:val="24"/>
          <w:szCs w:val="24"/>
        </w:rPr>
      </w:pPr>
      <w:r>
        <w:rPr>
          <w:rFonts w:ascii="Times New Roman" w:hAnsi="Times New Roman"/>
          <w:noProof/>
          <w:sz w:val="24"/>
        </w:rPr>
        <w:t>En ce qui concerne ces règles, il ressort d’une consultation du registre que les institutions se sont dans une grande mesure conformées à l’obligation de communiquer leurs règles d’exécution au registre.</w:t>
      </w:r>
    </w:p>
    <w:p>
      <w:pPr>
        <w:jc w:val="both"/>
        <w:rPr>
          <w:rFonts w:ascii="Times New Roman" w:hAnsi="Times New Roman" w:cs="Times New Roman"/>
          <w:noProof/>
          <w:sz w:val="24"/>
          <w:szCs w:val="24"/>
        </w:rPr>
      </w:pPr>
      <w:r>
        <w:rPr>
          <w:rFonts w:ascii="Times New Roman" w:hAnsi="Times New Roman"/>
          <w:noProof/>
          <w:sz w:val="24"/>
        </w:rPr>
        <w:t>Pour ce qui est des titres 4 et 5 du registre, il convient de relever que le contenu de ce dernier n’est pas identique à celui du présent rapport.</w:t>
      </w:r>
    </w:p>
    <w:p>
      <w:pPr>
        <w:jc w:val="both"/>
        <w:rPr>
          <w:rFonts w:ascii="Times New Roman" w:hAnsi="Times New Roman" w:cs="Times New Roman"/>
          <w:noProof/>
          <w:sz w:val="24"/>
          <w:szCs w:val="24"/>
        </w:rPr>
      </w:pPr>
      <w:r>
        <w:rPr>
          <w:rFonts w:ascii="Times New Roman" w:hAnsi="Times New Roman"/>
          <w:noProof/>
          <w:sz w:val="24"/>
        </w:rPr>
        <w:t>Cette divergence s’explique principalement par l’absence de méthode commune pour la communication des règles d’exécution au registre, laquelle peut entraîner une approche différente de celle suivie dans le présent rapport. Par exemple, quelques institutions ont communiqué certaines règles au registre sous l’intitulé «</w:t>
      </w:r>
      <w:r>
        <w:rPr>
          <w:rFonts w:ascii="Times New Roman" w:hAnsi="Times New Roman"/>
          <w:i/>
          <w:noProof/>
          <w:sz w:val="24"/>
        </w:rPr>
        <w:t>Dispositions générales d’exécution</w:t>
      </w:r>
      <w:r>
        <w:rPr>
          <w:rFonts w:ascii="Times New Roman" w:hAnsi="Times New Roman"/>
          <w:noProof/>
          <w:sz w:val="24"/>
        </w:rPr>
        <w:t>», alors que, dans le présent rapport, ces règles sont considérées comme des «</w:t>
      </w:r>
      <w:r>
        <w:rPr>
          <w:rFonts w:ascii="Times New Roman" w:hAnsi="Times New Roman"/>
          <w:i/>
          <w:noProof/>
          <w:sz w:val="24"/>
        </w:rPr>
        <w:t>autres règles d’exécution</w:t>
      </w:r>
      <w:r>
        <w:rPr>
          <w:rFonts w:ascii="Times New Roman" w:hAnsi="Times New Roman"/>
          <w:noProof/>
          <w:sz w:val="24"/>
        </w:rPr>
        <w:t>». Par ailleurs, certaines institutions ont communiqué séparément au registre des règles modifiant une règle existante, tandis que, dans le présent rapport, les règles modificatives ne sont pas considérées comme des règles distinctes.</w:t>
      </w:r>
    </w:p>
    <w:p>
      <w:pPr>
        <w:jc w:val="both"/>
        <w:rPr>
          <w:rFonts w:ascii="Times New Roman" w:hAnsi="Times New Roman" w:cs="Times New Roman"/>
          <w:noProof/>
          <w:sz w:val="24"/>
          <w:szCs w:val="24"/>
        </w:rPr>
      </w:pPr>
      <w:r>
        <w:rPr>
          <w:rFonts w:ascii="Times New Roman" w:hAnsi="Times New Roman"/>
          <w:noProof/>
          <w:sz w:val="24"/>
        </w:rPr>
        <w:t>Le registre contient aussi des règles d’exécution qui n’étaient plus applicables durant la période couverte par le rapport et qui n’ont donc pas été incluses dans ce dernier.</w:t>
      </w:r>
    </w:p>
    <w:p>
      <w:pPr>
        <w:jc w:val="both"/>
        <w:rPr>
          <w:rFonts w:ascii="Times New Roman" w:hAnsi="Times New Roman" w:cs="Times New Roman"/>
          <w:noProof/>
          <w:sz w:val="24"/>
          <w:szCs w:val="24"/>
        </w:rPr>
      </w:pPr>
      <w:r>
        <w:rPr>
          <w:rFonts w:ascii="Times New Roman" w:hAnsi="Times New Roman"/>
          <w:noProof/>
          <w:sz w:val="24"/>
        </w:rPr>
        <w:t>La divergence est également due au fait que certaines règles (relevant pour la plupart de l’intitulé «</w:t>
      </w:r>
      <w:r>
        <w:rPr>
          <w:rFonts w:ascii="Times New Roman" w:hAnsi="Times New Roman"/>
          <w:i/>
          <w:noProof/>
          <w:sz w:val="24"/>
        </w:rPr>
        <w:t>Autres règles d’exécution</w:t>
      </w:r>
      <w:r>
        <w:rPr>
          <w:rFonts w:ascii="Times New Roman" w:hAnsi="Times New Roman"/>
          <w:noProof/>
          <w:sz w:val="24"/>
        </w:rPr>
        <w:t>») n’ont pas (encore) été communiquées au registre.</w:t>
      </w:r>
    </w:p>
    <w:p>
      <w:pPr>
        <w:jc w:val="both"/>
        <w:rPr>
          <w:rFonts w:ascii="Times New Roman" w:hAnsi="Times New Roman"/>
          <w:noProof/>
          <w:sz w:val="24"/>
          <w:szCs w:val="24"/>
        </w:rPr>
      </w:pPr>
      <w:r>
        <w:rPr>
          <w:rFonts w:ascii="Times New Roman" w:hAnsi="Times New Roman"/>
          <w:noProof/>
          <w:sz w:val="24"/>
        </w:rPr>
        <w:t>Pour ce qui est des agences, au moment de la finalisation du présent rapport, la structure du registre était en train d’être redéfinie afin de tenir compte de leur situation particulière. Des travaux étaient menés en vue de rationaliser la présentation des règles d’exécution pour toutes les agences, surtout au regard des règles d’exécution qui ont été adoptées à la suite d’un accord ex ante de la Commission [voir point 4 b) ci-dessous], ainsi que des décisions individuelles d’exécution du statut des fonctionnaires</w:t>
      </w:r>
      <w:r>
        <w:rPr>
          <w:rStyle w:val="FootnoteReference"/>
          <w:rFonts w:ascii="Times New Roman" w:hAnsi="Times New Roman"/>
          <w:noProof/>
          <w:sz w:val="24"/>
        </w:rPr>
        <w:footnoteReference w:id="15"/>
      </w:r>
      <w:r>
        <w:rPr>
          <w:noProof/>
        </w:rPr>
        <w:t>.</w:t>
      </w:r>
    </w:p>
    <w:p>
      <w:pPr>
        <w:jc w:val="both"/>
        <w:rPr>
          <w:rFonts w:ascii="Times New Roman" w:hAnsi="Times New Roman" w:cs="Times New Roman"/>
          <w:noProof/>
          <w:sz w:val="24"/>
          <w:szCs w:val="24"/>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b/>
          <w:i/>
          <w:noProof/>
          <w:sz w:val="24"/>
        </w:rPr>
        <w:t>RESPECT</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Les institutions se sont dans l’ensemble conformées au cadre du statut des fonctionnaires et du régime applicable aux autres agents.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Le présent rapport ne relève aucun problème systémique ou alarmant pour une autre raison. En particulier, les institutions respectent les modifications apportées par la réforme du statut opérée en 2014 en ce qui concerne les règles d’exécution.</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Le rapport permet de cerner les domaines - globalement limités - dans lesquels les institutions sont à la traîne pour se conformer au cadre statutaire.</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xml:space="preserve">→ Le registre tenu par la Cour de justice est opérationnel. </w:t>
      </w:r>
    </w:p>
    <w:p>
      <w:pPr>
        <w:rPr>
          <w:rFonts w:ascii="Times New Roman" w:hAnsi="Times New Roman" w:cs="Times New Roman"/>
          <w:noProof/>
          <w:sz w:val="24"/>
          <w:szCs w:val="24"/>
        </w:rPr>
      </w:pPr>
      <w:r>
        <w:rPr>
          <w:noProof/>
        </w:rPr>
        <w:br w:type="page"/>
      </w:r>
    </w:p>
    <w:p>
      <w:pPr>
        <w:jc w:val="both"/>
        <w:rPr>
          <w:rFonts w:ascii="Times New Roman" w:hAnsi="Times New Roman" w:cs="Times New Roman"/>
          <w:noProof/>
          <w:sz w:val="24"/>
          <w:szCs w:val="24"/>
        </w:rPr>
      </w:pPr>
    </w:p>
    <w:p>
      <w:pPr>
        <w:pStyle w:val="Heading1"/>
        <w:rPr>
          <w:noProof/>
        </w:rPr>
      </w:pPr>
      <w:bookmarkStart w:id="26" w:name="_Toc486939902"/>
      <w:bookmarkStart w:id="27" w:name="_Toc495934038"/>
      <w:r>
        <w:rPr>
          <w:noProof/>
        </w:rPr>
        <w:t>TITRE 4.</w:t>
      </w:r>
      <w:r>
        <w:rPr>
          <w:noProof/>
        </w:rPr>
        <w:tab/>
        <w:t>GOUVERNANCE</w:t>
      </w:r>
      <w:bookmarkEnd w:id="26"/>
      <w:bookmarkEnd w:id="27"/>
    </w:p>
    <w:p>
      <w:pPr>
        <w:jc w:val="both"/>
        <w:rPr>
          <w:rFonts w:ascii="Times New Roman" w:hAnsi="Times New Roman" w:cs="Times New Roman"/>
          <w:b/>
          <w:noProof/>
          <w:sz w:val="24"/>
          <w:szCs w:val="24"/>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b/>
          <w:i/>
          <w:noProof/>
          <w:sz w:val="24"/>
        </w:rPr>
        <w:t>GOUVERNANCE</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Quels mécanismes sont en place pour garantir que les institutions harmonisent leurs pratiques chaque fois que possible afin d’éviter toute inégalité de traitement du personnel de l’Union européenne?</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Quels mécanismes de gouvernance sont en place pour les agences?</w:t>
      </w:r>
    </w:p>
    <w:p>
      <w:pPr>
        <w:jc w:val="both"/>
        <w:rPr>
          <w:rFonts w:ascii="Times New Roman" w:hAnsi="Times New Roman" w:cs="Times New Roman"/>
          <w:b/>
          <w:i/>
          <w:noProof/>
          <w:sz w:val="24"/>
          <w:szCs w:val="24"/>
        </w:rPr>
      </w:pPr>
    </w:p>
    <w:p>
      <w:pPr>
        <w:pStyle w:val="Heading2"/>
        <w:rPr>
          <w:noProof/>
        </w:rPr>
      </w:pPr>
      <w:bookmarkStart w:id="28" w:name="_Toc486939903"/>
      <w:bookmarkStart w:id="29" w:name="_Toc495934039"/>
      <w:r>
        <w:rPr>
          <w:noProof/>
        </w:rPr>
        <w:t>a)</w:t>
      </w:r>
      <w:r>
        <w:rPr>
          <w:noProof/>
        </w:rPr>
        <w:tab/>
        <w:t>Harmonisation des règles et pratiques entre les institutions</w:t>
      </w:r>
      <w:bookmarkEnd w:id="28"/>
      <w:bookmarkEnd w:id="29"/>
    </w:p>
    <w:p>
      <w:pPr>
        <w:pStyle w:val="Heading3"/>
        <w:rPr>
          <w:noProof/>
        </w:rPr>
      </w:pPr>
      <w:bookmarkStart w:id="30" w:name="_Toc486939904"/>
      <w:bookmarkStart w:id="31" w:name="_Toc495934040"/>
      <w:r>
        <w:rPr>
          <w:noProof/>
        </w:rPr>
        <w:t>1)</w:t>
      </w:r>
      <w:r>
        <w:rPr>
          <w:noProof/>
        </w:rPr>
        <w:tab/>
        <w:t>Le rôle du collège des chefs d’administration</w:t>
      </w:r>
      <w:bookmarkEnd w:id="30"/>
      <w:bookmarkEnd w:id="31"/>
      <w:r>
        <w:rPr>
          <w:noProof/>
        </w:rPr>
        <w:t xml:space="preserve"> </w:t>
      </w:r>
    </w:p>
    <w:p>
      <w:pPr>
        <w:jc w:val="both"/>
        <w:rPr>
          <w:rFonts w:ascii="Times New Roman" w:hAnsi="Times New Roman" w:cs="Times New Roman"/>
          <w:noProof/>
          <w:sz w:val="24"/>
          <w:szCs w:val="24"/>
        </w:rPr>
      </w:pPr>
      <w:r>
        <w:rPr>
          <w:rFonts w:ascii="Times New Roman" w:hAnsi="Times New Roman"/>
          <w:noProof/>
          <w:sz w:val="24"/>
        </w:rPr>
        <w:t>Depuis leur création, les institutions européennes coopèrent au niveau interinstitutionnel. À l’origine, les présidents des institutions se réunissaient au sein de la commission des présidents</w:t>
      </w:r>
      <w:r>
        <w:rPr>
          <w:rStyle w:val="FootnoteReference"/>
          <w:rFonts w:ascii="Times New Roman" w:hAnsi="Times New Roman"/>
          <w:noProof/>
          <w:sz w:val="24"/>
        </w:rPr>
        <w:footnoteReference w:id="16"/>
      </w:r>
      <w:r>
        <w:rPr>
          <w:noProof/>
        </w:rPr>
        <w:t>.</w:t>
      </w:r>
    </w:p>
    <w:p>
      <w:pPr>
        <w:jc w:val="both"/>
        <w:rPr>
          <w:rFonts w:ascii="Times New Roman" w:hAnsi="Times New Roman" w:cs="Times New Roman"/>
          <w:noProof/>
          <w:sz w:val="24"/>
          <w:szCs w:val="24"/>
        </w:rPr>
      </w:pPr>
      <w:r>
        <w:rPr>
          <w:rFonts w:ascii="Times New Roman" w:hAnsi="Times New Roman"/>
          <w:noProof/>
          <w:sz w:val="24"/>
        </w:rPr>
        <w:t xml:space="preserve">Depuis 1958, les chefs d’administration se réunissent au sein du collège des chefs d’administration (CCA). </w:t>
      </w:r>
    </w:p>
    <w:p>
      <w:pPr>
        <w:jc w:val="both"/>
        <w:rPr>
          <w:rFonts w:ascii="Times New Roman" w:hAnsi="Times New Roman" w:cs="Times New Roman"/>
          <w:noProof/>
          <w:sz w:val="24"/>
          <w:szCs w:val="24"/>
        </w:rPr>
      </w:pPr>
      <w:r>
        <w:rPr>
          <w:rFonts w:ascii="Times New Roman" w:hAnsi="Times New Roman"/>
          <w:noProof/>
          <w:sz w:val="24"/>
        </w:rPr>
        <w:t>La base juridique du collège des chefs d’administration est l’article 110, paragraphe 5, du statut, selon lequel «</w:t>
      </w:r>
      <w:r>
        <w:rPr>
          <w:rFonts w:ascii="Times New Roman" w:hAnsi="Times New Roman"/>
          <w:i/>
          <w:noProof/>
          <w:sz w:val="24"/>
        </w:rPr>
        <w:t>[l]’application des dispositions du présent statut fait l’objet d’une consultation régulière entre les services administratifs des institutions et les agences. Les agences sont représentées conjointement lors de ces consultations, conformément aux règles fixées d’un commun accord entre elles</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Le collège est composé des chefs d’administration des institutions de l’Union européenne (directeurs généraux et directeurs responsables de l’administration et/ou des ressources humaines) et d’un représentant des agences désigné par celles-ci</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Un conseiller du service juridique de la Commission européenne participe à chaque réunion. Suivant une pratique de longue date et par accord entre les chefs d’administration, le collège est présidé par le greffier de la Cour de justice de l’Union européenne.</w:t>
      </w:r>
    </w:p>
    <w:p>
      <w:pPr>
        <w:jc w:val="both"/>
        <w:rPr>
          <w:rFonts w:ascii="Times New Roman" w:hAnsi="Times New Roman" w:cs="Times New Roman"/>
          <w:noProof/>
          <w:sz w:val="24"/>
          <w:szCs w:val="24"/>
        </w:rPr>
      </w:pPr>
      <w:r>
        <w:rPr>
          <w:rFonts w:ascii="Times New Roman" w:hAnsi="Times New Roman"/>
          <w:noProof/>
          <w:sz w:val="24"/>
        </w:rPr>
        <w:t>Chaque chef d’administration peut demander qu’un point pour décision, pour discussion ou pour information soit mis à l’ordre du jour. Si, à l’issue des discussions, les chefs d’administration s’accordent pour appliquer les pratiques administratives de la même manière, chaque chef d’administration adopte des directives internes ou recommande l’adoption de décisions à l’autorité administrative compétente.</w:t>
      </w:r>
    </w:p>
    <w:p>
      <w:pPr>
        <w:jc w:val="both"/>
        <w:rPr>
          <w:rFonts w:ascii="Times New Roman" w:hAnsi="Times New Roman" w:cs="Times New Roman"/>
          <w:noProof/>
          <w:sz w:val="24"/>
          <w:szCs w:val="24"/>
        </w:rPr>
      </w:pPr>
      <w:r>
        <w:rPr>
          <w:rFonts w:ascii="Times New Roman" w:hAnsi="Times New Roman"/>
          <w:noProof/>
          <w:sz w:val="24"/>
        </w:rPr>
        <w:t>Si un point concerne une interprétation harmonisée de certaines dispositions du statut des fonctionnaires ou du régime applicable aux autres agents, les décisions prises par le collège sont transposées dans les conclusions des chefs d’administration. Chaque institution adoptera ensuite des directives internes en vue d’appliquer ces conclusions.</w:t>
      </w:r>
    </w:p>
    <w:p>
      <w:pPr>
        <w:jc w:val="both"/>
        <w:rPr>
          <w:rFonts w:ascii="Times New Roman" w:hAnsi="Times New Roman" w:cs="Times New Roman"/>
          <w:noProof/>
          <w:sz w:val="24"/>
          <w:szCs w:val="24"/>
        </w:rPr>
      </w:pPr>
      <w:r>
        <w:rPr>
          <w:rFonts w:ascii="Times New Roman" w:hAnsi="Times New Roman"/>
          <w:noProof/>
          <w:sz w:val="24"/>
        </w:rPr>
        <w:t>Plusieurs comités de préparation aident le collège. Ils peuvent aussi proposer d’inscrire des points à l’ordre du jour. Pour les questions relatives à l’application du statut, le travail préparatoire est assuré par le comité de préparation pour les questions statutaires (CPQS).</w:t>
      </w:r>
    </w:p>
    <w:p>
      <w:pPr>
        <w:jc w:val="center"/>
        <w:rPr>
          <w:rFonts w:ascii="Times New Roman" w:hAnsi="Times New Roman" w:cs="Times New Roman"/>
          <w:noProof/>
          <w:sz w:val="24"/>
          <w:szCs w:val="24"/>
          <w:u w:val="single"/>
        </w:rPr>
      </w:pPr>
      <w:r>
        <w:rPr>
          <w:rFonts w:ascii="Times New Roman" w:hAnsi="Times New Roman"/>
          <w:noProof/>
          <w:sz w:val="24"/>
          <w:u w:val="single"/>
        </w:rPr>
        <w:t>PROCÉDURE D’ADOPTION DES CONCLUSIONS DES CHEFS D’ADMINISTRATION</w:t>
      </w:r>
      <w:r>
        <w:rPr>
          <w:rStyle w:val="FootnoteReference"/>
          <w:rFonts w:ascii="Times New Roman" w:hAnsi="Times New Roman"/>
          <w:noProof/>
          <w:sz w:val="24"/>
        </w:rPr>
        <w:footnoteReference w:id="18"/>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09440" behindDoc="0" locked="0" layoutInCell="1" allowOverlap="1">
                <wp:simplePos x="0" y="0"/>
                <wp:positionH relativeFrom="column">
                  <wp:align>center</wp:align>
                </wp:positionH>
                <wp:positionV relativeFrom="paragraph">
                  <wp:posOffset>0</wp:posOffset>
                </wp:positionV>
                <wp:extent cx="4462943" cy="390088"/>
                <wp:effectExtent l="0" t="0" r="1397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943" cy="390088"/>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Préparation d’une proposition de conclusion par un comité de préparation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0;margin-top:0;width:351.4pt;height:30.7pt;z-index:251709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">
                <v:textbox>
                  <w:txbxContent>
                    <w:p>
                      <w:pPr>
                        <w:jc w:val="center"/>
                        <w:rPr>
                          <w:rFonts w:ascii="Times New Roman" w:hAnsi="Times New Roman" w:cs="Times New Roman"/>
                          <w:sz w:val="20"/>
                          <w:szCs w:val="20"/>
                        </w:rPr>
                      </w:pPr>
                      <w:r>
                        <w:rPr>
                          <w:rFonts w:ascii="Times New Roman" w:hAnsi="Times New Roman"/>
                          <w:sz w:val="20"/>
                        </w:rPr>
                        <w:t>Préparation d’une proposition de conclusion par un comité de préparation</w:t>
                      </w: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10464" behindDoc="0" locked="0" layoutInCell="1" allowOverlap="1">
                <wp:simplePos x="0" y="0"/>
                <wp:positionH relativeFrom="column">
                  <wp:posOffset>643255</wp:posOffset>
                </wp:positionH>
                <wp:positionV relativeFrom="paragraph">
                  <wp:posOffset>299085</wp:posOffset>
                </wp:positionV>
                <wp:extent cx="4462780" cy="330835"/>
                <wp:effectExtent l="0" t="0" r="13970"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30835"/>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18"/>
                                <w:szCs w:val="18"/>
                              </w:rPr>
                            </w:pPr>
                            <w:r>
                              <w:rPr>
                                <w:rFonts w:ascii="Times New Roman" w:hAnsi="Times New Roman"/>
                                <w:sz w:val="18"/>
                                <w:szCs w:val="18"/>
                              </w:rPr>
                              <w:t xml:space="preserve">Approbation de la proposition de conclusion par le collège des chefs d’administration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0.65pt;margin-top:23.55pt;width:351.4pt;height:2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hvJwIAAEw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">
                <v:textbox>
                  <w:txbxContent>
                    <w:p>
                      <w:pPr>
                        <w:jc w:val="center"/>
                        <w:rPr>
                          <w:rFonts w:ascii="Times New Roman" w:hAnsi="Times New Roman" w:cs="Times New Roman"/>
                          <w:sz w:val="18"/>
                          <w:szCs w:val="18"/>
                        </w:rPr>
                      </w:pPr>
                      <w:r>
                        <w:rPr>
                          <w:rFonts w:ascii="Times New Roman" w:hAnsi="Times New Roman"/>
                          <w:sz w:val="18"/>
                          <w:szCs w:val="18"/>
                        </w:rPr>
                        <w:t xml:space="preserve">Approbation de la proposition de conclusion par le collège des chefs d’administration </w:t>
                      </w:r>
                    </w:p>
                  </w:txbxContent>
                </v:textbox>
              </v:shape>
            </w:pict>
          </mc:Fallback>
        </mc:AlternateContent>
      </w: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16608" behindDoc="0" locked="0" layoutInCell="1" allowOverlap="1">
                <wp:simplePos x="0" y="0"/>
                <wp:positionH relativeFrom="column">
                  <wp:posOffset>2782972</wp:posOffset>
                </wp:positionH>
                <wp:positionV relativeFrom="paragraph">
                  <wp:posOffset>61857</wp:posOffset>
                </wp:positionV>
                <wp:extent cx="0" cy="239284"/>
                <wp:effectExtent l="95250" t="0" r="57150" b="66040"/>
                <wp:wrapNone/>
                <wp:docPr id="2" name="Straight Arrow Connector 2"/>
                <wp:cNvGraphicFramePr/>
                <a:graphic xmlns:a="http://schemas.openxmlformats.org/drawingml/2006/main">
                  <a:graphicData uri="http://schemas.microsoft.com/office/word/2010/wordprocessingShape">
                    <wps:wsp>
                      <wps:cNvCnPr/>
                      <wps:spPr>
                        <a:xfrm>
                          <a:off x="0" y="0"/>
                          <a:ext cx="0" cy="2392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xmlns:o="urn:schemas-microsoft-com:office:office" xmlns:v="urn:schemas-microsoft-com:vml" id="_x0000_t32" coordsize="21600,21600" o:spt="32" o:oned="t" path="m,l21600,21600e" filled="f">
                <v:path arrowok="t" fillok="f" o:connecttype="none"/>
                <o:lock v:ext="edit" shapetype="t"/>
              </v:shapetype>
              <v:shape xmlns:o="urn:schemas-microsoft-com:office:office" xmlns:v="urn:schemas-microsoft-com:vml" id="Straight Arrow Connector 2" o:spid="_x0000_s1026" type="#_x0000_t32" style="position:absolute;margin-left:219.15pt;margin-top:4.85pt;width:0;height:18.8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17632" behindDoc="0" locked="0" layoutInCell="1" allowOverlap="1">
                <wp:simplePos x="0" y="0"/>
                <wp:positionH relativeFrom="column">
                  <wp:posOffset>2787015</wp:posOffset>
                </wp:positionH>
                <wp:positionV relativeFrom="paragraph">
                  <wp:posOffset>300355</wp:posOffset>
                </wp:positionV>
                <wp:extent cx="0" cy="238760"/>
                <wp:effectExtent l="95250" t="0" r="57150" b="66040"/>
                <wp:wrapNone/>
                <wp:docPr id="4" name="Straight Arrow Connector 4"/>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4" o:spid="_x0000_s1026" type="#_x0000_t32" style="position:absolute;margin-left:219.45pt;margin-top:23.65pt;width:0;height:18.8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11488" behindDoc="0" locked="0" layoutInCell="1" allowOverlap="1">
                <wp:simplePos x="0" y="0"/>
                <wp:positionH relativeFrom="column">
                  <wp:posOffset>643255</wp:posOffset>
                </wp:positionH>
                <wp:positionV relativeFrom="paragraph">
                  <wp:posOffset>220736</wp:posOffset>
                </wp:positionV>
                <wp:extent cx="4462780" cy="414655"/>
                <wp:effectExtent l="0" t="0" r="1397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14655"/>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Finalisation du texte provisoire de la conclusion et attribution d’un numéro par le secrétariat du collège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0.65pt;margin-top:17.4pt;width:351.4pt;height:32.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">
                <v:textbox>
                  <w:txbxContent>
                    <w:p>
                      <w:pPr>
                        <w:jc w:val="center"/>
                        <w:rPr>
                          <w:rFonts w:ascii="Times New Roman" w:hAnsi="Times New Roman" w:cs="Times New Roman"/>
                          <w:sz w:val="20"/>
                          <w:szCs w:val="20"/>
                        </w:rPr>
                      </w:pPr>
                      <w:r>
                        <w:rPr>
                          <w:rFonts w:ascii="Times New Roman" w:hAnsi="Times New Roman"/>
                          <w:sz w:val="20"/>
                        </w:rPr>
                        <w:t>Finalisation du texte provisoire de la conclusion et attribution d’un numéro par le secrétariat du collège</w:t>
                      </w: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18656" behindDoc="0" locked="0" layoutInCell="1" allowOverlap="1">
                <wp:simplePos x="0" y="0"/>
                <wp:positionH relativeFrom="column">
                  <wp:posOffset>2787650</wp:posOffset>
                </wp:positionH>
                <wp:positionV relativeFrom="paragraph">
                  <wp:posOffset>306070</wp:posOffset>
                </wp:positionV>
                <wp:extent cx="0" cy="238760"/>
                <wp:effectExtent l="95250" t="0" r="57150" b="66040"/>
                <wp:wrapNone/>
                <wp:docPr id="13" name="Straight Arrow Connector 13"/>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13" o:spid="_x0000_s1026" type="#_x0000_t32" style="position:absolute;margin-left:219.5pt;margin-top:24.1pt;width:0;height:18.8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12512" behindDoc="0" locked="0" layoutInCell="1" allowOverlap="1">
                <wp:simplePos x="0" y="0"/>
                <wp:positionH relativeFrom="column">
                  <wp:posOffset>643639</wp:posOffset>
                </wp:positionH>
                <wp:positionV relativeFrom="paragraph">
                  <wp:posOffset>228507</wp:posOffset>
                </wp:positionV>
                <wp:extent cx="4462780" cy="389890"/>
                <wp:effectExtent l="0" t="0" r="1397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Présentation de la conclusion par le comité du statut pour commentaires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50.7pt;margin-top:18pt;width:351.4pt;height:30.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SJwIAAEw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">
                <v:textbox>
                  <w:txbxContent>
                    <w:p>
                      <w:pPr>
                        <w:jc w:val="center"/>
                        <w:rPr>
                          <w:rFonts w:ascii="Times New Roman" w:hAnsi="Times New Roman" w:cs="Times New Roman"/>
                          <w:sz w:val="20"/>
                          <w:szCs w:val="20"/>
                        </w:rPr>
                      </w:pPr>
                      <w:r>
                        <w:rPr>
                          <w:rFonts w:ascii="Times New Roman" w:hAnsi="Times New Roman"/>
                          <w:sz w:val="20"/>
                        </w:rPr>
                        <w:t>Présentation de la conclusion par le comité du statut pour commentaires</w:t>
                      </w: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19680" behindDoc="0" locked="0" layoutInCell="1" allowOverlap="1">
                <wp:simplePos x="0" y="0"/>
                <wp:positionH relativeFrom="column">
                  <wp:posOffset>2792229</wp:posOffset>
                </wp:positionH>
                <wp:positionV relativeFrom="paragraph">
                  <wp:posOffset>286670</wp:posOffset>
                </wp:positionV>
                <wp:extent cx="0" cy="238760"/>
                <wp:effectExtent l="95250" t="0" r="57150" b="66040"/>
                <wp:wrapNone/>
                <wp:docPr id="26" name="Straight Arrow Connector 26"/>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26" o:spid="_x0000_s1026" type="#_x0000_t32" style="position:absolute;margin-left:219.85pt;margin-top:22.55pt;width:0;height:18.8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13536" behindDoc="0" locked="0" layoutInCell="1" allowOverlap="1">
                <wp:simplePos x="0" y="0"/>
                <wp:positionH relativeFrom="column">
                  <wp:posOffset>643779</wp:posOffset>
                </wp:positionH>
                <wp:positionV relativeFrom="paragraph">
                  <wp:posOffset>199169</wp:posOffset>
                </wp:positionV>
                <wp:extent cx="4462780" cy="423644"/>
                <wp:effectExtent l="0" t="0" r="13970" b="1460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23644"/>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Dépôt des observations du comité du statut par son coprésident lors d’une réunion du collège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0.7pt;margin-top:15.7pt;width:351.4pt;height:3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">
                <v:textbox>
                  <w:txbxContent>
                    <w:p>
                      <w:pPr>
                        <w:jc w:val="center"/>
                        <w:rPr>
                          <w:rFonts w:ascii="Times New Roman" w:hAnsi="Times New Roman" w:cs="Times New Roman"/>
                          <w:sz w:val="20"/>
                          <w:szCs w:val="20"/>
                        </w:rPr>
                      </w:pPr>
                      <w:r>
                        <w:rPr>
                          <w:rFonts w:ascii="Times New Roman" w:hAnsi="Times New Roman"/>
                          <w:sz w:val="20"/>
                        </w:rPr>
                        <w:t>Dépôt des observations du comité du statut par son coprésident lors d’une réunion du collège</w:t>
                      </w: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20704" behindDoc="0" locked="0" layoutInCell="1" allowOverlap="1">
                <wp:simplePos x="0" y="0"/>
                <wp:positionH relativeFrom="column">
                  <wp:posOffset>2804160</wp:posOffset>
                </wp:positionH>
                <wp:positionV relativeFrom="paragraph">
                  <wp:posOffset>299720</wp:posOffset>
                </wp:positionV>
                <wp:extent cx="0" cy="238760"/>
                <wp:effectExtent l="95250" t="0" r="57150" b="66040"/>
                <wp:wrapNone/>
                <wp:docPr id="292" name="Straight Arrow Connector 292"/>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292" o:spid="_x0000_s1026" type="#_x0000_t32" style="position:absolute;margin-left:220.8pt;margin-top:23.6pt;width:0;height:18.8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14560" behindDoc="0" locked="0" layoutInCell="1" allowOverlap="1">
                <wp:simplePos x="0" y="0"/>
                <wp:positionH relativeFrom="column">
                  <wp:posOffset>650240</wp:posOffset>
                </wp:positionH>
                <wp:positionV relativeFrom="paragraph">
                  <wp:posOffset>208566</wp:posOffset>
                </wp:positionV>
                <wp:extent cx="4462780" cy="452755"/>
                <wp:effectExtent l="0" t="0" r="13970" b="2349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52755"/>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sz w:val="20"/>
                              </w:rPr>
                              <w:t>Approbation de la conclusion définitive par le collège des chefs d’administration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51.2pt;margin-top:16.4pt;width:351.4pt;height:35.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iKAIAAE4EAAAOAAAAZHJzL2Uyb0RvYy54bWysVNtu2zAMfR+wfxD0vjjxnD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">
                <v:textbox>
                  <w:txbxContent>
                    <w:p>
                      <w:pPr>
                        <w:jc w:val="center"/>
                        <w:rPr>
                          <w:rFonts w:ascii="Times New Roman" w:hAnsi="Times New Roman" w:cs="Times New Roman"/>
                          <w:sz w:val="20"/>
                          <w:szCs w:val="20"/>
                        </w:rPr>
                      </w:pPr>
                      <w:r>
                        <w:rPr>
                          <w:rFonts w:ascii="Times New Roman" w:hAnsi="Times New Roman"/>
                          <w:sz w:val="20"/>
                        </w:rPr>
                        <w:t>Approbation de la conclusion définitive par le collège des chefs d’administration</w:t>
                      </w:r>
                    </w:p>
                  </w:txbxContent>
                </v:textbox>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21728" behindDoc="0" locked="0" layoutInCell="1" allowOverlap="1">
                <wp:simplePos x="0" y="0"/>
                <wp:positionH relativeFrom="column">
                  <wp:posOffset>2792095</wp:posOffset>
                </wp:positionH>
                <wp:positionV relativeFrom="paragraph">
                  <wp:posOffset>12065</wp:posOffset>
                </wp:positionV>
                <wp:extent cx="0" cy="238760"/>
                <wp:effectExtent l="95250" t="0" r="57150" b="66040"/>
                <wp:wrapNone/>
                <wp:docPr id="295" name="Straight Arrow Connector 295"/>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295" o:spid="_x0000_s1026" type="#_x0000_t32" style="position:absolute;margin-left:219.85pt;margin-top:.95pt;width:0;height:18.8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" strokecolor="#4579b8 [3044]">
                <v:stroke endarrow="open"/>
              </v:shape>
            </w:pict>
          </mc:Fallback>
        </mc:AlternateContent>
      </w:r>
    </w:p>
    <w:p>
      <w:pPr>
        <w:jc w:val="center"/>
        <w:rPr>
          <w:rFonts w:ascii="Times New Roman" w:hAnsi="Times New Roman" w:cs="Times New Roman"/>
          <w:b/>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22752" behindDoc="0" locked="0" layoutInCell="1" allowOverlap="1">
                <wp:simplePos x="0" y="0"/>
                <wp:positionH relativeFrom="column">
                  <wp:posOffset>2804160</wp:posOffset>
                </wp:positionH>
                <wp:positionV relativeFrom="paragraph">
                  <wp:posOffset>179321</wp:posOffset>
                </wp:positionV>
                <wp:extent cx="0" cy="238760"/>
                <wp:effectExtent l="95250" t="0" r="57150" b="66040"/>
                <wp:wrapNone/>
                <wp:docPr id="296" name="Straight Arrow Connector 296"/>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xmlns:o="urn:schemas-microsoft-com:office:office" xmlns:v="urn:schemas-microsoft-com:vml" id="Straight Arrow Connector 296" o:spid="_x0000_s1026" type="#_x0000_t32" style="position:absolute;margin-left:220.8pt;margin-top:14.1pt;width:0;height:18.8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" strokecolor="#4579b8 [3044]">
                <v:stroke endarrow="open"/>
              </v:shape>
            </w:pict>
          </mc:Fallback>
        </mc:AlternateContent>
      </w:r>
      <w:r>
        <w:rPr>
          <w:rFonts w:ascii="Times New Roman" w:hAnsi="Times New Roman"/>
          <w:b/>
          <w:noProof/>
          <w:sz w:val="24"/>
        </w:rPr>
        <w:t>CONCLUSION</w: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724800" behindDoc="0" locked="0" layoutInCell="1" allowOverlap="1">
                <wp:simplePos x="0" y="0"/>
                <wp:positionH relativeFrom="column">
                  <wp:posOffset>652340</wp:posOffset>
                </wp:positionH>
                <wp:positionV relativeFrom="paragraph">
                  <wp:posOffset>90560</wp:posOffset>
                </wp:positionV>
                <wp:extent cx="4462780" cy="492369"/>
                <wp:effectExtent l="0" t="0" r="13970" b="2222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92369"/>
                        </a:xfrm>
                        <a:prstGeom prst="rect">
                          <a:avLst/>
                        </a:prstGeom>
                        <a:solidFill>
                          <a:srgbClr val="FFFFFF"/>
                        </a:solidFill>
                        <a:ln w="9525">
                          <a:solidFill>
                            <a:srgbClr val="000000"/>
                          </a:solidFill>
                          <a:miter lim="800000"/>
                          <a:headEnd/>
                          <a:tailEnd/>
                        </a:ln>
                      </wps:spPr>
                      <wps:txbx>
                        <w:txbxContent>
                          <w:p>
                            <w:pPr>
                              <w:jc w:val="center"/>
                            </w:pPr>
                            <w:r>
                              <w:rPr>
                                <w:rFonts w:ascii="Times New Roman" w:hAnsi="Times New Roman"/>
                                <w:sz w:val="20"/>
                              </w:rPr>
                              <w:t xml:space="preserve">Adoption, par l’autorité investie du pouvoir de nomination de chaque institution, d’une directive interne qui transpose la conclusion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1.35pt;margin-top:7.15pt;width:351.4pt;height:3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">
                <v:textbox>
                  <w:txbxContent>
                    <w:p>
                      <w:pPr>
                        <w:jc w:val="center"/>
                      </w:pPr>
                      <w:r>
                        <w:rPr>
                          <w:rFonts w:ascii="Times New Roman" w:hAnsi="Times New Roman"/>
                          <w:sz w:val="20"/>
                        </w:rPr>
                        <w:t xml:space="preserve">Adoption, par l’autorité investie du pouvoir de nomination de chaque institution, d’une directive interne qui transpose la conclusion </w:t>
                      </w:r>
                    </w:p>
                  </w:txbxContent>
                </v:textbox>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Selon une pratique de longue date, le processus décisionnel au sein du collège des chefs d’administration repose sur le consensus. Cela signifie que, pour arriver à une conclusion, tous les chefs d’administration essayent de trouver une position commune. Compte tenu de leur obligation de collaboration visée à l’article 110, paragraphe 5, du statut et suivant une pratique établie de longue date, les chefs d’administration s’efforcent, lors de leurs discussions, de convenir de pratiques et règles harmonisées pour toutes les institutions.</w:t>
      </w:r>
    </w:p>
    <w:p>
      <w:pPr>
        <w:pStyle w:val="Heading3"/>
        <w:rPr>
          <w:noProof/>
        </w:rPr>
      </w:pPr>
      <w:bookmarkStart w:id="32" w:name="_Toc486939905"/>
      <w:bookmarkStart w:id="33" w:name="_Toc495934041"/>
      <w:r>
        <w:rPr>
          <w:noProof/>
        </w:rPr>
        <w:t>2)</w:t>
      </w:r>
      <w:r>
        <w:rPr>
          <w:noProof/>
        </w:rPr>
        <w:tab/>
        <w:t>Le rôle du comité du statut</w:t>
      </w:r>
      <w:bookmarkEnd w:id="32"/>
      <w:bookmarkEnd w:id="33"/>
      <w:r>
        <w:rPr>
          <w:noProof/>
        </w:rPr>
        <w:t xml:space="preserve"> </w:t>
      </w:r>
    </w:p>
    <w:p>
      <w:pPr>
        <w:jc w:val="both"/>
        <w:rPr>
          <w:rFonts w:ascii="Times New Roman" w:hAnsi="Times New Roman" w:cs="Times New Roman"/>
          <w:noProof/>
          <w:sz w:val="24"/>
          <w:szCs w:val="24"/>
        </w:rPr>
      </w:pPr>
      <w:r>
        <w:rPr>
          <w:rFonts w:ascii="Times New Roman" w:hAnsi="Times New Roman"/>
          <w:noProof/>
          <w:sz w:val="24"/>
        </w:rPr>
        <w:t>Conformément à l’article 10, premier alinéa, du statut, le comité du statut est composé en nombre égal des représentants des institutions de l’Union et des représentants de leurs comités du personnel. Les agences sont représentées conjointement.</w:t>
      </w:r>
    </w:p>
    <w:p>
      <w:pPr>
        <w:jc w:val="both"/>
        <w:rPr>
          <w:rFonts w:ascii="Times New Roman" w:hAnsi="Times New Roman" w:cs="Times New Roman"/>
          <w:noProof/>
          <w:sz w:val="24"/>
          <w:szCs w:val="24"/>
        </w:rPr>
      </w:pPr>
      <w:r>
        <w:rPr>
          <w:rFonts w:ascii="Times New Roman" w:hAnsi="Times New Roman"/>
          <w:noProof/>
          <w:sz w:val="24"/>
        </w:rPr>
        <w:t>D’après l’article 1</w:t>
      </w:r>
      <w:r>
        <w:rPr>
          <w:rFonts w:ascii="Times New Roman" w:hAnsi="Times New Roman"/>
          <w:noProof/>
          <w:sz w:val="24"/>
          <w:vertAlign w:val="superscript"/>
        </w:rPr>
        <w:t>er</w:t>
      </w:r>
      <w:r>
        <w:rPr>
          <w:rFonts w:ascii="Times New Roman" w:hAnsi="Times New Roman"/>
          <w:noProof/>
          <w:sz w:val="24"/>
        </w:rPr>
        <w:t xml:space="preserve"> des règles arrêtées d’un commun accord entre les autorités investies du pouvoir de nomination des institutions de l’Union européenne sur la composition du comité du statut, ce dernier se compose de 22 membres: un membre désigné par chacune des institutions, un membre désigné par les agences, un membre désigné par le comité du personnel de chacune des dix institutions et un membre désigné par le comité du personnel des agences.</w:t>
      </w:r>
    </w:p>
    <w:p>
      <w:pPr>
        <w:jc w:val="both"/>
        <w:rPr>
          <w:rFonts w:ascii="Times New Roman" w:hAnsi="Times New Roman" w:cs="Times New Roman"/>
          <w:noProof/>
          <w:sz w:val="24"/>
          <w:szCs w:val="24"/>
        </w:rPr>
      </w:pPr>
      <w:r>
        <w:rPr>
          <w:rFonts w:ascii="Times New Roman" w:hAnsi="Times New Roman"/>
          <w:noProof/>
          <w:sz w:val="24"/>
        </w:rPr>
        <w:t>Le comité du statut est consulté avant l’adoption des règles arrêtées d’un commun accord entre les institutions, des dispositions générales d’exécution et des conclusions des chefs d’administration. Il peut également être consulté par une institution avant l’adoption d’autres règles d’exécution.</w:t>
      </w:r>
    </w:p>
    <w:p>
      <w:pPr>
        <w:jc w:val="both"/>
        <w:rPr>
          <w:rFonts w:ascii="Times New Roman" w:hAnsi="Times New Roman" w:cs="Times New Roman"/>
          <w:noProof/>
          <w:sz w:val="24"/>
          <w:szCs w:val="24"/>
        </w:rPr>
      </w:pPr>
      <w:r>
        <w:rPr>
          <w:rFonts w:ascii="Times New Roman" w:hAnsi="Times New Roman"/>
          <w:noProof/>
          <w:sz w:val="24"/>
        </w:rPr>
        <w:t>Le processus décisionnel au sein du comité du statut est fondé sur un système de majorité qualifiée, tel que décrit en détail à l’article 2 des règles arrêtées d’un commun accord entre les autorités investies du pouvoir de nomination des institutions de l’Union européenne sur la composition dudit comité.</w:t>
      </w:r>
    </w:p>
    <w:p>
      <w:pPr>
        <w:pStyle w:val="Heading2"/>
        <w:rPr>
          <w:noProof/>
        </w:rPr>
      </w:pPr>
      <w:bookmarkStart w:id="34" w:name="_Toc486939906"/>
      <w:bookmarkStart w:id="35" w:name="_Toc495934042"/>
      <w:r>
        <w:rPr>
          <w:noProof/>
        </w:rPr>
        <w:t>b)</w:t>
      </w:r>
      <w:r>
        <w:rPr>
          <w:noProof/>
        </w:rPr>
        <w:tab/>
        <w:t>Harmonisation des règles et pratiques entre les agences</w:t>
      </w:r>
      <w:bookmarkEnd w:id="34"/>
      <w:bookmarkEnd w:id="35"/>
    </w:p>
    <w:p>
      <w:pPr>
        <w:jc w:val="both"/>
        <w:rPr>
          <w:rFonts w:ascii="Times New Roman" w:hAnsi="Times New Roman" w:cs="Times New Roman"/>
          <w:noProof/>
          <w:sz w:val="24"/>
          <w:szCs w:val="24"/>
        </w:rPr>
      </w:pPr>
      <w:r>
        <w:rPr>
          <w:rFonts w:ascii="Times New Roman" w:hAnsi="Times New Roman"/>
          <w:noProof/>
          <w:sz w:val="24"/>
        </w:rPr>
        <w:t>En ce qui concerne les règles d’exécution dans les agences, le principal moteur d’une approche harmonisée est le principe ancré à l’article 110, paragraphe 2, du statut, selon lequel les règles d’exécution qui sont adoptées par la Commission s’appliquent par analogie aux agences.</w:t>
      </w:r>
    </w:p>
    <w:p>
      <w:pPr>
        <w:jc w:val="both"/>
        <w:rPr>
          <w:rFonts w:ascii="Times New Roman" w:hAnsi="Times New Roman" w:cs="Times New Roman"/>
          <w:noProof/>
          <w:sz w:val="24"/>
          <w:szCs w:val="24"/>
        </w:rPr>
      </w:pPr>
      <w:r>
        <w:rPr>
          <w:rFonts w:ascii="Times New Roman" w:hAnsi="Times New Roman"/>
          <w:noProof/>
          <w:sz w:val="24"/>
        </w:rPr>
        <w:t>Si les agences entendent adopter une décision individuelle en dehors de ce cadre, elles sont tenues de demander l’autorisation de la Commission à cet égard.</w:t>
      </w:r>
    </w:p>
    <w:p>
      <w:pPr>
        <w:jc w:val="both"/>
        <w:rPr>
          <w:rFonts w:ascii="Times New Roman" w:hAnsi="Times New Roman" w:cs="Times New Roman"/>
          <w:noProof/>
          <w:sz w:val="24"/>
          <w:szCs w:val="24"/>
        </w:rPr>
      </w:pPr>
      <w:r>
        <w:rPr>
          <w:rFonts w:ascii="Times New Roman" w:hAnsi="Times New Roman"/>
          <w:noProof/>
          <w:sz w:val="24"/>
        </w:rPr>
        <w:t>Dans un but de simplification, d’efficacité administrative et d’harmonisation des règles et pratiques entre les agences, la Commission a élaboré un mécanisme lui permettant de communiquer son accord ex ante, à condition que l’agence concernée suive un modèle uniforme proposé par la Commission</w:t>
      </w:r>
      <w:r>
        <w:rPr>
          <w:rStyle w:val="FootnoteReference"/>
          <w:rFonts w:ascii="Times New Roman" w:hAnsi="Times New Roman"/>
          <w:noProof/>
          <w:sz w:val="24"/>
        </w:rPr>
        <w:footnoteReference w:id="19"/>
      </w:r>
      <w:r>
        <w:rPr>
          <w:noProof/>
        </w:rPr>
        <w:t>.</w:t>
      </w:r>
    </w:p>
    <w:p>
      <w:pPr>
        <w:jc w:val="both"/>
        <w:rPr>
          <w:rFonts w:ascii="Times New Roman" w:hAnsi="Times New Roman" w:cs="Times New Roman"/>
          <w:noProof/>
          <w:sz w:val="24"/>
          <w:szCs w:val="24"/>
        </w:rPr>
      </w:pPr>
      <w:r>
        <w:rPr>
          <w:rFonts w:ascii="Times New Roman" w:hAnsi="Times New Roman"/>
          <w:noProof/>
          <w:sz w:val="24"/>
        </w:rPr>
        <w:t>Comme indiqué à l’annexe IV, des accords ex ante ont été utilisés dans les domaines suivants: création d’un comité du personnel, harcèlement, congé de convenance personnelle, évaluation/rapport annuels, promotion, temps de travail, recrutement et reclassement des agents temporaires visés à l’article 2, point f), du régime applicable aux autres agents, durée maximale du recours à des membres non permanents du personnel, ainsi qu’évaluation et reclassement des agents contractuels.</w:t>
      </w:r>
    </w:p>
    <w:p>
      <w:pPr>
        <w:jc w:val="both"/>
        <w:rPr>
          <w:rFonts w:ascii="Times New Roman" w:hAnsi="Times New Roman" w:cs="Times New Roman"/>
          <w:noProof/>
          <w:sz w:val="24"/>
          <w:szCs w:val="24"/>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b/>
          <w:i/>
          <w:noProof/>
          <w:sz w:val="24"/>
        </w:rPr>
        <w:t>GOUVERNANCE</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xml:space="preserve">→ La gouvernance au niveau des institutions fonctionne selon une longue tradition administrative. </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La gouvernance au niveau des agences est assurée par la Commission depuis la réforme de 2014. Le moteur le plus important est l’application, par analogie, des règles de la Commission aux agences.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Un autre moteur important est la pratique développée par la Commission et consistant à subordonner l’approbation des dérogations au recours, par les agences, à des décisions types harmonisées. Ces «accords ex ante» évitent la prolifération de dérogations individuelles pour les agences.</w:t>
      </w:r>
    </w:p>
    <w:p>
      <w:pPr>
        <w:jc w:val="both"/>
        <w:rPr>
          <w:rFonts w:ascii="Times New Roman" w:hAnsi="Times New Roman" w:cs="Times New Roman"/>
          <w:noProof/>
          <w:sz w:val="24"/>
          <w:szCs w:val="24"/>
        </w:rPr>
      </w:pPr>
    </w:p>
    <w:p>
      <w:pPr>
        <w:pStyle w:val="Heading1"/>
        <w:rPr>
          <w:noProof/>
        </w:rPr>
      </w:pPr>
      <w:bookmarkStart w:id="36" w:name="_Toc486939907"/>
      <w:bookmarkStart w:id="37" w:name="_Toc495934043"/>
      <w:r>
        <w:rPr>
          <w:noProof/>
        </w:rPr>
        <w:t>TITRE 5.</w:t>
      </w:r>
      <w:r>
        <w:rPr>
          <w:noProof/>
        </w:rPr>
        <w:tab/>
        <w:t>RÉCAPITULATIF ET CONCLUSION</w:t>
      </w:r>
      <w:bookmarkEnd w:id="36"/>
      <w:bookmarkEnd w:id="37"/>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Le présent rapport donne un aperçu des règles adoptées dans les institutions pour exécuter le statut des fonctionnaires et le régime applicable aux autres agents qui étaient en vigueur entre 2014 et 2016.</w:t>
      </w:r>
    </w:p>
    <w:p>
      <w:pPr>
        <w:jc w:val="both"/>
        <w:rPr>
          <w:rFonts w:ascii="Times New Roman" w:hAnsi="Times New Roman" w:cs="Times New Roman"/>
          <w:noProof/>
          <w:sz w:val="24"/>
          <w:szCs w:val="24"/>
        </w:rPr>
      </w:pPr>
      <w:r>
        <w:rPr>
          <w:rFonts w:ascii="Times New Roman" w:hAnsi="Times New Roman"/>
          <w:noProof/>
          <w:sz w:val="24"/>
        </w:rPr>
        <w:t xml:space="preserve">Cet aperçu présente les principales caractéristiques suivantes: </w:t>
      </w: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 xml:space="preserve">les institutions ont largement fait usage de leur pouvoir d’adopter des règles d’exécution du statut des fonctionnaires et du régime applicable aux autres agents; </w:t>
      </w:r>
    </w:p>
    <w:p>
      <w:pPr>
        <w:pStyle w:val="ListParagraph"/>
        <w:jc w:val="both"/>
        <w:rPr>
          <w:rFonts w:ascii="Times New Roman" w:hAnsi="Times New Roman" w:cs="Times New Roman"/>
          <w:noProof/>
          <w:sz w:val="24"/>
          <w:szCs w:val="24"/>
        </w:rPr>
      </w:pP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 xml:space="preserve">les autorités investies du pouvoir de nomination de chaque institution ont exercé ce pouvoir à différents degrés. On peut considérer que cette divergence reflète des réalités administratives différentes et le principe d’autonomie de chaque institution en qualité d’employeur reconnu par le droit de l’Union; </w:t>
      </w:r>
    </w:p>
    <w:p>
      <w:pPr>
        <w:pStyle w:val="ListParagraph"/>
        <w:jc w:val="both"/>
        <w:rPr>
          <w:rFonts w:ascii="Times New Roman" w:hAnsi="Times New Roman" w:cs="Times New Roman"/>
          <w:noProof/>
          <w:sz w:val="24"/>
          <w:szCs w:val="24"/>
        </w:rPr>
      </w:pP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lorsqu’elles ont adopté des règles d’exécution, les autorités investies du pouvoir de nomination des institutions ont respecté le cadre juridique prévu par le statut des fonctionnaires et le régime applicable aux autres agents;</w:t>
      </w:r>
    </w:p>
    <w:p>
      <w:pPr>
        <w:pStyle w:val="ListParagraph"/>
        <w:jc w:val="both"/>
        <w:rPr>
          <w:rFonts w:ascii="Times New Roman" w:hAnsi="Times New Roman" w:cs="Times New Roman"/>
          <w:noProof/>
          <w:sz w:val="24"/>
          <w:szCs w:val="24"/>
        </w:rPr>
      </w:pP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la Cour de justice de l’Union européenne a mis en place le registre des règles d’exécution prévu à l’article 110, paragraphe 6, du statut en février 2014. Ce registre est accessible au public et est mis à jour en permanence par les institutions;</w:t>
      </w:r>
    </w:p>
    <w:p>
      <w:pPr>
        <w:pStyle w:val="ListParagraph"/>
        <w:jc w:val="both"/>
        <w:rPr>
          <w:rFonts w:ascii="Times New Roman" w:hAnsi="Times New Roman" w:cs="Times New Roman"/>
          <w:noProof/>
          <w:sz w:val="24"/>
          <w:szCs w:val="24"/>
        </w:rPr>
      </w:pP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plusieurs mécanismes sont en place pour assurer une application uniforme du statut des fonctionnaires et du régime applicable aux autres agents dans les institutions et les agences, par exemple:</w:t>
      </w:r>
    </w:p>
    <w:p>
      <w:pPr>
        <w:pStyle w:val="ListParagraph"/>
        <w:numPr>
          <w:ilvl w:val="0"/>
          <w:numId w:val="30"/>
        </w:numPr>
        <w:spacing w:before="120" w:after="120"/>
        <w:ind w:left="1434" w:hanging="357"/>
        <w:jc w:val="both"/>
        <w:rPr>
          <w:rFonts w:ascii="Times New Roman" w:hAnsi="Times New Roman" w:cs="Times New Roman"/>
          <w:noProof/>
          <w:sz w:val="24"/>
          <w:szCs w:val="24"/>
        </w:rPr>
      </w:pPr>
      <w:r>
        <w:rPr>
          <w:rFonts w:ascii="Times New Roman" w:hAnsi="Times New Roman"/>
          <w:noProof/>
          <w:sz w:val="24"/>
        </w:rPr>
        <w:t xml:space="preserve">l’utilisation de règles arrêtées d’un commun accord entre les institutions de l’Union; </w:t>
      </w:r>
    </w:p>
    <w:p>
      <w:pPr>
        <w:pStyle w:val="ListParagraph"/>
        <w:numPr>
          <w:ilvl w:val="0"/>
          <w:numId w:val="30"/>
        </w:numPr>
        <w:spacing w:before="120" w:after="120"/>
        <w:ind w:left="1434" w:hanging="357"/>
        <w:jc w:val="both"/>
        <w:rPr>
          <w:rFonts w:ascii="Times New Roman" w:hAnsi="Times New Roman" w:cs="Times New Roman"/>
          <w:noProof/>
          <w:sz w:val="24"/>
          <w:szCs w:val="24"/>
        </w:rPr>
      </w:pPr>
      <w:r>
        <w:rPr>
          <w:rFonts w:ascii="Times New Roman" w:hAnsi="Times New Roman"/>
          <w:noProof/>
          <w:sz w:val="24"/>
        </w:rPr>
        <w:t>la possibilité pour les institutions d’habiliter une institution à adopter des dispositions générales d’exécution s’appliquant à l’ensemble d’entre elles;</w:t>
      </w:r>
    </w:p>
    <w:p>
      <w:pPr>
        <w:pStyle w:val="ListParagraph"/>
        <w:numPr>
          <w:ilvl w:val="0"/>
          <w:numId w:val="30"/>
        </w:numPr>
        <w:spacing w:before="120" w:after="120"/>
        <w:ind w:left="1434" w:hanging="357"/>
        <w:jc w:val="both"/>
        <w:rPr>
          <w:rFonts w:ascii="Times New Roman" w:hAnsi="Times New Roman" w:cs="Times New Roman"/>
          <w:noProof/>
          <w:sz w:val="24"/>
          <w:szCs w:val="24"/>
        </w:rPr>
      </w:pPr>
      <w:r>
        <w:rPr>
          <w:rFonts w:ascii="Times New Roman" w:hAnsi="Times New Roman"/>
          <w:noProof/>
          <w:sz w:val="24"/>
        </w:rPr>
        <w:t>la consultation obligatoire du comité du statut avant l’adoption de dispositions générales d’exécution;</w:t>
      </w:r>
    </w:p>
    <w:p>
      <w:pPr>
        <w:pStyle w:val="ListParagraph"/>
        <w:numPr>
          <w:ilvl w:val="0"/>
          <w:numId w:val="30"/>
        </w:numPr>
        <w:spacing w:before="120" w:after="120"/>
        <w:ind w:left="1434" w:hanging="357"/>
        <w:jc w:val="both"/>
        <w:rPr>
          <w:rFonts w:ascii="Times New Roman" w:hAnsi="Times New Roman" w:cs="Times New Roman"/>
          <w:noProof/>
          <w:sz w:val="24"/>
          <w:szCs w:val="24"/>
        </w:rPr>
      </w:pPr>
      <w:r>
        <w:rPr>
          <w:rFonts w:ascii="Times New Roman" w:hAnsi="Times New Roman"/>
          <w:noProof/>
          <w:sz w:val="24"/>
        </w:rPr>
        <w:t>des consultations régulières entre les services administratifs des institutions et les agences sur la base de l’article 110, paragraphe 5, du statut; et</w:t>
      </w:r>
    </w:p>
    <w:p>
      <w:pPr>
        <w:pStyle w:val="ListParagraph"/>
        <w:numPr>
          <w:ilvl w:val="0"/>
          <w:numId w:val="30"/>
        </w:numPr>
        <w:spacing w:before="120" w:after="120"/>
        <w:ind w:left="1434" w:hanging="357"/>
        <w:jc w:val="both"/>
        <w:rPr>
          <w:rFonts w:ascii="Times New Roman" w:hAnsi="Times New Roman" w:cs="Times New Roman"/>
          <w:noProof/>
          <w:sz w:val="24"/>
          <w:szCs w:val="24"/>
        </w:rPr>
      </w:pPr>
      <w:r>
        <w:rPr>
          <w:rFonts w:ascii="Times New Roman" w:hAnsi="Times New Roman"/>
          <w:noProof/>
          <w:sz w:val="24"/>
        </w:rPr>
        <w:t>des mécanismes spécifiques applicables aux agences (application des règles de la Commission par analogie, accords ex ante horizontaux).</w:t>
      </w:r>
    </w:p>
    <w:p>
      <w:pPr>
        <w:pStyle w:val="ListParagraph"/>
        <w:spacing w:before="120" w:after="120"/>
        <w:ind w:left="366"/>
        <w:jc w:val="both"/>
        <w:rPr>
          <w:rFonts w:ascii="Times New Roman" w:hAnsi="Times New Roman" w:cs="Times New Roman"/>
          <w:noProof/>
          <w:sz w:val="24"/>
          <w:szCs w:val="24"/>
        </w:rPr>
      </w:pPr>
    </w:p>
    <w:p>
      <w:pPr>
        <w:pStyle w:val="ListParagraph"/>
        <w:spacing w:before="120" w:after="120"/>
        <w:ind w:left="366"/>
        <w:jc w:val="both"/>
        <w:rPr>
          <w:rFonts w:ascii="Times New Roman" w:hAnsi="Times New Roman" w:cs="Times New Roman"/>
          <w:noProof/>
          <w:sz w:val="24"/>
          <w:szCs w:val="24"/>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b/>
          <w:i/>
          <w:noProof/>
          <w:sz w:val="24"/>
        </w:rPr>
        <w:t>CONCLUSION</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Application cohérente du statut</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noProof/>
          <w:sz w:val="24"/>
        </w:rPr>
        <w:t>Les institutions disposent d’une certaine autonomie pour appliquer le statut des fonctionnaires et le régime applicable aux autres agents à leur personnel. Cette autonomie est exercée dans le respect du cadre juridique prévu par le statut. Le statut prévoit des mécanismes spécifiques pour parvenir à une approche interinstitutionnelle commune chaque fois qu’une telle harmonisation est nécessaire.</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Transparence</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noProof/>
          <w:sz w:val="24"/>
        </w:rPr>
        <w:t>Le rapport dresse un bilan exhaustif de la situation dans toutes les institutions. Il présente toutes les règles d’exécution à l’aide d’une même méthode. Cela permet de comparer la situation des différentes institutions et, dès lors, de renforcer la transparence. En ce qui concerne les agences, le rapport donne une vue d’ensemble et analyse les effets des mécanismes d’harmonisation introduits depuis 2014.</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Respect</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noProof/>
          <w:sz w:val="24"/>
        </w:rPr>
        <w:t xml:space="preserve">Les institutions se sont dans l’ensemble conformées au cadre du statut des fonctionnaires et du régime applicable aux autres agents. Le présent rapport ne relève aucun problème systémique ou alarmant pour une autre raison. En particulier, les institutions respectent les modifications apportées par la réforme du statut opérée en 2014 en ce qui concerne les règles d’exécution. Le rapport permet de cerner les domaines - globalement limités - dans lesquels les institutions sont à la traîne pour se conformer au cadre statutaire. Le registre tenu par la Cour de justice est opérationnel. </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b/>
          <w:i/>
          <w:noProof/>
          <w:sz w:val="24"/>
        </w:rPr>
        <w:t>→ Gouvernance</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noProof/>
          <w:sz w:val="24"/>
        </w:rPr>
        <w:t>La gouvernance au niveau des institutions fonctionne selon une longue tradition administrative. Pour ce qui est des mesures d’application adoptées conformément au statut, la gouvernance des agences par la Commission a été renforcée par la réforme de 2014. Le moteur le plus important est l’application, par analogie, des règles de la Commission aux agences. Un autre moteur important est la pratique développée par la Commission et consistant à subordonner l’approbation des dérogations au recours, par les agences, à des décisions types harmonisées. Ces «accords ex ante» évitent la prolifération de dérogations individuelles pour les agences.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b/>
          <w:i/>
          <w:noProof/>
          <w:sz w:val="24"/>
        </w:rPr>
        <w:t>PERSPECTIVES</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noProof/>
          <w:sz w:val="24"/>
        </w:rPr>
        <w:t>En ce qui concerne les différents cas de non-respect, les institutions peuvent déjà s’attaquer aux domaines dans lesquels elles ne respectent pas les règles recensées dans le présent rapport.</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noProof/>
          <w:sz w:val="24"/>
        </w:rPr>
        <w:t>Il conviendrait d’étudier de quelle manière une coopération renforcée entre les institutions pourrait consolider davantage encore l’égalité de traitement du personnel de l’Union européenne en conformité avec le statut des fonctionnaires.</w:t>
      </w:r>
    </w:p>
    <w:p>
      <w:pPr>
        <w:spacing w:before="120" w:after="120"/>
        <w:ind w:left="1077"/>
        <w:jc w:val="both"/>
        <w:rPr>
          <w:rFonts w:ascii="Times New Roman" w:hAnsi="Times New Roman" w:cs="Times New Roman"/>
          <w:noProof/>
          <w:sz w:val="24"/>
          <w:szCs w:val="24"/>
        </w:rPr>
      </w:pPr>
    </w:p>
    <w:p>
      <w:pPr>
        <w:pBdr>
          <w:bottom w:val="single" w:sz="12" w:space="1" w:color="auto"/>
        </w:pBdr>
        <w:spacing w:before="120" w:after="120"/>
        <w:jc w:val="both"/>
        <w:rPr>
          <w:rFonts w:ascii="Times New Roman" w:hAnsi="Times New Roman" w:cs="Times New Roman"/>
          <w:noProof/>
          <w:sz w:val="24"/>
          <w:szCs w:val="24"/>
        </w:rPr>
      </w:pPr>
    </w:p>
    <w:p>
      <w:pPr>
        <w:pBdr>
          <w:bottom w:val="single" w:sz="12" w:space="1" w:color="auto"/>
        </w:pBdr>
        <w:spacing w:before="120" w:after="120"/>
        <w:jc w:val="both"/>
        <w:rPr>
          <w:rFonts w:ascii="Times New Roman" w:hAnsi="Times New Roman" w:cs="Times New Roman"/>
          <w:noProof/>
          <w:sz w:val="24"/>
          <w:szCs w:val="24"/>
        </w:rPr>
      </w:pPr>
    </w:p>
    <w:p>
      <w:pPr>
        <w:pBdr>
          <w:bottom w:val="single" w:sz="12" w:space="1" w:color="auto"/>
        </w:pBdr>
        <w:spacing w:before="120" w:after="120"/>
        <w:jc w:val="both"/>
        <w:rPr>
          <w:rFonts w:ascii="Times New Roman" w:hAnsi="Times New Roman" w:cs="Times New Roman"/>
          <w:noProof/>
          <w:sz w:val="24"/>
          <w:szCs w:val="24"/>
        </w:rPr>
      </w:pPr>
    </w:p>
    <w:p>
      <w:pPr>
        <w:pBdr>
          <w:bottom w:val="single" w:sz="12" w:space="1" w:color="auto"/>
        </w:pBdr>
        <w:spacing w:before="120" w:after="120"/>
        <w:jc w:val="both"/>
        <w:rPr>
          <w:rFonts w:ascii="Times New Roman" w:hAnsi="Times New Roman" w:cs="Times New Roman"/>
          <w:noProof/>
          <w:sz w:val="24"/>
          <w:szCs w:val="24"/>
        </w:rPr>
      </w:pPr>
    </w:p>
    <w:p>
      <w:pPr>
        <w:pBdr>
          <w:bottom w:val="single" w:sz="12" w:space="1" w:color="auto"/>
        </w:pBdr>
        <w:spacing w:before="120" w:after="120"/>
        <w:jc w:val="both"/>
        <w:rPr>
          <w:rFonts w:ascii="Times New Roman" w:hAnsi="Times New Roman" w:cs="Times New Roman"/>
          <w:noProof/>
          <w:sz w:val="24"/>
          <w:szCs w:val="24"/>
        </w:rPr>
      </w:pPr>
    </w:p>
    <w:p>
      <w:pPr>
        <w:pBdr>
          <w:bottom w:val="single" w:sz="12" w:space="1" w:color="auto"/>
        </w:pBd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p>
      <w:pPr>
        <w:spacing w:before="120" w:after="120"/>
        <w:jc w:val="center"/>
        <w:rPr>
          <w:rFonts w:ascii="Times New Roman" w:hAnsi="Times New Roman" w:cs="Times New Roman"/>
          <w:b/>
          <w:noProof/>
          <w:sz w:val="24"/>
          <w:szCs w:val="24"/>
          <w:u w:val="single"/>
        </w:rPr>
      </w:pPr>
      <w:r>
        <w:rPr>
          <w:rFonts w:ascii="Times New Roman" w:hAnsi="Times New Roman"/>
          <w:b/>
          <w:noProof/>
          <w:sz w:val="24"/>
          <w:u w:val="single"/>
        </w:rPr>
        <w:t>ANNEXES</w:t>
      </w: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b/>
          <w:noProof/>
          <w:sz w:val="24"/>
          <w:szCs w:val="24"/>
        </w:rPr>
      </w:pPr>
      <w:r>
        <w:rPr>
          <w:rFonts w:ascii="Times New Roman" w:hAnsi="Times New Roman"/>
          <w:b/>
          <w:noProof/>
          <w:sz w:val="24"/>
        </w:rPr>
        <w:t>Annexe I</w:t>
      </w:r>
      <w:r>
        <w:rPr>
          <w:noProof/>
        </w:rPr>
        <w:tab/>
      </w:r>
      <w:r>
        <w:rPr>
          <w:noProof/>
        </w:rPr>
        <w:tab/>
      </w:r>
      <w:r>
        <w:rPr>
          <w:noProof/>
        </w:rPr>
        <w:tab/>
      </w:r>
      <w:r>
        <w:rPr>
          <w:rFonts w:ascii="Times New Roman" w:hAnsi="Times New Roman"/>
          <w:b/>
          <w:noProof/>
          <w:sz w:val="24"/>
        </w:rPr>
        <w:t>Règles arrêtées d’un commun accord entre les institutions</w:t>
      </w:r>
    </w:p>
    <w:p>
      <w:pPr>
        <w:spacing w:before="120" w:after="120"/>
        <w:jc w:val="both"/>
        <w:rPr>
          <w:rFonts w:ascii="Times New Roman" w:hAnsi="Times New Roman" w:cs="Times New Roman"/>
          <w:b/>
          <w:noProof/>
          <w:sz w:val="24"/>
          <w:szCs w:val="24"/>
        </w:rPr>
      </w:pPr>
      <w:r>
        <w:rPr>
          <w:rFonts w:ascii="Times New Roman" w:hAnsi="Times New Roman"/>
          <w:b/>
          <w:noProof/>
          <w:sz w:val="24"/>
        </w:rPr>
        <w:t>Annexes II.1 - II.10</w:t>
      </w:r>
      <w:r>
        <w:rPr>
          <w:noProof/>
        </w:rPr>
        <w:tab/>
      </w:r>
      <w:r>
        <w:rPr>
          <w:noProof/>
        </w:rPr>
        <w:tab/>
      </w:r>
      <w:r>
        <w:rPr>
          <w:rFonts w:ascii="Times New Roman" w:hAnsi="Times New Roman"/>
          <w:b/>
          <w:noProof/>
          <w:sz w:val="24"/>
        </w:rPr>
        <w:t>Règles d’exécution dans les institutions</w:t>
      </w:r>
    </w:p>
    <w:p>
      <w:pPr>
        <w:spacing w:before="120" w:after="120"/>
        <w:jc w:val="both"/>
        <w:rPr>
          <w:rFonts w:ascii="Times New Roman" w:hAnsi="Times New Roman" w:cs="Times New Roman"/>
          <w:b/>
          <w:noProof/>
          <w:sz w:val="24"/>
          <w:szCs w:val="24"/>
        </w:rPr>
      </w:pPr>
      <w:r>
        <w:rPr>
          <w:rFonts w:ascii="Times New Roman" w:hAnsi="Times New Roman"/>
          <w:b/>
          <w:noProof/>
          <w:sz w:val="24"/>
        </w:rPr>
        <w:t>Annexe III</w:t>
      </w:r>
      <w:r>
        <w:rPr>
          <w:noProof/>
        </w:rPr>
        <w:tab/>
      </w:r>
      <w:r>
        <w:rPr>
          <w:noProof/>
        </w:rPr>
        <w:tab/>
      </w:r>
      <w:r>
        <w:rPr>
          <w:noProof/>
        </w:rPr>
        <w:tab/>
      </w:r>
      <w:r>
        <w:rPr>
          <w:rFonts w:ascii="Times New Roman" w:hAnsi="Times New Roman"/>
          <w:b/>
          <w:noProof/>
          <w:sz w:val="24"/>
        </w:rPr>
        <w:t>Tableau consolidé</w:t>
      </w:r>
    </w:p>
    <w:p>
      <w:pPr>
        <w:spacing w:before="120" w:after="120"/>
        <w:jc w:val="both"/>
        <w:rPr>
          <w:rFonts w:ascii="Times New Roman" w:hAnsi="Times New Roman" w:cs="Times New Roman"/>
          <w:b/>
          <w:noProof/>
          <w:sz w:val="24"/>
          <w:szCs w:val="24"/>
        </w:rPr>
      </w:pPr>
      <w:r>
        <w:rPr>
          <w:rFonts w:ascii="Times New Roman" w:hAnsi="Times New Roman"/>
          <w:b/>
          <w:noProof/>
          <w:sz w:val="24"/>
        </w:rPr>
        <w:t>Annexe IV</w:t>
      </w:r>
      <w:r>
        <w:rPr>
          <w:noProof/>
        </w:rPr>
        <w:tab/>
      </w:r>
      <w:r>
        <w:rPr>
          <w:noProof/>
        </w:rPr>
        <w:tab/>
      </w:r>
      <w:r>
        <w:rPr>
          <w:noProof/>
        </w:rPr>
        <w:tab/>
      </w:r>
      <w:r>
        <w:rPr>
          <w:rFonts w:ascii="Times New Roman" w:hAnsi="Times New Roman"/>
          <w:b/>
          <w:noProof/>
          <w:sz w:val="24"/>
        </w:rPr>
        <w:t>Règles d’exécution dans les agences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2193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Voir considérant 32 du règlement (UE, Euratom) nº 1023/2013 du 22 octobre 2013.</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110, paragraphe 6, du statut, tel que modifié par le règlement (UE, Euratom) nº 1023/2013 du 22 octobre 2013.</w:t>
      </w:r>
    </w:p>
  </w:footnote>
  <w:footnote w:id="3">
    <w:p>
      <w:pPr>
        <w:pStyle w:val="FootnoteText"/>
        <w:jc w:val="both"/>
      </w:pPr>
      <w:r>
        <w:rPr>
          <w:rStyle w:val="FootnoteReference"/>
          <w:rFonts w:ascii="Times New Roman" w:hAnsi="Times New Roman"/>
        </w:rPr>
        <w:footnoteRef/>
      </w:r>
      <w:r>
        <w:rPr>
          <w:rFonts w:ascii="Times New Roman" w:hAnsi="Times New Roman"/>
        </w:rPr>
        <w:t xml:space="preserve"> Le rapport n’inclut pas les actes délégués adoptés sur la base des articles 111 et 112 du statut. Ces actes résultent de l’exercice, par la Commission (ou, avant la réforme du statut de 2014, par le Conseil), de son pouvoir spécifique d’édicter des règles ayant un effet général sur tous les membres du personnel de l’Union européenne. Les règles d’exécution au sens de l’article 110 du statut, en revanche, sont adoptées par une institution sur la base du pouvoir de son autorité investie du pouvoir de nomination et se limitent aux membres du personnel de ladite institution.</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vade-mecum des chefs d’administration de l’Union européenne, version de 2012, annexe II.</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rapport ne couvre pas les pouvoirs prévus à l’article 2, paragraphe 3, de l’annexe «Mesures transitoires applicables aux agents relevant du régime applicable aux autres agents». Cette disposition ne porte pas sur la période couverte par le rapport.</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 principe d’autonomie de chaque institution en qualité d’employeur a été confirmé par la jurisprudence; voir arrêts du 5 juillet 2011, V/Parlement européen, F-46/09, point 135, et du 28 avril 2017, Azoulay et.al./Parlement européen, T-580/16, point 57 et jurisprudence citée.</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vade-mecum des chefs d’administration de l’Union européenne, version de 2012, annexe II.</w:t>
      </w:r>
    </w:p>
  </w:footnote>
  <w:footnote w:id="8">
    <w:p>
      <w:pPr>
        <w:spacing w:after="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En ce qui concerne l’article 10 de l’annexe X du statut dans sa version antérieure à l’entrée en vigueur de la réforme de 2014, le Tribunal a estimé que les dispositions d’exécution fondées sur cet article devraient prendre la forme de dispositions générales d’exécution (Vanhalewyn/SEAE, T-792/14 P, point 25). En revanche, la version actuelle de l’article 10, paragraphe 3, de l’annexe X du statut mentionne seulement les «modalités d’application du présent article», sans préciser leur forme juridique.</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 vertu de l’article 36.1 du protocole (nº 4) sur les statuts du Système européen de banques centrales et de la Banque centrale européenne, les membres du personnel de la Banque centrale européenne relèvent du régime applicable au personnel de la BCE. </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Une exception a été faite dans le cas des «décisions omnibus» arrêtées par le SEAE, c’est-à-dire des décisions globales qui adoptent, en bloc et par analogie, plusieurs décisions particulières d’autres institutions. Dans ce cas, le nombre de décisions particulières a été comptabilisé.</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Cependant, lorsqu’une disposition générale d’exécution a été remplacée par une règle d’exécution d’un autre type (ou inversement), deux règles d’exécution ont été comptabilisées (une pour chaque catégorie de règle).</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À titre d’illustration, voir les dispositions générales d’exécution du Parlement européen relatives aux concours et sélections, au recrutement et au classement des fonctionnaires et des autres agents du Parlement européen du 17 octobre 2014. La Commission européenne a traité ces questions dans des textes juridiques distincts.</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plus de détails, voir communication C(2014) 6543 final du 26 septembre 2014 du Vice-président M. ŠEFČOVIČ à la Commission sur les lignes directrices relatives à la mise en œuvre de l’article 110, paragraphe 2, du statut en ce qui concerne les règles d’exécution du statut applicables dans les agences et décision C(2014) 7229 final de la Commission du 8 octobre 2014 relative à l’exercice de certaines compétences en ce qui concerne l’accord de la Commission à donner aux agences avant l’adoption de règles d’exécution du statut conformément à l’article 110, paragraphe 2, du statut.</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titre IV confie aussi des pouvoirs spécifiques à la Commission (avant la réforme du statut de 2014: au Conseil) pour déterminer au moyen d’actes délégués les catégories de fonctionnaires ayant droit à des indemnités particulières (service continu, astreintes, conditions de travail particulièrement pénibles). Le présent rapport ne porte pas sur ces actes délégués, voir note de bas de page 4.</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7 juin 2017, le collège des chefs d’administration a décidé de modifier la structure du registre afin de permettre à la Commission d’enregistrer les accords ex ante et aux agences d’enregistrer les règles d’exécution fondées sur les décisions types pour lesquelles la Commission a donné son accord ex ante et les règles d’exécution individuelles.</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 xml:space="preserve">La première réunion de la commission des présidents a eu lieu le 19 décembre 1952. </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La Banque centrale européenne et la Banque européenne d’investissement participent au collège des chefs d’administration en qualité d’observateurs.</w:t>
      </w:r>
    </w:p>
  </w:footnote>
  <w:footnote w:id="1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vade-mecum des chefs d’administration de l’Union européenne, version de 2012, annexe II.</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plus de détails, voir lignes directrices de la Commission relatives à la mise en œuvre de l’article 110, paragraphe 2, du statut en ce qui concerne les règles d’exécution du statut applicables dans les agences, C(2014) 6543 final, en particulier point 2.B.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710"/>
    <w:multiLevelType w:val="hybridMultilevel"/>
    <w:tmpl w:val="7AA81386"/>
    <w:lvl w:ilvl="0" w:tplc="08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5B177B7"/>
    <w:multiLevelType w:val="hybridMultilevel"/>
    <w:tmpl w:val="D974C0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9428E6"/>
    <w:multiLevelType w:val="hybridMultilevel"/>
    <w:tmpl w:val="02F607EA"/>
    <w:lvl w:ilvl="0" w:tplc="0096F656">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3729E5"/>
    <w:multiLevelType w:val="hybridMultilevel"/>
    <w:tmpl w:val="F7401DDC"/>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CA239A7"/>
    <w:multiLevelType w:val="hybridMultilevel"/>
    <w:tmpl w:val="D2E8874E"/>
    <w:lvl w:ilvl="0" w:tplc="1D189D98">
      <w:start w:val="1"/>
      <w:numFmt w:val="bullet"/>
      <w:lvlText w:val=""/>
      <w:lvlJc w:val="left"/>
      <w:pPr>
        <w:ind w:left="779" w:hanging="360"/>
      </w:pPr>
      <w:rPr>
        <w:rFonts w:ascii="Symbol" w:hAnsi="Symbol"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5">
    <w:nsid w:val="1E1004F7"/>
    <w:multiLevelType w:val="hybridMultilevel"/>
    <w:tmpl w:val="3EA24F80"/>
    <w:lvl w:ilvl="0" w:tplc="040C000F">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E735911"/>
    <w:multiLevelType w:val="hybridMultilevel"/>
    <w:tmpl w:val="434AED90"/>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C07085"/>
    <w:multiLevelType w:val="hybridMultilevel"/>
    <w:tmpl w:val="CF3E3BEE"/>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0504F3"/>
    <w:multiLevelType w:val="hybridMultilevel"/>
    <w:tmpl w:val="1954237A"/>
    <w:lvl w:ilvl="0" w:tplc="1D189D9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4811224"/>
    <w:multiLevelType w:val="hybridMultilevel"/>
    <w:tmpl w:val="F7401DDC"/>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60D032E"/>
    <w:multiLevelType w:val="hybridMultilevel"/>
    <w:tmpl w:val="9FC60AAA"/>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820AC8"/>
    <w:multiLevelType w:val="hybridMultilevel"/>
    <w:tmpl w:val="A6488C0E"/>
    <w:lvl w:ilvl="0" w:tplc="0809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3E312B7C"/>
    <w:multiLevelType w:val="hybridMultilevel"/>
    <w:tmpl w:val="FA1A4926"/>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350E3C"/>
    <w:multiLevelType w:val="hybridMultilevel"/>
    <w:tmpl w:val="ABA41CBA"/>
    <w:lvl w:ilvl="0" w:tplc="08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45D243D6"/>
    <w:multiLevelType w:val="hybridMultilevel"/>
    <w:tmpl w:val="4D7858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9905F22"/>
    <w:multiLevelType w:val="hybridMultilevel"/>
    <w:tmpl w:val="405A3E00"/>
    <w:lvl w:ilvl="0" w:tplc="040C000F">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4A5A2B2D"/>
    <w:multiLevelType w:val="hybridMultilevel"/>
    <w:tmpl w:val="3EA24F80"/>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51FE3A3C"/>
    <w:multiLevelType w:val="hybridMultilevel"/>
    <w:tmpl w:val="DCC654B2"/>
    <w:lvl w:ilvl="0" w:tplc="040C000F">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5290124C"/>
    <w:multiLevelType w:val="hybridMultilevel"/>
    <w:tmpl w:val="4AAAB2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33C77D7"/>
    <w:multiLevelType w:val="hybridMultilevel"/>
    <w:tmpl w:val="A6488C0E"/>
    <w:lvl w:ilvl="0" w:tplc="0809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592B1127"/>
    <w:multiLevelType w:val="hybridMultilevel"/>
    <w:tmpl w:val="876A4F14"/>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5AE677BE"/>
    <w:multiLevelType w:val="hybridMultilevel"/>
    <w:tmpl w:val="4D3C8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B006B5F"/>
    <w:multiLevelType w:val="hybridMultilevel"/>
    <w:tmpl w:val="D9FAFA64"/>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C917455"/>
    <w:multiLevelType w:val="hybridMultilevel"/>
    <w:tmpl w:val="83B2C27A"/>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D6419D2"/>
    <w:multiLevelType w:val="hybridMultilevel"/>
    <w:tmpl w:val="8206A064"/>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5F39481B"/>
    <w:multiLevelType w:val="hybridMultilevel"/>
    <w:tmpl w:val="FC40B928"/>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37D008A"/>
    <w:multiLevelType w:val="hybridMultilevel"/>
    <w:tmpl w:val="DD3E1B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65CA3386"/>
    <w:multiLevelType w:val="hybridMultilevel"/>
    <w:tmpl w:val="960AA2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6AE52A71"/>
    <w:multiLevelType w:val="hybridMultilevel"/>
    <w:tmpl w:val="F6C6B6AC"/>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FED2699"/>
    <w:multiLevelType w:val="hybridMultilevel"/>
    <w:tmpl w:val="D7903004"/>
    <w:lvl w:ilvl="0" w:tplc="1D189D9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71842DB4"/>
    <w:multiLevelType w:val="hybridMultilevel"/>
    <w:tmpl w:val="38E2C49C"/>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3A01E8F"/>
    <w:multiLevelType w:val="hybridMultilevel"/>
    <w:tmpl w:val="283A8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9C2B42"/>
    <w:multiLevelType w:val="hybridMultilevel"/>
    <w:tmpl w:val="59CC632A"/>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5AC2A03"/>
    <w:multiLevelType w:val="hybridMultilevel"/>
    <w:tmpl w:val="D24C2E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78AA5448"/>
    <w:multiLevelType w:val="hybridMultilevel"/>
    <w:tmpl w:val="12DE1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B860D03"/>
    <w:multiLevelType w:val="hybridMultilevel"/>
    <w:tmpl w:val="E488B6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ED74131"/>
    <w:multiLevelType w:val="hybridMultilevel"/>
    <w:tmpl w:val="A6488C0E"/>
    <w:lvl w:ilvl="0" w:tplc="0809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5"/>
  </w:num>
  <w:num w:numId="2">
    <w:abstractNumId w:val="35"/>
  </w:num>
  <w:num w:numId="3">
    <w:abstractNumId w:val="1"/>
  </w:num>
  <w:num w:numId="4">
    <w:abstractNumId w:val="21"/>
  </w:num>
  <w:num w:numId="5">
    <w:abstractNumId w:val="2"/>
  </w:num>
  <w:num w:numId="6">
    <w:abstractNumId w:val="3"/>
  </w:num>
  <w:num w:numId="7">
    <w:abstractNumId w:val="16"/>
  </w:num>
  <w:num w:numId="8">
    <w:abstractNumId w:val="9"/>
  </w:num>
  <w:num w:numId="9">
    <w:abstractNumId w:val="20"/>
  </w:num>
  <w:num w:numId="10">
    <w:abstractNumId w:val="24"/>
  </w:num>
  <w:num w:numId="11">
    <w:abstractNumId w:val="22"/>
  </w:num>
  <w:num w:numId="12">
    <w:abstractNumId w:val="27"/>
  </w:num>
  <w:num w:numId="13">
    <w:abstractNumId w:val="14"/>
  </w:num>
  <w:num w:numId="14">
    <w:abstractNumId w:val="23"/>
  </w:num>
  <w:num w:numId="15">
    <w:abstractNumId w:val="10"/>
  </w:num>
  <w:num w:numId="16">
    <w:abstractNumId w:val="33"/>
  </w:num>
  <w:num w:numId="17">
    <w:abstractNumId w:val="15"/>
  </w:num>
  <w:num w:numId="18">
    <w:abstractNumId w:val="26"/>
  </w:num>
  <w:num w:numId="19">
    <w:abstractNumId w:val="17"/>
  </w:num>
  <w:num w:numId="20">
    <w:abstractNumId w:val="5"/>
  </w:num>
  <w:num w:numId="21">
    <w:abstractNumId w:val="18"/>
  </w:num>
  <w:num w:numId="22">
    <w:abstractNumId w:val="34"/>
  </w:num>
  <w:num w:numId="23">
    <w:abstractNumId w:val="8"/>
  </w:num>
  <w:num w:numId="24">
    <w:abstractNumId w:val="11"/>
  </w:num>
  <w:num w:numId="25">
    <w:abstractNumId w:val="19"/>
  </w:num>
  <w:num w:numId="26">
    <w:abstractNumId w:val="32"/>
  </w:num>
  <w:num w:numId="27">
    <w:abstractNumId w:val="36"/>
  </w:num>
  <w:num w:numId="28">
    <w:abstractNumId w:val="6"/>
  </w:num>
  <w:num w:numId="29">
    <w:abstractNumId w:val="29"/>
  </w:num>
  <w:num w:numId="30">
    <w:abstractNumId w:val="0"/>
  </w:num>
  <w:num w:numId="31">
    <w:abstractNumId w:val="4"/>
  </w:num>
  <w:num w:numId="32">
    <w:abstractNumId w:val="30"/>
  </w:num>
  <w:num w:numId="33">
    <w:abstractNumId w:val="12"/>
  </w:num>
  <w:num w:numId="34">
    <w:abstractNumId w:val="13"/>
  </w:num>
  <w:num w:numId="35">
    <w:abstractNumId w:val="7"/>
  </w:num>
  <w:num w:numId="36">
    <w:abstractNumId w:val="2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D62D1715A4740F5AA2EB6F79B40964B"/>
    <w:docVar w:name="LW_CROSSREFERENCE" w:val="&lt;UNUSED&gt;"/>
    <w:docVar w:name="LW_DocType" w:val="NORMAL"/>
    <w:docVar w:name="LW_EMISSION" w:val="26.10.2017"/>
    <w:docVar w:name="LW_EMISSION_ISODATE" w:val="2017-10-26"/>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32"/>
    <w:docVar w:name="LW_REF.INTERNE" w:val="&lt;UNUSED&gt;"/>
    <w:docVar w:name="LW_SOUS.TITRE.OBJ.CP" w:val="&lt;UNUSED&gt;"/>
    <w:docVar w:name="LW_SUPERTITRE" w:val="&lt;UNUSED&gt;"/>
    <w:docVar w:name="LW_TITRE.OBJ.CP" w:val="sur les règles d\u8217?exécution du statut des fonctionnaires adoptées par l\u8217?autorité investie du pouvoir de nomination de chaque institution"/>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headersubtitle">
    <w:name w:val="contentheadersubtitle"/>
    <w:basedOn w:val="DefaultParagraphFont"/>
    <w:rPr>
      <w:sz w:val="19"/>
      <w:szCs w:val="19"/>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tabs>
        <w:tab w:val="left" w:pos="1100"/>
        <w:tab w:val="right" w:leader="dot" w:pos="9062"/>
      </w:tabs>
      <w:spacing w:after="100"/>
    </w:pPr>
    <w:rPr>
      <w:b/>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headersubtitle">
    <w:name w:val="contentheadersubtitle"/>
    <w:basedOn w:val="DefaultParagraphFont"/>
    <w:rPr>
      <w:sz w:val="19"/>
      <w:szCs w:val="19"/>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tabs>
        <w:tab w:val="left" w:pos="1100"/>
        <w:tab w:val="right" w:leader="dot" w:pos="9062"/>
      </w:tabs>
      <w:spacing w:after="100"/>
    </w:pPr>
    <w:rPr>
      <w:b/>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189873">
      <w:bodyDiv w:val="1"/>
      <w:marLeft w:val="0"/>
      <w:marRight w:val="0"/>
      <w:marTop w:val="0"/>
      <w:marBottom w:val="0"/>
      <w:divBdr>
        <w:top w:val="none" w:sz="0" w:space="0" w:color="auto"/>
        <w:left w:val="none" w:sz="0" w:space="0" w:color="auto"/>
        <w:bottom w:val="none" w:sz="0" w:space="0" w:color="auto"/>
        <w:right w:val="none" w:sz="0" w:space="0" w:color="auto"/>
      </w:divBdr>
    </w:div>
    <w:div w:id="1720666895">
      <w:bodyDiv w:val="1"/>
      <w:marLeft w:val="0"/>
      <w:marRight w:val="0"/>
      <w:marTop w:val="0"/>
      <w:marBottom w:val="0"/>
      <w:divBdr>
        <w:top w:val="none" w:sz="0" w:space="0" w:color="auto"/>
        <w:left w:val="none" w:sz="0" w:space="0" w:color="auto"/>
        <w:bottom w:val="none" w:sz="0" w:space="0" w:color="auto"/>
        <w:right w:val="none" w:sz="0" w:space="0" w:color="auto"/>
      </w:divBdr>
    </w:div>
    <w:div w:id="1901667007">
      <w:bodyDiv w:val="1"/>
      <w:marLeft w:val="0"/>
      <w:marRight w:val="0"/>
      <w:marTop w:val="0"/>
      <w:marBottom w:val="0"/>
      <w:divBdr>
        <w:top w:val="none" w:sz="0" w:space="0" w:color="auto"/>
        <w:left w:val="none" w:sz="0" w:space="0" w:color="auto"/>
        <w:bottom w:val="none" w:sz="0" w:space="0" w:color="auto"/>
        <w:right w:val="none" w:sz="0" w:space="0" w:color="auto"/>
      </w:divBdr>
    </w:div>
    <w:div w:id="1982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5545-B255-4FEE-965E-3E1C9D6F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32</Pages>
  <Words>9331</Words>
  <Characters>53286</Characters>
  <Application>Microsoft Office Word</Application>
  <DocSecurity>0</DocSecurity>
  <Lines>1110</Lines>
  <Paragraphs>596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2017-09-18T09:19:00Z</cp:lastPrinted>
  <dcterms:created xsi:type="dcterms:W3CDTF">2017-09-08T09:14:00Z</dcterms:created>
  <dcterms:modified xsi:type="dcterms:W3CDTF">2017-10-25T08:14:00Z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