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D64" w:rsidRDefault="00B30B4E">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577AC89-D601-4E00-AA14-AD35E81CE42D" style="width:450.75pt;height:348pt">
            <v:imagedata r:id="rId9" o:title=""/>
          </v:shape>
        </w:pict>
      </w:r>
    </w:p>
    <w:bookmarkEnd w:id="0"/>
    <w:p w:rsidR="00A66D64" w:rsidRDefault="00A66D64">
      <w:pPr>
        <w:rPr>
          <w:noProof/>
        </w:rPr>
        <w:sectPr w:rsidR="00A66D64">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rsidR="00A66D64" w:rsidRDefault="00B30B4E">
      <w:pPr>
        <w:spacing w:before="120" w:after="120" w:line="240" w:lineRule="auto"/>
        <w:jc w:val="both"/>
        <w:rPr>
          <w:rFonts w:ascii="Times New Roman" w:eastAsia="Calibri" w:hAnsi="Times New Roman" w:cs="Times New Roman"/>
          <w:b/>
          <w:noProof/>
          <w:sz w:val="24"/>
          <w:szCs w:val="24"/>
        </w:rPr>
      </w:pPr>
      <w:r>
        <w:rPr>
          <w:rFonts w:ascii="Times New Roman" w:hAnsi="Times New Roman"/>
          <w:b/>
          <w:noProof/>
          <w:sz w:val="24"/>
        </w:rPr>
        <w:lastRenderedPageBreak/>
        <w:t>I.</w:t>
      </w:r>
      <w:r>
        <w:rPr>
          <w:noProof/>
        </w:rPr>
        <w:tab/>
      </w:r>
      <w:r>
        <w:rPr>
          <w:rFonts w:ascii="Times New Roman" w:hAnsi="Times New Roman"/>
          <w:b/>
          <w:noProof/>
          <w:sz w:val="24"/>
        </w:rPr>
        <w:t>INTRODUCTION</w:t>
      </w:r>
    </w:p>
    <w:p w:rsidR="00A66D64" w:rsidRDefault="00B30B4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 présent rapport est le onzième rapport mensuel sur les progrès accomplis dans la mise en place d’une union de la sécurité réelle</w:t>
      </w:r>
      <w:r>
        <w:rPr>
          <w:rFonts w:ascii="Times New Roman" w:hAnsi="Times New Roman"/>
          <w:noProof/>
          <w:sz w:val="24"/>
        </w:rPr>
        <w:t xml:space="preserve"> et effective; il fait état de l'évolution de la situation en ce qui concerne deux piliers principaux: d’une part, lutter contre le terrorisme et la criminalité organisée et contre les moyens sur lesquels ils s'appuient, et, d’autre part, renforcer nos déf</w:t>
      </w:r>
      <w:r>
        <w:rPr>
          <w:rFonts w:ascii="Times New Roman" w:hAnsi="Times New Roman"/>
          <w:noProof/>
          <w:sz w:val="24"/>
        </w:rPr>
        <w:t>enses et notre résilience face à ces menaces.</w:t>
      </w:r>
    </w:p>
    <w:p w:rsidR="00A66D64" w:rsidRDefault="00B30B4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 président Juncker a souligné dans son discours sur l’État de l’Union</w:t>
      </w:r>
      <w:r>
        <w:rPr>
          <w:rStyle w:val="FootnoteReference"/>
          <w:rFonts w:ascii="Times New Roman" w:hAnsi="Times New Roman"/>
          <w:noProof/>
          <w:sz w:val="24"/>
        </w:rPr>
        <w:footnoteReference w:id="1"/>
      </w:r>
      <w:r>
        <w:rPr>
          <w:rFonts w:ascii="Times New Roman" w:hAnsi="Times New Roman"/>
          <w:noProof/>
          <w:sz w:val="24"/>
        </w:rPr>
        <w:t xml:space="preserve"> que l'Union européenne devait être plus forte en matière de lutte contre le terrorisme, en s’appuyant sur les progrès réels accomplis ces</w:t>
      </w:r>
      <w:r>
        <w:rPr>
          <w:rFonts w:ascii="Times New Roman" w:hAnsi="Times New Roman"/>
          <w:noProof/>
          <w:sz w:val="24"/>
        </w:rPr>
        <w:t xml:space="preserve"> trois dernières années. Comme annoncé dans la lettre d’intention</w:t>
      </w:r>
      <w:r>
        <w:rPr>
          <w:rStyle w:val="FootnoteReference"/>
          <w:rFonts w:ascii="Times New Roman" w:hAnsi="Times New Roman"/>
          <w:noProof/>
          <w:sz w:val="24"/>
        </w:rPr>
        <w:footnoteReference w:id="2"/>
      </w:r>
      <w:r>
        <w:rPr>
          <w:rFonts w:ascii="Times New Roman" w:hAnsi="Times New Roman"/>
          <w:noProof/>
          <w:sz w:val="24"/>
        </w:rPr>
        <w:t xml:space="preserve"> adressée au Parlement européen et à la présidence du Conseil et dans la feuille de route pour une Europe plus unie, plus forte et plus démocratique, qui l’accompagnait, la Commission expose</w:t>
      </w:r>
      <w:r>
        <w:rPr>
          <w:rFonts w:ascii="Times New Roman" w:hAnsi="Times New Roman"/>
          <w:noProof/>
          <w:sz w:val="24"/>
        </w:rPr>
        <w:t>, dans le présent rapport, un</w:t>
      </w:r>
      <w:r>
        <w:rPr>
          <w:rFonts w:ascii="Times New Roman" w:hAnsi="Times New Roman"/>
          <w:b/>
          <w:noProof/>
          <w:sz w:val="24"/>
        </w:rPr>
        <w:t xml:space="preserve"> train de mesures en matière de lutte contre le terrorisme</w:t>
      </w:r>
      <w:r>
        <w:rPr>
          <w:rFonts w:ascii="Times New Roman" w:hAnsi="Times New Roman"/>
          <w:noProof/>
          <w:sz w:val="24"/>
        </w:rPr>
        <w:t xml:space="preserve"> à prendre au cours des seize prochains mois. Ces mesures opérationnelles aideront les États membres à remédier aux vulnérabilités importantes mises en évidence par les </w:t>
      </w:r>
      <w:r>
        <w:rPr>
          <w:rFonts w:ascii="Times New Roman" w:hAnsi="Times New Roman"/>
          <w:noProof/>
          <w:sz w:val="24"/>
        </w:rPr>
        <w:t xml:space="preserve">récents attentats terroristes et permettront de faire une réelle différence en ce qui concerne le renforcement de la sécurité. Cette initiative viendra compléter une union de la sécurité dans laquelle les terroristes ne puissent plus exploiter les failles </w:t>
      </w:r>
      <w:r>
        <w:rPr>
          <w:rFonts w:ascii="Times New Roman" w:hAnsi="Times New Roman"/>
          <w:noProof/>
          <w:sz w:val="24"/>
        </w:rPr>
        <w:t xml:space="preserve">pour commettre leurs atrocités. Au-delà de ces mesures pratiques à court terme, la Commission étudie actuellement la possibilité de créer une cellule européenne de renseignement, comme annoncé par le président Juncker dans le cadre de sa vision de l’Union </w:t>
      </w:r>
      <w:r>
        <w:rPr>
          <w:rFonts w:ascii="Times New Roman" w:hAnsi="Times New Roman"/>
          <w:noProof/>
          <w:sz w:val="24"/>
        </w:rPr>
        <w:t>européenne à l’horizon 2025.</w:t>
      </w:r>
    </w:p>
    <w:p w:rsidR="00A66D64" w:rsidRDefault="00B30B4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Ce train de mesures en matière de lutte contre le terrorisme comprend:</w:t>
      </w:r>
    </w:p>
    <w:p w:rsidR="00A66D64" w:rsidRDefault="00B30B4E">
      <w:pPr>
        <w:pStyle w:val="ListParagraph"/>
        <w:numPr>
          <w:ilvl w:val="0"/>
          <w:numId w:val="18"/>
        </w:num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des mesures destinées à aider les États membres à </w:t>
      </w:r>
      <w:r>
        <w:rPr>
          <w:rFonts w:ascii="Times New Roman" w:hAnsi="Times New Roman"/>
          <w:b/>
          <w:noProof/>
          <w:sz w:val="24"/>
        </w:rPr>
        <w:t>protéger les espaces publics</w:t>
      </w:r>
      <w:r>
        <w:rPr>
          <w:rFonts w:ascii="Times New Roman" w:hAnsi="Times New Roman"/>
          <w:noProof/>
          <w:sz w:val="24"/>
        </w:rPr>
        <w:t xml:space="preserve"> (chapitre II), notamment un plan d’action visant à améliorer la protection de</w:t>
      </w:r>
      <w:r>
        <w:rPr>
          <w:rFonts w:ascii="Times New Roman" w:hAnsi="Times New Roman"/>
          <w:noProof/>
          <w:sz w:val="24"/>
        </w:rPr>
        <w:t xml:space="preserve">s espaces publics et un plan d’action visant à améliorer la préparation aux risques en matière de sécurité chimique, biologique, radiologique et nucléaire; </w:t>
      </w:r>
    </w:p>
    <w:p w:rsidR="00A66D64" w:rsidRDefault="00B30B4E">
      <w:pPr>
        <w:pStyle w:val="ListParagraph"/>
        <w:numPr>
          <w:ilvl w:val="0"/>
          <w:numId w:val="18"/>
        </w:num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des mesures destinées à </w:t>
      </w:r>
      <w:r>
        <w:rPr>
          <w:rFonts w:ascii="Times New Roman" w:hAnsi="Times New Roman"/>
          <w:b/>
          <w:noProof/>
          <w:sz w:val="24"/>
        </w:rPr>
        <w:t>couper l’accès aux moyens utilisés par les terroristes</w:t>
      </w:r>
      <w:r>
        <w:rPr>
          <w:rFonts w:ascii="Times New Roman" w:hAnsi="Times New Roman"/>
          <w:noProof/>
          <w:sz w:val="24"/>
        </w:rPr>
        <w:t xml:space="preserve"> pour préparer et com</w:t>
      </w:r>
      <w:r>
        <w:rPr>
          <w:rFonts w:ascii="Times New Roman" w:hAnsi="Times New Roman"/>
          <w:noProof/>
          <w:sz w:val="24"/>
        </w:rPr>
        <w:t xml:space="preserve">mettre des attentats, tels que des </w:t>
      </w:r>
      <w:r>
        <w:rPr>
          <w:rFonts w:ascii="Times New Roman" w:hAnsi="Times New Roman"/>
          <w:b/>
          <w:noProof/>
          <w:sz w:val="24"/>
        </w:rPr>
        <w:t>substances dangereuses</w:t>
      </w:r>
      <w:r>
        <w:rPr>
          <w:rFonts w:ascii="Times New Roman" w:hAnsi="Times New Roman"/>
          <w:noProof/>
          <w:sz w:val="24"/>
        </w:rPr>
        <w:t xml:space="preserve"> ou des </w:t>
      </w:r>
      <w:r>
        <w:rPr>
          <w:rFonts w:ascii="Times New Roman" w:hAnsi="Times New Roman"/>
          <w:b/>
          <w:noProof/>
          <w:sz w:val="24"/>
        </w:rPr>
        <w:t>sources de financement</w:t>
      </w:r>
      <w:r>
        <w:rPr>
          <w:rFonts w:ascii="Times New Roman" w:hAnsi="Times New Roman"/>
          <w:noProof/>
          <w:sz w:val="24"/>
        </w:rPr>
        <w:t xml:space="preserve"> (chapitre III), notamment une recommandation concernant les mesures à prendre immédiatement pour prévenir l’utilisation détournée des précurseurs d’explosifs, ainsi que</w:t>
      </w:r>
      <w:r>
        <w:rPr>
          <w:rFonts w:ascii="Times New Roman" w:hAnsi="Times New Roman"/>
          <w:noProof/>
          <w:sz w:val="24"/>
        </w:rPr>
        <w:t xml:space="preserve"> des mesures destinées à aider les services répressifs et les autorités judiciaires lorsqu’ils sont confrontés à l’</w:t>
      </w:r>
      <w:r>
        <w:rPr>
          <w:rFonts w:ascii="Times New Roman" w:hAnsi="Times New Roman"/>
          <w:b/>
          <w:noProof/>
          <w:sz w:val="24"/>
        </w:rPr>
        <w:t xml:space="preserve">utilisation du chiffrement </w:t>
      </w:r>
      <w:r>
        <w:rPr>
          <w:rFonts w:ascii="Times New Roman" w:hAnsi="Times New Roman"/>
          <w:noProof/>
          <w:sz w:val="24"/>
        </w:rPr>
        <w:t>dans le cadre des enquêtes pénales;</w:t>
      </w:r>
    </w:p>
    <w:p w:rsidR="00A66D64" w:rsidRDefault="00B30B4E">
      <w:pPr>
        <w:pStyle w:val="ListParagraph"/>
        <w:numPr>
          <w:ilvl w:val="0"/>
          <w:numId w:val="18"/>
        </w:num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les prochaines mesures destinées à </w:t>
      </w:r>
      <w:r>
        <w:rPr>
          <w:rFonts w:ascii="Times New Roman" w:hAnsi="Times New Roman"/>
          <w:b/>
          <w:noProof/>
          <w:sz w:val="24"/>
        </w:rPr>
        <w:t>lutter contre la radicalisation</w:t>
      </w:r>
      <w:r>
        <w:rPr>
          <w:rFonts w:ascii="Times New Roman" w:hAnsi="Times New Roman"/>
          <w:noProof/>
          <w:sz w:val="24"/>
        </w:rPr>
        <w:t xml:space="preserve"> (chapitre I</w:t>
      </w:r>
      <w:r>
        <w:rPr>
          <w:rFonts w:ascii="Times New Roman" w:hAnsi="Times New Roman"/>
          <w:noProof/>
          <w:sz w:val="24"/>
        </w:rPr>
        <w:t>V);</w:t>
      </w:r>
    </w:p>
    <w:p w:rsidR="00A66D64" w:rsidRPr="00B30B4E" w:rsidRDefault="00B30B4E">
      <w:pPr>
        <w:pStyle w:val="ListParagraph"/>
        <w:numPr>
          <w:ilvl w:val="0"/>
          <w:numId w:val="18"/>
        </w:num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les prochaines mesures destinées à renforcer la </w:t>
      </w:r>
      <w:r>
        <w:rPr>
          <w:rFonts w:ascii="Times New Roman" w:hAnsi="Times New Roman"/>
          <w:b/>
          <w:noProof/>
          <w:sz w:val="24"/>
        </w:rPr>
        <w:t>dimension extérieure</w:t>
      </w:r>
      <w:r>
        <w:rPr>
          <w:rFonts w:ascii="Times New Roman" w:hAnsi="Times New Roman"/>
          <w:noProof/>
          <w:sz w:val="24"/>
        </w:rPr>
        <w:t xml:space="preserve"> de la lutte contre le terrorisme (chapitre V), notamment des propositions de décisions du Conseil relatives à la conclusion, au nom de l’UE, de la convention du Conseil de l’Europe pour la prévention du terrorisme et du protocole additionnel à cette conve</w:t>
      </w:r>
      <w:r>
        <w:rPr>
          <w:rFonts w:ascii="Times New Roman" w:hAnsi="Times New Roman"/>
          <w:noProof/>
          <w:sz w:val="24"/>
        </w:rPr>
        <w:t>ntion, ainsi qu’une recommandation du Conseil visant à autoriser l’ouverture des négociations avec le Canada en vue de la révision de l’accord sur les dossiers passagers (PNR).</w:t>
      </w:r>
    </w:p>
    <w:p w:rsidR="00B30B4E" w:rsidRDefault="00B30B4E" w:rsidP="00B30B4E">
      <w:pPr>
        <w:pStyle w:val="ListParagraph"/>
        <w:spacing w:after="240" w:line="240" w:lineRule="auto"/>
        <w:ind w:left="360"/>
        <w:jc w:val="both"/>
        <w:rPr>
          <w:rFonts w:ascii="Times New Roman" w:eastAsia="Times New Roman" w:hAnsi="Times New Roman" w:cs="Times New Roman"/>
          <w:noProof/>
          <w:sz w:val="24"/>
          <w:szCs w:val="24"/>
        </w:rPr>
      </w:pPr>
    </w:p>
    <w:p w:rsidR="00A66D64" w:rsidRDefault="00B30B4E">
      <w:pPr>
        <w:spacing w:after="240" w:line="240" w:lineRule="auto"/>
        <w:ind w:left="720" w:hanging="720"/>
        <w:jc w:val="both"/>
        <w:rPr>
          <w:rFonts w:ascii="Times New Roman" w:eastAsia="Calibri" w:hAnsi="Times New Roman" w:cs="Times New Roman"/>
          <w:b/>
          <w:noProof/>
          <w:sz w:val="24"/>
          <w:szCs w:val="24"/>
        </w:rPr>
      </w:pPr>
      <w:r>
        <w:rPr>
          <w:rFonts w:ascii="Times New Roman" w:hAnsi="Times New Roman"/>
          <w:b/>
          <w:noProof/>
          <w:sz w:val="24"/>
        </w:rPr>
        <w:t>II.</w:t>
      </w:r>
      <w:r>
        <w:rPr>
          <w:noProof/>
        </w:rPr>
        <w:tab/>
      </w:r>
      <w:r>
        <w:rPr>
          <w:rFonts w:ascii="Times New Roman" w:hAnsi="Times New Roman"/>
          <w:b/>
          <w:noProof/>
          <w:sz w:val="24"/>
        </w:rPr>
        <w:t>MESURES DESTINÉES À AMÉLIORER LA PROTECTION ET LA RÉSILIENCE CONTRE LE TERR</w:t>
      </w:r>
      <w:r>
        <w:rPr>
          <w:rFonts w:ascii="Times New Roman" w:hAnsi="Times New Roman"/>
          <w:b/>
          <w:noProof/>
          <w:sz w:val="24"/>
        </w:rPr>
        <w:t>ORISME</w:t>
      </w:r>
    </w:p>
    <w:p w:rsidR="00A66D64" w:rsidRDefault="00B30B4E">
      <w:pPr>
        <w:spacing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lastRenderedPageBreak/>
        <w:t>1.</w:t>
      </w:r>
      <w:r>
        <w:rPr>
          <w:noProof/>
        </w:rPr>
        <w:tab/>
      </w:r>
      <w:r>
        <w:rPr>
          <w:rFonts w:ascii="Times New Roman" w:hAnsi="Times New Roman"/>
          <w:i/>
          <w:noProof/>
          <w:sz w:val="24"/>
        </w:rPr>
        <w:t>Protection accrue des espaces publics</w:t>
      </w:r>
    </w:p>
    <w:p w:rsidR="00A66D64" w:rsidRDefault="00B30B4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Dans leur propagande et dans le choix de leurs cibles, les terroristes privilégient de plus en plus les espaces publics tels que les zones piétonnes, les sites touristiques, les nœuds de communication, les ce</w:t>
      </w:r>
      <w:r>
        <w:rPr>
          <w:rFonts w:ascii="Times New Roman" w:hAnsi="Times New Roman"/>
          <w:noProof/>
          <w:sz w:val="24"/>
        </w:rPr>
        <w:t>ntres commerciaux, les salles de concert et les places publiques, comme l’ont montré les attentats perpétrés, par exemple, à Barcelone, Berlin, Bruxelles, Londres, Manchester, Nice, Paris et Stockholm. Ce que toutes ces «cibles faciles» (ou «soft targets»)</w:t>
      </w:r>
      <w:r>
        <w:rPr>
          <w:rFonts w:ascii="Times New Roman" w:hAnsi="Times New Roman"/>
          <w:noProof/>
          <w:sz w:val="24"/>
        </w:rPr>
        <w:t xml:space="preserve"> ont en commun est leur nature ouverte et leur caractère public, ainsi qu’une forte concentration de personnes, ce qui les rend intrinsèquement vulnérables. </w:t>
      </w:r>
    </w:p>
    <w:p w:rsidR="00A66D64" w:rsidRDefault="00B30B4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Nous pouvons faire davantage pour réduire la vulnérabilité de ces lieux, détecter les menaces plus</w:t>
      </w:r>
      <w:r>
        <w:rPr>
          <w:rFonts w:ascii="Times New Roman" w:hAnsi="Times New Roman"/>
          <w:noProof/>
          <w:sz w:val="24"/>
        </w:rPr>
        <w:t xml:space="preserve"> précocement et accroître notre résilience. C’est la raison pour laquelle la Commission, sur la base d’un </w:t>
      </w:r>
      <w:r>
        <w:rPr>
          <w:rFonts w:ascii="Times New Roman" w:hAnsi="Times New Roman"/>
          <w:b/>
          <w:noProof/>
          <w:sz w:val="24"/>
        </w:rPr>
        <w:t>plan d’action visant à améliorer la protection des espaces publics</w:t>
      </w:r>
      <w:r>
        <w:rPr>
          <w:rStyle w:val="FootnoteReference"/>
          <w:rFonts w:ascii="Times New Roman" w:hAnsi="Times New Roman"/>
          <w:noProof/>
          <w:sz w:val="24"/>
        </w:rPr>
        <w:footnoteReference w:id="3"/>
      </w:r>
      <w:r>
        <w:rPr>
          <w:rFonts w:ascii="Times New Roman" w:hAnsi="Times New Roman"/>
          <w:noProof/>
          <w:sz w:val="24"/>
        </w:rPr>
        <w:t>, soumis parallèlement au présent rapport, définit des mesures destinées à soutenir</w:t>
      </w:r>
      <w:r>
        <w:rPr>
          <w:rFonts w:ascii="Times New Roman" w:hAnsi="Times New Roman"/>
          <w:noProof/>
          <w:sz w:val="24"/>
        </w:rPr>
        <w:t xml:space="preserve"> les États membres, aux niveaux national, régional et local, dans leurs efforts de renforcement de la protection physique contre les menaces terroristes. Bien que le «risque zéro» n’existe pas, ce plan d’action vise à aider les États membres à détecter les</w:t>
      </w:r>
      <w:r>
        <w:rPr>
          <w:rFonts w:ascii="Times New Roman" w:hAnsi="Times New Roman"/>
          <w:noProof/>
          <w:sz w:val="24"/>
        </w:rPr>
        <w:t xml:space="preserve"> risques, à réduire la vulnérabilité des espaces publics, à atténuer les conséquences d’un attentat terroriste et à améliorer la coopération.</w:t>
      </w:r>
    </w:p>
    <w:p w:rsidR="00A66D64" w:rsidRDefault="00B30B4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 soutien que l’UE peut apporter à la protection des espaces publics est double. Premièrement, elle peut favorise</w:t>
      </w:r>
      <w:r>
        <w:rPr>
          <w:rFonts w:ascii="Times New Roman" w:hAnsi="Times New Roman"/>
          <w:noProof/>
          <w:sz w:val="24"/>
        </w:rPr>
        <w:t>r l’</w:t>
      </w:r>
      <w:r>
        <w:rPr>
          <w:rFonts w:ascii="Times New Roman" w:hAnsi="Times New Roman"/>
          <w:b/>
          <w:noProof/>
          <w:sz w:val="24"/>
        </w:rPr>
        <w:t>échange des meilleures pratiques par-delà les frontières, y compris au moyen de financements</w:t>
      </w:r>
      <w:r>
        <w:rPr>
          <w:rFonts w:ascii="Times New Roman" w:hAnsi="Times New Roman"/>
          <w:noProof/>
          <w:sz w:val="24"/>
        </w:rPr>
        <w:t>. Il peut s’agir, par exemple, de mesures destinées à promouvoir et à soutenir la mise au point de barrières de protection innovantes et discrètes afin d’assure</w:t>
      </w:r>
      <w:r>
        <w:rPr>
          <w:rFonts w:ascii="Times New Roman" w:hAnsi="Times New Roman"/>
          <w:noProof/>
          <w:sz w:val="24"/>
        </w:rPr>
        <w:t>r la sécurité des villes sans porter atteinte à leur caractère ouvert («protection dès la conception»). Apportant son concours financier aux mesures prévues dans le plan d’action, la Commission a lancé aujourd’hui un appel à propositions pour un montant to</w:t>
      </w:r>
      <w:r>
        <w:rPr>
          <w:rFonts w:ascii="Times New Roman" w:hAnsi="Times New Roman"/>
          <w:noProof/>
          <w:sz w:val="24"/>
        </w:rPr>
        <w:t>tal de 18,5 millions d’EUR au titre du volet «police» du Fonds pour la sécurité intérieure. Ce financement à court terme sera complété, en 2018, par un financement au titre des «Actions innovatrices urbaines» (AIU) dans le cadre du Fonds européen de dévelo</w:t>
      </w:r>
      <w:r>
        <w:rPr>
          <w:rFonts w:ascii="Times New Roman" w:hAnsi="Times New Roman"/>
          <w:noProof/>
          <w:sz w:val="24"/>
        </w:rPr>
        <w:t>ppement régional, pour lesquelles la sécurité constituera un thème clé et l’enveloppe totale pourra atteindre 100 millions d'EUR. Une consultation publique a été lancée le 15 septembre 2017 afin de recueillir auprès des villes des idées en matière de solut</w:t>
      </w:r>
      <w:r>
        <w:rPr>
          <w:rFonts w:ascii="Times New Roman" w:hAnsi="Times New Roman"/>
          <w:noProof/>
          <w:sz w:val="24"/>
        </w:rPr>
        <w:t>ions de sécurité innovantes. Cette consultation permettra à la Commission d’élaborer les futurs appels à propositions dans ce domaine.</w:t>
      </w:r>
    </w:p>
    <w:p w:rsidR="00A66D64" w:rsidRDefault="00B30B4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Deuxièmement, l’Union européenne peut favoriser la </w:t>
      </w:r>
      <w:r>
        <w:rPr>
          <w:rFonts w:ascii="Times New Roman" w:hAnsi="Times New Roman"/>
          <w:b/>
          <w:noProof/>
          <w:sz w:val="24"/>
        </w:rPr>
        <w:t>coopération avec un large éventail de parties prenantes</w:t>
      </w:r>
      <w:r>
        <w:rPr>
          <w:rFonts w:ascii="Times New Roman" w:hAnsi="Times New Roman"/>
          <w:noProof/>
          <w:sz w:val="24"/>
        </w:rPr>
        <w:t xml:space="preserve">, laquelle est </w:t>
      </w:r>
      <w:r>
        <w:rPr>
          <w:rFonts w:ascii="Times New Roman" w:hAnsi="Times New Roman"/>
          <w:noProof/>
          <w:sz w:val="24"/>
        </w:rPr>
        <w:t>considérée comme capitale pour améliorer la protection des espaces publics. Il conviendrait de mieux structurer le partage d’expériences et la mise en commun des ressources. La Commission créera un forum afin de dialoguer avec des opérateurs privés, tels q</w:t>
      </w:r>
      <w:r>
        <w:rPr>
          <w:rFonts w:ascii="Times New Roman" w:hAnsi="Times New Roman"/>
          <w:noProof/>
          <w:sz w:val="24"/>
        </w:rPr>
        <w:t>ue des centres commerciaux, des organisateurs de concerts, des installations sportives, des hôtels et des sociétés de location de voitures. Ce dialogue facilitera une prise de conscience commune des défis actuels en matière de sécurité et favorisera les pa</w:t>
      </w:r>
      <w:r>
        <w:rPr>
          <w:rFonts w:ascii="Times New Roman" w:hAnsi="Times New Roman"/>
          <w:noProof/>
          <w:sz w:val="24"/>
        </w:rPr>
        <w:t>rtenariats public-privé destinés à améliorer la protection. Les autorités locales et régionales ont également un rôle fondamental à jouer dans la protection des espaces publics et doivent être associées aux activités connexes menées au niveau de l’UE. La C</w:t>
      </w:r>
      <w:r>
        <w:rPr>
          <w:rFonts w:ascii="Times New Roman" w:hAnsi="Times New Roman"/>
          <w:noProof/>
          <w:sz w:val="24"/>
        </w:rPr>
        <w:t>ommission renforcera la participation de ces parties prenantes et entamera un dialogue avec les autorités régionales et locales, telles que les maires de grandes villes, en vue de partager des informations et les meilleures pratiques en matière de protecti</w:t>
      </w:r>
      <w:r>
        <w:rPr>
          <w:rFonts w:ascii="Times New Roman" w:hAnsi="Times New Roman"/>
          <w:noProof/>
          <w:sz w:val="24"/>
        </w:rPr>
        <w:t>on des espaces publics. Dans le cadre du suivi de la déclaration de Nice</w:t>
      </w:r>
      <w:r>
        <w:rPr>
          <w:rStyle w:val="FootnoteReference"/>
          <w:rFonts w:ascii="Times New Roman" w:hAnsi="Times New Roman"/>
          <w:noProof/>
          <w:sz w:val="24"/>
        </w:rPr>
        <w:footnoteReference w:id="4"/>
      </w:r>
      <w:r>
        <w:rPr>
          <w:rFonts w:ascii="Times New Roman" w:hAnsi="Times New Roman"/>
          <w:noProof/>
          <w:sz w:val="24"/>
        </w:rPr>
        <w:t xml:space="preserve"> du 29 septembre 2017, au début de l’année prochaine, la Commission organisera, en collaboration avec le Comité des régions, une réunion à haut niveau avec les maires signataires de c</w:t>
      </w:r>
      <w:r>
        <w:rPr>
          <w:rFonts w:ascii="Times New Roman" w:hAnsi="Times New Roman"/>
          <w:noProof/>
          <w:sz w:val="24"/>
        </w:rPr>
        <w:t>ette déclaration et d’autres représentants intéressés des niveaux local et régional en vue de poursuivre l’échange des meilleures pratiques relatives à la protection des espaces publics.</w:t>
      </w:r>
    </w:p>
    <w:p w:rsidR="00A66D64" w:rsidRDefault="00B30B4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La Commission poursuivra également ses travaux concernant la protecti</w:t>
      </w:r>
      <w:r>
        <w:rPr>
          <w:rFonts w:ascii="Times New Roman" w:hAnsi="Times New Roman"/>
          <w:noProof/>
          <w:sz w:val="24"/>
        </w:rPr>
        <w:t xml:space="preserve">on et la résilience des </w:t>
      </w:r>
      <w:r>
        <w:rPr>
          <w:rFonts w:ascii="Times New Roman" w:hAnsi="Times New Roman"/>
          <w:b/>
          <w:noProof/>
          <w:sz w:val="24"/>
        </w:rPr>
        <w:t>infrastructures critiques</w:t>
      </w:r>
      <w:r>
        <w:rPr>
          <w:rFonts w:ascii="Times New Roman" w:hAnsi="Times New Roman"/>
          <w:noProof/>
          <w:sz w:val="24"/>
        </w:rPr>
        <w:t>. L’évaluation globale de la politique de sécurité de l’UE</w:t>
      </w:r>
      <w:r>
        <w:rPr>
          <w:rStyle w:val="FootnoteReference"/>
          <w:rFonts w:ascii="Times New Roman" w:hAnsi="Times New Roman"/>
          <w:noProof/>
          <w:sz w:val="24"/>
        </w:rPr>
        <w:footnoteReference w:id="5"/>
      </w:r>
      <w:r>
        <w:rPr>
          <w:rFonts w:ascii="Times New Roman" w:hAnsi="Times New Roman"/>
          <w:noProof/>
          <w:sz w:val="24"/>
        </w:rPr>
        <w:t xml:space="preserve"> a également mis en évidence la nécessité d’adapter le programme européen de protection des infrastructures critiques</w:t>
      </w:r>
      <w:r>
        <w:rPr>
          <w:rStyle w:val="FootnoteReference"/>
          <w:rFonts w:ascii="Times New Roman" w:hAnsi="Times New Roman"/>
          <w:noProof/>
          <w:sz w:val="24"/>
        </w:rPr>
        <w:footnoteReference w:id="6"/>
      </w:r>
      <w:r>
        <w:rPr>
          <w:rFonts w:ascii="Times New Roman" w:hAnsi="Times New Roman"/>
          <w:noProof/>
          <w:sz w:val="24"/>
        </w:rPr>
        <w:t xml:space="preserve"> aux nouvelles menaces. La Com</w:t>
      </w:r>
      <w:r>
        <w:rPr>
          <w:rFonts w:ascii="Times New Roman" w:hAnsi="Times New Roman"/>
          <w:noProof/>
          <w:sz w:val="24"/>
        </w:rPr>
        <w:t>mission a lancé une évaluation de la directive</w:t>
      </w:r>
      <w:r>
        <w:rPr>
          <w:rStyle w:val="FootnoteReference"/>
          <w:rFonts w:ascii="Times New Roman" w:hAnsi="Times New Roman"/>
          <w:noProof/>
          <w:sz w:val="24"/>
        </w:rPr>
        <w:footnoteReference w:id="7"/>
      </w:r>
      <w:r>
        <w:rPr>
          <w:rFonts w:ascii="Times New Roman" w:hAnsi="Times New Roman"/>
          <w:noProof/>
          <w:sz w:val="24"/>
        </w:rPr>
        <w:t xml:space="preserve"> concernant le recensement et la désignation des infrastructures critiques européennes. Cette évaluation tiendra compte des enseignements tirés de l’expérience acquise et de l’évolution de la situation au cour</w:t>
      </w:r>
      <w:r>
        <w:rPr>
          <w:rFonts w:ascii="Times New Roman" w:hAnsi="Times New Roman"/>
          <w:noProof/>
          <w:sz w:val="24"/>
        </w:rPr>
        <w:t>s des dernières années, telles que l’adoption de la directive sur la sécurité des réseaux et de l’information</w:t>
      </w:r>
      <w:r>
        <w:rPr>
          <w:rStyle w:val="FootnoteReference"/>
          <w:rFonts w:ascii="Times New Roman" w:hAnsi="Times New Roman"/>
          <w:noProof/>
          <w:sz w:val="24"/>
        </w:rPr>
        <w:footnoteReference w:id="8"/>
      </w:r>
      <w:r>
        <w:rPr>
          <w:rFonts w:ascii="Times New Roman" w:hAnsi="Times New Roman"/>
          <w:noProof/>
          <w:sz w:val="24"/>
        </w:rPr>
        <w:t xml:space="preserve">. Dans l’intervalle, le programme européen de protection des infrastructures critiques a été renforcé de manière à prendre en compte les nouveaux </w:t>
      </w:r>
      <w:r>
        <w:rPr>
          <w:rFonts w:ascii="Times New Roman" w:hAnsi="Times New Roman"/>
          <w:noProof/>
          <w:sz w:val="24"/>
        </w:rPr>
        <w:t>défis, tels que les menaces internes et les menaces hybrides, et à élargir son volet externe grâce à une coopération avec les pays du voisinage oriental et les pays voisins des Balkans occidentaux.</w:t>
      </w:r>
    </w:p>
    <w:p w:rsidR="00A66D64" w:rsidRDefault="00B30B4E">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Les transports sont, depuis de nombreuses années, à la foi</w:t>
      </w:r>
      <w:r>
        <w:rPr>
          <w:rFonts w:ascii="Times New Roman" w:hAnsi="Times New Roman"/>
          <w:noProof/>
          <w:sz w:val="24"/>
        </w:rPr>
        <w:t xml:space="preserve">s la cible d’actes terroristes et un moyen de perpétrer des attentats (par exemple, détournement d’avions ou camions-béliers). En réponse, il est nécessaire d’évaluer la mesure dans laquelle les règles de </w:t>
      </w:r>
      <w:r>
        <w:rPr>
          <w:rFonts w:ascii="Times New Roman" w:hAnsi="Times New Roman"/>
          <w:b/>
          <w:noProof/>
          <w:sz w:val="24"/>
        </w:rPr>
        <w:t>sécurité des transports</w:t>
      </w:r>
      <w:r>
        <w:rPr>
          <w:rFonts w:ascii="Times New Roman" w:hAnsi="Times New Roman"/>
          <w:noProof/>
          <w:sz w:val="24"/>
        </w:rPr>
        <w:t xml:space="preserve"> garantissent effectivement </w:t>
      </w:r>
      <w:r>
        <w:rPr>
          <w:rFonts w:ascii="Times New Roman" w:hAnsi="Times New Roman"/>
          <w:noProof/>
          <w:sz w:val="24"/>
        </w:rPr>
        <w:t xml:space="preserve">la sécurité, tout en assurant la fluidité des réseaux de transport. Alors que le secteur de l’aviation est considérablement mieux protégé, les attentats terroristes sont devenus plus opportunistes en visant davantage les espaces publics. Parmi ceux-ci, le </w:t>
      </w:r>
      <w:r>
        <w:rPr>
          <w:rFonts w:ascii="Times New Roman" w:hAnsi="Times New Roman"/>
          <w:b/>
          <w:noProof/>
          <w:sz w:val="24"/>
        </w:rPr>
        <w:t>transport ferroviaire</w:t>
      </w:r>
      <w:r>
        <w:rPr>
          <w:rFonts w:ascii="Times New Roman" w:hAnsi="Times New Roman"/>
          <w:noProof/>
          <w:sz w:val="24"/>
        </w:rPr>
        <w:t xml:space="preserve"> est une cible à haut risque puisque son infrastructure est, par nature, ouverte. Il n’existe actuellement pas de cadre législatif de l’Union destiné à protéger le transport ferroviaire de voyageurs contre le terrorisme et les formes g</w:t>
      </w:r>
      <w:r>
        <w:rPr>
          <w:rFonts w:ascii="Times New Roman" w:hAnsi="Times New Roman"/>
          <w:noProof/>
          <w:sz w:val="24"/>
        </w:rPr>
        <w:t>raves de criminalité. Le 15 juin 2017, la Commission a lancé, avec les États membres, une évaluation des risques communs dans le transport ferroviaire et elle travaille actuellement à l’élaboration de nouvelles mesures visant à améliorer la sécurité du tra</w:t>
      </w:r>
      <w:r>
        <w:rPr>
          <w:rFonts w:ascii="Times New Roman" w:hAnsi="Times New Roman"/>
          <w:noProof/>
          <w:sz w:val="24"/>
        </w:rPr>
        <w:t xml:space="preserve">nsport ferroviaire de voyageurs. La Commission travaille à l’élaboration d’une boîte à outils d’orientations relatives aux meilleures pratiques en matière de sécurité pour le secteur du </w:t>
      </w:r>
      <w:r>
        <w:rPr>
          <w:rFonts w:ascii="Times New Roman" w:hAnsi="Times New Roman"/>
          <w:b/>
          <w:noProof/>
          <w:sz w:val="24"/>
        </w:rPr>
        <w:t>transport</w:t>
      </w:r>
      <w:r>
        <w:rPr>
          <w:rFonts w:ascii="Times New Roman" w:hAnsi="Times New Roman"/>
          <w:noProof/>
          <w:sz w:val="24"/>
        </w:rPr>
        <w:t xml:space="preserve"> commercial </w:t>
      </w:r>
      <w:r>
        <w:rPr>
          <w:rFonts w:ascii="Times New Roman" w:hAnsi="Times New Roman"/>
          <w:b/>
          <w:noProof/>
          <w:sz w:val="24"/>
        </w:rPr>
        <w:t>par route</w:t>
      </w:r>
      <w:r>
        <w:rPr>
          <w:rFonts w:ascii="Times New Roman" w:hAnsi="Times New Roman"/>
          <w:noProof/>
          <w:sz w:val="24"/>
        </w:rPr>
        <w:t>, l’objectif étant d’améliorer la sécuri</w:t>
      </w:r>
      <w:r>
        <w:rPr>
          <w:rFonts w:ascii="Times New Roman" w:hAnsi="Times New Roman"/>
          <w:noProof/>
          <w:sz w:val="24"/>
        </w:rPr>
        <w:t>té des poids lourds en atténuant le risque d’intrusion non autorisée, y compris de détournement ou de vol, dans le but de commettre un attentat terroriste au camion-bélier. La boîte à outils sera disponible avant la fin de l’année 2017 et fournira des orie</w:t>
      </w:r>
      <w:r>
        <w:rPr>
          <w:rFonts w:ascii="Times New Roman" w:hAnsi="Times New Roman"/>
          <w:noProof/>
          <w:sz w:val="24"/>
        </w:rPr>
        <w:t xml:space="preserve">ntations pour les secteurs des transports routiers nationaux. La Commission poursuivra également ses travaux sur l’amélioration de la </w:t>
      </w:r>
      <w:r>
        <w:rPr>
          <w:rFonts w:ascii="Times New Roman" w:hAnsi="Times New Roman"/>
          <w:b/>
          <w:noProof/>
          <w:sz w:val="24"/>
        </w:rPr>
        <w:t>sûreté des transports maritimes</w:t>
      </w:r>
      <w:r>
        <w:rPr>
          <w:rFonts w:ascii="Times New Roman" w:hAnsi="Times New Roman"/>
          <w:noProof/>
          <w:sz w:val="24"/>
        </w:rPr>
        <w:t xml:space="preserve">, notamment en vue de renforcer la protection des infrastructures, y compris les ports et les installations portuaires, des navires porte-conteneurs et des navires de transport de passagers tels que les bateaux de croisière et les ferries. </w:t>
      </w:r>
    </w:p>
    <w:p w:rsidR="00A66D64" w:rsidRDefault="00B30B4E">
      <w:pPr>
        <w:tabs>
          <w:tab w:val="left" w:pos="0"/>
        </w:tabs>
        <w:spacing w:after="120" w:line="240" w:lineRule="auto"/>
        <w:ind w:left="720" w:hanging="720"/>
        <w:jc w:val="both"/>
        <w:rPr>
          <w:rFonts w:ascii="Times New Roman" w:eastAsia="Times New Roman" w:hAnsi="Times New Roman" w:cs="Times New Roman"/>
          <w:i/>
          <w:noProof/>
          <w:sz w:val="24"/>
          <w:szCs w:val="24"/>
        </w:rPr>
      </w:pPr>
      <w:r>
        <w:rPr>
          <w:rFonts w:ascii="Times New Roman" w:hAnsi="Times New Roman"/>
          <w:i/>
          <w:noProof/>
          <w:sz w:val="24"/>
        </w:rPr>
        <w:t>2.</w:t>
      </w:r>
      <w:r>
        <w:rPr>
          <w:noProof/>
        </w:rPr>
        <w:tab/>
      </w:r>
      <w:r>
        <w:rPr>
          <w:rFonts w:ascii="Times New Roman" w:hAnsi="Times New Roman"/>
          <w:i/>
          <w:noProof/>
          <w:sz w:val="24"/>
        </w:rPr>
        <w:t>Une meilleur</w:t>
      </w:r>
      <w:r>
        <w:rPr>
          <w:rFonts w:ascii="Times New Roman" w:hAnsi="Times New Roman"/>
          <w:i/>
          <w:noProof/>
          <w:sz w:val="24"/>
        </w:rPr>
        <w:t>e préparation aux risques en matière de sécurité chimique, biologique, radiologique et nucléaire</w:t>
      </w:r>
    </w:p>
    <w:p w:rsidR="00A66D64" w:rsidRDefault="00B30B4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Bien que le risque d’attentats utilisant des substances chimiques, biologiques, radiologiques et nucléaires (CBRN) reste faible dans l’UE, le niveau général de</w:t>
      </w:r>
      <w:r>
        <w:rPr>
          <w:rFonts w:ascii="Times New Roman" w:hAnsi="Times New Roman"/>
          <w:noProof/>
          <w:sz w:val="24"/>
        </w:rPr>
        <w:t xml:space="preserve"> la menace CBRN évolue. Il y a en effet des raisons de penser que certains groupes criminels ou terroristes pourraient avoir l’intention de se procurer des matières CBRN ainsi que les connaissances et les moyens nécessaires pour les utiliser à des fins ter</w:t>
      </w:r>
      <w:r>
        <w:rPr>
          <w:rFonts w:ascii="Times New Roman" w:hAnsi="Times New Roman"/>
          <w:noProof/>
          <w:sz w:val="24"/>
        </w:rPr>
        <w:t>roristes. Le potentiel des attentats CBRN figure en bonne place dans la propagande terroriste. L’évaluation exhaustive de la politique de sécurité de l’UE</w:t>
      </w:r>
      <w:r>
        <w:rPr>
          <w:rStyle w:val="FootnoteReference"/>
          <w:rFonts w:ascii="Times New Roman" w:hAnsi="Times New Roman"/>
          <w:noProof/>
          <w:sz w:val="24"/>
        </w:rPr>
        <w:footnoteReference w:id="9"/>
      </w:r>
      <w:r>
        <w:rPr>
          <w:rFonts w:ascii="Times New Roman" w:hAnsi="Times New Roman"/>
          <w:noProof/>
          <w:sz w:val="24"/>
        </w:rPr>
        <w:t xml:space="preserve"> a mis en évidence la nécessité d’intensifier la préparation à ces menaces.</w:t>
      </w:r>
    </w:p>
    <w:p w:rsidR="00A66D64" w:rsidRDefault="00B30B4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Afin d’être mieux préparé</w:t>
      </w:r>
      <w:r>
        <w:rPr>
          <w:rFonts w:ascii="Times New Roman" w:hAnsi="Times New Roman"/>
          <w:noProof/>
          <w:sz w:val="24"/>
        </w:rPr>
        <w:t xml:space="preserve"> à faire face aux menaces CBRN au cours des prochaines années, la Commission soumet, avec le présent rapport, un </w:t>
      </w:r>
      <w:r>
        <w:rPr>
          <w:rFonts w:ascii="Times New Roman" w:hAnsi="Times New Roman"/>
          <w:b/>
          <w:noProof/>
          <w:sz w:val="24"/>
        </w:rPr>
        <w:t>plan d'action visant à améliorer la préparation aux risques en matière de sécurité chimique, biologique, radiologique et nucléaire</w:t>
      </w:r>
      <w:r>
        <w:rPr>
          <w:rStyle w:val="FootnoteReference"/>
          <w:rFonts w:ascii="Times New Roman" w:hAnsi="Times New Roman"/>
          <w:b/>
          <w:noProof/>
          <w:sz w:val="24"/>
        </w:rPr>
        <w:footnoteReference w:id="10"/>
      </w:r>
      <w:r>
        <w:rPr>
          <w:rFonts w:ascii="Times New Roman" w:hAnsi="Times New Roman"/>
          <w:noProof/>
          <w:sz w:val="24"/>
        </w:rPr>
        <w:t>. Ce plan pr</w:t>
      </w:r>
      <w:r>
        <w:rPr>
          <w:rFonts w:ascii="Times New Roman" w:hAnsi="Times New Roman"/>
          <w:noProof/>
          <w:sz w:val="24"/>
        </w:rPr>
        <w:t>évoit un large éventail de mesures visant à améliorer la préparation, la résilience et la coordination au niveau de l’UE, par exemple par la création d’un réseau de l’UE pour la sécurité CBRN afin de regrouper l’ensemble des acteurs du secteur. Ce réseau b</w:t>
      </w:r>
      <w:r>
        <w:rPr>
          <w:rFonts w:ascii="Times New Roman" w:hAnsi="Times New Roman"/>
          <w:noProof/>
          <w:sz w:val="24"/>
        </w:rPr>
        <w:t>énéficiera notamment du soutien d’un pôle de connaissances CBRN qui relèvera du Centre européen de la lutte contre le terrorisme (ECTC) au sein d’Europol. Comme il importe également de mieux exploiter les ressources disponibles, le plan d’action propose de</w:t>
      </w:r>
      <w:r>
        <w:rPr>
          <w:rFonts w:ascii="Times New Roman" w:hAnsi="Times New Roman"/>
          <w:noProof/>
          <w:sz w:val="24"/>
        </w:rPr>
        <w:t xml:space="preserve"> renforcer la préparation et la réaction dans le domaine CBRN par des formations et des exercices associant l’ensemble des différents premiers intervenants (services répressifs, protection civile et santé) et, selon le cas, des partenaires militaires et pr</w:t>
      </w:r>
      <w:r>
        <w:rPr>
          <w:rFonts w:ascii="Times New Roman" w:hAnsi="Times New Roman"/>
          <w:noProof/>
          <w:sz w:val="24"/>
        </w:rPr>
        <w:t>ivés. Il s’appuiera également sur les instruments existants au niveau de l’UE, notamment le mécanisme de protection civile de l’Union (MPCU)</w:t>
      </w:r>
      <w:r>
        <w:rPr>
          <w:rStyle w:val="FootnoteReference"/>
          <w:rFonts w:ascii="Times New Roman" w:hAnsi="Times New Roman"/>
          <w:noProof/>
          <w:sz w:val="24"/>
        </w:rPr>
        <w:footnoteReference w:id="11"/>
      </w:r>
      <w:r>
        <w:rPr>
          <w:rFonts w:ascii="Times New Roman" w:hAnsi="Times New Roman"/>
          <w:noProof/>
          <w:sz w:val="24"/>
        </w:rPr>
        <w:t xml:space="preserve"> et l’Agence de l’Union européenne pour la formation des services répressifs (CEPOL). Afin d’être en mesure de mieu</w:t>
      </w:r>
      <w:r>
        <w:rPr>
          <w:rFonts w:ascii="Times New Roman" w:hAnsi="Times New Roman"/>
          <w:noProof/>
          <w:sz w:val="24"/>
        </w:rPr>
        <w:t>x réagir en cas d’incident CBRN majeur, les États membres devraient continuer à renforcer l’actuelle capacité européenne de réaction d’urgence (EERC) du MPCU. Dans ce contexte, les États membres sont invités à continuer d’engager de nouveaux moyens dans l’</w:t>
      </w:r>
      <w:r>
        <w:rPr>
          <w:rFonts w:ascii="Times New Roman" w:hAnsi="Times New Roman"/>
          <w:noProof/>
          <w:sz w:val="24"/>
        </w:rPr>
        <w:t>EERC.</w:t>
      </w:r>
    </w:p>
    <w:p w:rsidR="00A66D64" w:rsidRDefault="00B30B4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législation de l’UE relative aux </w:t>
      </w:r>
      <w:r>
        <w:rPr>
          <w:rFonts w:ascii="Times New Roman" w:hAnsi="Times New Roman"/>
          <w:b/>
          <w:noProof/>
          <w:sz w:val="24"/>
        </w:rPr>
        <w:t>menaces transfrontières graves pour la santé</w:t>
      </w:r>
      <w:r>
        <w:rPr>
          <w:rStyle w:val="FootnoteReference"/>
          <w:rFonts w:ascii="Times New Roman" w:hAnsi="Times New Roman"/>
          <w:noProof/>
          <w:sz w:val="24"/>
        </w:rPr>
        <w:footnoteReference w:id="12"/>
      </w:r>
      <w:r>
        <w:rPr>
          <w:rFonts w:ascii="Times New Roman" w:hAnsi="Times New Roman"/>
          <w:noProof/>
          <w:sz w:val="24"/>
        </w:rPr>
        <w:t xml:space="preserve"> prévoit la préparation, la surveillance et la coordination des réponses aux urgences sanitaires dans l’ensemble de l’UE. Dans ce contexte, le système d’alerte précoce e</w:t>
      </w:r>
      <w:r>
        <w:rPr>
          <w:rFonts w:ascii="Times New Roman" w:hAnsi="Times New Roman"/>
          <w:noProof/>
          <w:sz w:val="24"/>
        </w:rPr>
        <w:t>t de réaction de l’UE sera mieux relié aux autres systèmes d’alerte de l’UE concernant les menaces biologiques, chimiques, environnementales et encore inconnues. Le programme de santé permet également de financer des exercices à l’échelle de l’UE sur la pr</w:t>
      </w:r>
      <w:r>
        <w:rPr>
          <w:rFonts w:ascii="Times New Roman" w:hAnsi="Times New Roman"/>
          <w:noProof/>
          <w:sz w:val="24"/>
        </w:rPr>
        <w:t>éparation et la réaction aux urgences, ainsi que des actions communes destinées à aider les États membres à renforcer les laboratoires, la vaccination et les principales capacités en application du règlement sanitaire international.</w:t>
      </w:r>
    </w:p>
    <w:p w:rsidR="00A66D64" w:rsidRDefault="00B30B4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Toutes ces initiatives </w:t>
      </w:r>
      <w:r>
        <w:rPr>
          <w:rFonts w:ascii="Times New Roman" w:hAnsi="Times New Roman"/>
          <w:noProof/>
          <w:sz w:val="24"/>
        </w:rPr>
        <w:t>seront soutenues par des activités de recherche spécifiques, des financements et une coopération avec les partenaires internationaux pertinents.</w:t>
      </w:r>
    </w:p>
    <w:p w:rsidR="00A66D64" w:rsidRDefault="00B30B4E">
      <w:pPr>
        <w:spacing w:before="120" w:after="120" w:line="240" w:lineRule="auto"/>
        <w:jc w:val="both"/>
        <w:rPr>
          <w:rFonts w:ascii="Times New Roman" w:eastAsia="Calibri" w:hAnsi="Times New Roman" w:cs="Times New Roman"/>
          <w:b/>
          <w:noProof/>
          <w:sz w:val="24"/>
          <w:szCs w:val="24"/>
        </w:rPr>
      </w:pPr>
      <w:r>
        <w:rPr>
          <w:rFonts w:ascii="Times New Roman" w:hAnsi="Times New Roman"/>
          <w:b/>
          <w:noProof/>
          <w:sz w:val="24"/>
        </w:rPr>
        <w:t>III.</w:t>
      </w:r>
      <w:r>
        <w:rPr>
          <w:noProof/>
        </w:rPr>
        <w:tab/>
      </w:r>
      <w:r>
        <w:rPr>
          <w:rFonts w:ascii="Times New Roman" w:hAnsi="Times New Roman"/>
          <w:b/>
          <w:noProof/>
          <w:sz w:val="24"/>
        </w:rPr>
        <w:t xml:space="preserve">S'ATTAQUER AUX MOYENS D'ACTION DES TERRORISTES </w:t>
      </w:r>
    </w:p>
    <w:p w:rsidR="00A66D64" w:rsidRDefault="00B30B4E">
      <w:pPr>
        <w:spacing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1.</w:t>
      </w:r>
      <w:r>
        <w:rPr>
          <w:noProof/>
        </w:rPr>
        <w:tab/>
      </w:r>
      <w:r>
        <w:rPr>
          <w:rFonts w:ascii="Times New Roman" w:hAnsi="Times New Roman"/>
          <w:i/>
          <w:noProof/>
          <w:sz w:val="24"/>
        </w:rPr>
        <w:t>Financement du terrorisme: accès transfrontière aux inf</w:t>
      </w:r>
      <w:r>
        <w:rPr>
          <w:rFonts w:ascii="Times New Roman" w:hAnsi="Times New Roman"/>
          <w:i/>
          <w:noProof/>
          <w:sz w:val="24"/>
        </w:rPr>
        <w:t xml:space="preserve">ormations financières </w:t>
      </w:r>
    </w:p>
    <w:p w:rsidR="00A66D64" w:rsidRDefault="00B30B4E">
      <w:pPr>
        <w:spacing w:after="240" w:line="240" w:lineRule="auto"/>
        <w:jc w:val="both"/>
        <w:rPr>
          <w:rFonts w:ascii="Times New Roman" w:hAnsi="Times New Roman" w:cs="Times New Roman"/>
          <w:noProof/>
          <w:sz w:val="24"/>
          <w:szCs w:val="24"/>
        </w:rPr>
      </w:pPr>
      <w:r>
        <w:rPr>
          <w:rFonts w:ascii="Times New Roman" w:hAnsi="Times New Roman"/>
          <w:noProof/>
          <w:sz w:val="24"/>
        </w:rPr>
        <w:t>Les informations sur les activités financières de terroristes présumés peuvent fournir des pistes cruciales dans le cadre des enquêtes antiterroristes. En raison de leur fiabilité et de leur précision, les données financières (y comp</w:t>
      </w:r>
      <w:r>
        <w:rPr>
          <w:rFonts w:ascii="Times New Roman" w:hAnsi="Times New Roman"/>
          <w:noProof/>
          <w:sz w:val="24"/>
        </w:rPr>
        <w:t>ris les données relatives aux transactions financières) peuvent permettre d’identifier des terroristes, de découvrir des liens avec des complices, d’établir les activités, les moyens logistiques et les déplacements des suspects, et de cartographier les rés</w:t>
      </w:r>
      <w:r>
        <w:rPr>
          <w:rFonts w:ascii="Times New Roman" w:hAnsi="Times New Roman"/>
          <w:noProof/>
          <w:sz w:val="24"/>
        </w:rPr>
        <w:t>eaux terroristes. L’obtention rapide d’un aperçu des activités financières de suspects et de leurs complices peut fournir aux services répressifs des informations capitales pour empêcher des attentats ou réagir à la suite d’un attentat. Le phénomène croiss</w:t>
      </w:r>
      <w:r>
        <w:rPr>
          <w:rFonts w:ascii="Times New Roman" w:hAnsi="Times New Roman"/>
          <w:noProof/>
          <w:sz w:val="24"/>
        </w:rPr>
        <w:t>ant des attentats de moindre ampleur perpétrés à l’aide de moyens rudimentaires pose de nouveaux défis; les projets d’attentats peuvent être plus difficiles à déceler lorsque ceux-ci sont planifiés à court terme. Les transactions financières liées à des pr</w:t>
      </w:r>
      <w:r>
        <w:rPr>
          <w:rFonts w:ascii="Times New Roman" w:hAnsi="Times New Roman"/>
          <w:noProof/>
          <w:sz w:val="24"/>
        </w:rPr>
        <w:t xml:space="preserve">ojets d’attentats de moindre ampleur ont plus de chances de passer inaperçues, de sorte que ces informations ne sont portées à l’attention des autorités compétentes qu’après les attentats. </w:t>
      </w:r>
    </w:p>
    <w:p w:rsidR="00A66D64" w:rsidRDefault="00B30B4E">
      <w:pPr>
        <w:spacing w:after="240" w:line="240" w:lineRule="auto"/>
        <w:jc w:val="both"/>
        <w:rPr>
          <w:rFonts w:ascii="Times New Roman" w:eastAsiaTheme="minorEastAsia" w:hAnsi="Times New Roman" w:cs="Times New Roman"/>
          <w:noProof/>
          <w:sz w:val="24"/>
          <w:szCs w:val="24"/>
        </w:rPr>
      </w:pPr>
      <w:r>
        <w:rPr>
          <w:rFonts w:ascii="Times New Roman" w:eastAsiaTheme="minorEastAsia" w:hAnsi="Times New Roman"/>
          <w:noProof/>
          <w:sz w:val="24"/>
        </w:rPr>
        <w:t>Comme annoncé dans le plan d’action de 2016 destiné à renforcer la</w:t>
      </w:r>
      <w:r>
        <w:rPr>
          <w:rFonts w:ascii="Times New Roman" w:eastAsiaTheme="minorEastAsia" w:hAnsi="Times New Roman"/>
          <w:noProof/>
          <w:sz w:val="24"/>
        </w:rPr>
        <w:t xml:space="preserve"> lutte contre le financement du terrorisme</w:t>
      </w:r>
      <w:r>
        <w:rPr>
          <w:rStyle w:val="FootnoteReference"/>
          <w:rFonts w:ascii="Times New Roman" w:hAnsi="Times New Roman"/>
          <w:noProof/>
          <w:sz w:val="24"/>
        </w:rPr>
        <w:footnoteReference w:id="13"/>
      </w:r>
      <w:r>
        <w:rPr>
          <w:rFonts w:ascii="Times New Roman" w:eastAsiaTheme="minorEastAsia" w:hAnsi="Times New Roman"/>
          <w:noProof/>
          <w:sz w:val="24"/>
        </w:rPr>
        <w:t xml:space="preserve">, la </w:t>
      </w:r>
      <w:r>
        <w:rPr>
          <w:rFonts w:ascii="Times New Roman" w:hAnsi="Times New Roman"/>
          <w:b/>
          <w:noProof/>
          <w:sz w:val="24"/>
        </w:rPr>
        <w:t>Commission analyse actuellement la nécessité de prendre des mesures supplémentaires</w:t>
      </w:r>
      <w:r>
        <w:rPr>
          <w:rFonts w:ascii="Times New Roman" w:eastAsiaTheme="minorEastAsia" w:hAnsi="Times New Roman"/>
          <w:noProof/>
          <w:sz w:val="24"/>
        </w:rPr>
        <w:t xml:space="preserve"> pour faciliter l’accès aux informations financières détenues dans d’autres juridictions au sein de l’UE à des fins d’enquêtes antiterroristes. Dans le troisième rapport sur les progrès accomplis dans la mise en place d’une union de la sécurité réelle et e</w:t>
      </w:r>
      <w:r>
        <w:rPr>
          <w:rFonts w:ascii="Times New Roman" w:eastAsiaTheme="minorEastAsia" w:hAnsi="Times New Roman"/>
          <w:noProof/>
          <w:sz w:val="24"/>
        </w:rPr>
        <w:t>ffective, de décembre 2016</w:t>
      </w:r>
      <w:r>
        <w:rPr>
          <w:rStyle w:val="FootnoteReference"/>
          <w:rFonts w:ascii="Times New Roman" w:eastAsiaTheme="minorEastAsia" w:hAnsi="Times New Roman"/>
          <w:noProof/>
          <w:sz w:val="24"/>
        </w:rPr>
        <w:footnoteReference w:id="14"/>
      </w:r>
      <w:r>
        <w:rPr>
          <w:rFonts w:ascii="Times New Roman" w:eastAsiaTheme="minorEastAsia" w:hAnsi="Times New Roman"/>
          <w:noProof/>
          <w:sz w:val="24"/>
        </w:rPr>
        <w:t xml:space="preserve">, la Commission exposait son analyse initiale et indiquait qu’elle poursuivrait son évaluation, compte tenu notamment des incidences possibles sur les droits fondamentaux, et en particulier le droit à la protection des données à </w:t>
      </w:r>
      <w:r>
        <w:rPr>
          <w:rFonts w:ascii="Times New Roman" w:eastAsiaTheme="minorEastAsia" w:hAnsi="Times New Roman"/>
          <w:noProof/>
          <w:sz w:val="24"/>
        </w:rPr>
        <w:t>caractère personnel. Depuis lors, la Commission a consulté les parties prenantes et analysé les mécanismes par lesquels les autorités compétentes peuvent actuellement accéder aux informations pertinentes, notamment des données financières stockées dans d’a</w:t>
      </w:r>
      <w:r>
        <w:rPr>
          <w:rFonts w:ascii="Times New Roman" w:eastAsiaTheme="minorEastAsia" w:hAnsi="Times New Roman"/>
          <w:noProof/>
          <w:sz w:val="24"/>
        </w:rPr>
        <w:t>utres États membres; les obstacles qui les empêchent de le faire rapidement et efficacement; et les mesures qui permettraient de remédier à ces obstacles.</w:t>
      </w:r>
    </w:p>
    <w:p w:rsidR="00A66D64" w:rsidRDefault="00B30B4E">
      <w:pPr>
        <w:spacing w:after="240" w:line="240" w:lineRule="auto"/>
        <w:jc w:val="both"/>
        <w:rPr>
          <w:rFonts w:ascii="Times New Roman" w:eastAsiaTheme="minorEastAsia" w:hAnsi="Times New Roman" w:cs="Times New Roman"/>
          <w:noProof/>
          <w:sz w:val="24"/>
          <w:szCs w:val="24"/>
        </w:rPr>
      </w:pPr>
      <w:r>
        <w:rPr>
          <w:rFonts w:ascii="Times New Roman" w:eastAsiaTheme="minorEastAsia" w:hAnsi="Times New Roman"/>
          <w:noProof/>
          <w:sz w:val="24"/>
        </w:rPr>
        <w:t>Outre l’évaluation en cours, la Commission continue à promouvoir l’</w:t>
      </w:r>
      <w:r>
        <w:rPr>
          <w:rFonts w:ascii="Times New Roman" w:eastAsiaTheme="minorEastAsia" w:hAnsi="Times New Roman"/>
          <w:b/>
          <w:noProof/>
          <w:sz w:val="24"/>
        </w:rPr>
        <w:t>échange des meilleures pratiques</w:t>
      </w:r>
      <w:r>
        <w:rPr>
          <w:rFonts w:ascii="Times New Roman" w:eastAsiaTheme="minorEastAsia" w:hAnsi="Times New Roman"/>
          <w:noProof/>
          <w:sz w:val="24"/>
        </w:rPr>
        <w:t xml:space="preserve"> c</w:t>
      </w:r>
      <w:r>
        <w:rPr>
          <w:rFonts w:ascii="Times New Roman" w:eastAsiaTheme="minorEastAsia" w:hAnsi="Times New Roman"/>
          <w:noProof/>
          <w:sz w:val="24"/>
        </w:rPr>
        <w:t>oncernant les techniques d’enquête et l’analyse des modes de levée et de transfert de fonds utilisés par les terroristes, notamment en apportant son concours financier sur la base d’un appel à propositions d’un montant de 2,5 millions d’EUR lancé aujourd’h</w:t>
      </w:r>
      <w:r>
        <w:rPr>
          <w:rFonts w:ascii="Times New Roman" w:eastAsiaTheme="minorEastAsia" w:hAnsi="Times New Roman"/>
          <w:noProof/>
          <w:sz w:val="24"/>
        </w:rPr>
        <w:t>ui.</w:t>
      </w:r>
    </w:p>
    <w:p w:rsidR="00A66D64" w:rsidRDefault="00B30B4E">
      <w:pPr>
        <w:spacing w:after="240" w:line="240" w:lineRule="auto"/>
        <w:jc w:val="both"/>
        <w:rPr>
          <w:rFonts w:ascii="Times New Roman" w:eastAsiaTheme="minorEastAsia" w:hAnsi="Times New Roman" w:cs="Times New Roman"/>
          <w:noProof/>
          <w:sz w:val="24"/>
          <w:szCs w:val="24"/>
        </w:rPr>
      </w:pPr>
      <w:r>
        <w:rPr>
          <w:rFonts w:ascii="Times New Roman" w:eastAsiaTheme="minorEastAsia" w:hAnsi="Times New Roman"/>
          <w:noProof/>
          <w:sz w:val="24"/>
        </w:rPr>
        <w:t>Dans ce contexte, la Commission étudie également la manière d’</w:t>
      </w:r>
      <w:r>
        <w:rPr>
          <w:rFonts w:ascii="Times New Roman" w:eastAsiaTheme="minorEastAsia" w:hAnsi="Times New Roman"/>
          <w:b/>
          <w:noProof/>
          <w:sz w:val="24"/>
        </w:rPr>
        <w:t>améliorer la coopération entre les cellules de renseignement financier</w:t>
      </w:r>
      <w:r>
        <w:rPr>
          <w:rStyle w:val="FootnoteReference"/>
          <w:rFonts w:ascii="Times New Roman" w:eastAsiaTheme="minorEastAsia" w:hAnsi="Times New Roman"/>
          <w:noProof/>
          <w:sz w:val="24"/>
        </w:rPr>
        <w:footnoteReference w:id="15"/>
      </w:r>
      <w:r>
        <w:rPr>
          <w:rFonts w:ascii="Times New Roman" w:eastAsiaTheme="minorEastAsia" w:hAnsi="Times New Roman"/>
          <w:noProof/>
          <w:sz w:val="24"/>
        </w:rPr>
        <w:t xml:space="preserve"> mises en place afin de prévenir, de détecter et de combattre efficacement le blanchiment de capitaux et le financement du terrorisme. Un rapport de décembre 2016 établi par les cellules de renseignement financier ainsi que le document de travail connexe d</w:t>
      </w:r>
      <w:r>
        <w:rPr>
          <w:rFonts w:ascii="Times New Roman" w:eastAsiaTheme="minorEastAsia" w:hAnsi="Times New Roman"/>
          <w:noProof/>
          <w:sz w:val="24"/>
        </w:rPr>
        <w:t>es services de la Commission sur l’amélioration de la coopération entre ces cellules</w:t>
      </w:r>
      <w:r>
        <w:rPr>
          <w:rStyle w:val="FootnoteReference"/>
          <w:rFonts w:ascii="Times New Roman" w:eastAsiaTheme="minorEastAsia" w:hAnsi="Times New Roman"/>
          <w:noProof/>
          <w:sz w:val="24"/>
        </w:rPr>
        <w:footnoteReference w:id="16"/>
      </w:r>
      <w:r>
        <w:rPr>
          <w:rFonts w:ascii="Times New Roman" w:eastAsiaTheme="minorEastAsia" w:hAnsi="Times New Roman"/>
          <w:noProof/>
          <w:sz w:val="24"/>
        </w:rPr>
        <w:t xml:space="preserve"> mettent en évidence un certain nombre de limites dans les compétences nationales des cellules de renseignement financier et définissent la voie à suivre pour y remédier a</w:t>
      </w:r>
      <w:r>
        <w:rPr>
          <w:rFonts w:ascii="Times New Roman" w:eastAsiaTheme="minorEastAsia" w:hAnsi="Times New Roman"/>
          <w:noProof/>
          <w:sz w:val="24"/>
        </w:rPr>
        <w:t>u moyen des actions suivantes: (i) la mise en œuvre de la 4</w:t>
      </w:r>
      <w:r>
        <w:rPr>
          <w:rFonts w:ascii="Times New Roman" w:eastAsiaTheme="minorEastAsia" w:hAnsi="Times New Roman"/>
          <w:noProof/>
          <w:sz w:val="24"/>
          <w:vertAlign w:val="superscript"/>
        </w:rPr>
        <w:t>e</w:t>
      </w:r>
      <w:r>
        <w:rPr>
          <w:rFonts w:ascii="Times New Roman" w:eastAsiaTheme="minorEastAsia" w:hAnsi="Times New Roman"/>
          <w:noProof/>
          <w:sz w:val="24"/>
        </w:rPr>
        <w:t> directive anti-blanchiment</w:t>
      </w:r>
      <w:r>
        <w:rPr>
          <w:rStyle w:val="FootnoteReference"/>
          <w:rFonts w:ascii="Times New Roman" w:eastAsiaTheme="minorEastAsia" w:hAnsi="Times New Roman"/>
          <w:noProof/>
          <w:sz w:val="24"/>
        </w:rPr>
        <w:footnoteReference w:id="17"/>
      </w:r>
      <w:r>
        <w:rPr>
          <w:rFonts w:ascii="Times New Roman" w:eastAsiaTheme="minorEastAsia" w:hAnsi="Times New Roman"/>
          <w:noProof/>
          <w:sz w:val="24"/>
        </w:rPr>
        <w:t xml:space="preserve"> et les modifications qu’il est proposé d’y apporter</w:t>
      </w:r>
      <w:r>
        <w:rPr>
          <w:rStyle w:val="FootnoteReference"/>
          <w:rFonts w:ascii="Times New Roman" w:eastAsiaTheme="minorEastAsia" w:hAnsi="Times New Roman"/>
          <w:noProof/>
          <w:sz w:val="24"/>
        </w:rPr>
        <w:footnoteReference w:id="18"/>
      </w:r>
      <w:r>
        <w:rPr>
          <w:rFonts w:ascii="Times New Roman" w:eastAsiaTheme="minorEastAsia" w:hAnsi="Times New Roman"/>
          <w:noProof/>
          <w:sz w:val="24"/>
        </w:rPr>
        <w:t xml:space="preserve">, qui sont actuellement en cours de négociation; (ii) les autres initiatives menées par la plateforme des cellules </w:t>
      </w:r>
      <w:r>
        <w:rPr>
          <w:rFonts w:ascii="Times New Roman" w:eastAsiaTheme="minorEastAsia" w:hAnsi="Times New Roman"/>
          <w:noProof/>
          <w:sz w:val="24"/>
        </w:rPr>
        <w:t>de renseignement financier de l’UE afin de renforcer la coopération opérationnelle, en particulier au moyen d’orientations, de travaux de normalisation et de solutions entrepreneuriales à mettre en œuvre dans le cadre du CRF.NET; et (iii) les mesures régle</w:t>
      </w:r>
      <w:r>
        <w:rPr>
          <w:rFonts w:ascii="Times New Roman" w:eastAsiaTheme="minorEastAsia" w:hAnsi="Times New Roman"/>
          <w:noProof/>
          <w:sz w:val="24"/>
        </w:rPr>
        <w:t xml:space="preserve">mentaires visant à s’attaquer aux autres problèmes découlant des différences de statut et de compétences des cellules de renseignement financier, notamment afin de faciliter la coordination et l’échange d’informations entre ces cellules, et entre elles et </w:t>
      </w:r>
      <w:r>
        <w:rPr>
          <w:rFonts w:ascii="Times New Roman" w:eastAsiaTheme="minorEastAsia" w:hAnsi="Times New Roman"/>
          <w:noProof/>
          <w:sz w:val="24"/>
        </w:rPr>
        <w:t xml:space="preserve">les services répressifs. </w:t>
      </w:r>
    </w:p>
    <w:p w:rsidR="00A66D64" w:rsidRDefault="00B30B4E">
      <w:pPr>
        <w:spacing w:after="240" w:line="240" w:lineRule="auto"/>
        <w:jc w:val="both"/>
        <w:rPr>
          <w:rFonts w:ascii="Times New Roman" w:eastAsiaTheme="minorEastAsia" w:hAnsi="Times New Roman" w:cs="Times New Roman"/>
          <w:noProof/>
          <w:sz w:val="24"/>
          <w:szCs w:val="24"/>
        </w:rPr>
      </w:pPr>
      <w:r>
        <w:rPr>
          <w:rFonts w:ascii="Times New Roman" w:eastAsiaTheme="minorEastAsia" w:hAnsi="Times New Roman"/>
          <w:noProof/>
          <w:sz w:val="24"/>
        </w:rPr>
        <w:t>Des travaux sont également en cours pour faciliter l’</w:t>
      </w:r>
      <w:r>
        <w:rPr>
          <w:rFonts w:ascii="Times New Roman" w:eastAsiaTheme="minorEastAsia" w:hAnsi="Times New Roman"/>
          <w:b/>
          <w:noProof/>
          <w:sz w:val="24"/>
        </w:rPr>
        <w:t>accès aux données financières au sein d’un État membre</w:t>
      </w:r>
      <w:r>
        <w:rPr>
          <w:rFonts w:ascii="Times New Roman" w:eastAsiaTheme="minorEastAsia" w:hAnsi="Times New Roman"/>
          <w:noProof/>
          <w:sz w:val="24"/>
        </w:rPr>
        <w:t xml:space="preserve">. Les modifications qu’il est proposé d’apporter à la </w:t>
      </w:r>
      <w:r>
        <w:rPr>
          <w:rFonts w:ascii="Times New Roman" w:eastAsiaTheme="minorEastAsia" w:hAnsi="Times New Roman"/>
          <w:b/>
          <w:noProof/>
          <w:sz w:val="24"/>
        </w:rPr>
        <w:t>4</w:t>
      </w:r>
      <w:r>
        <w:rPr>
          <w:rFonts w:ascii="Times New Roman" w:eastAsiaTheme="minorEastAsia" w:hAnsi="Times New Roman"/>
          <w:b/>
          <w:noProof/>
          <w:sz w:val="24"/>
          <w:vertAlign w:val="superscript"/>
        </w:rPr>
        <w:t>e</w:t>
      </w:r>
      <w:r>
        <w:rPr>
          <w:rFonts w:ascii="Times New Roman" w:eastAsiaTheme="minorEastAsia" w:hAnsi="Times New Roman"/>
          <w:b/>
          <w:noProof/>
          <w:sz w:val="24"/>
        </w:rPr>
        <w:t xml:space="preserve"> directive anti-blanchiment</w:t>
      </w:r>
      <w:r>
        <w:rPr>
          <w:rStyle w:val="FootnoteReference"/>
          <w:rFonts w:ascii="Times New Roman" w:eastAsiaTheme="minorEastAsia" w:hAnsi="Times New Roman"/>
          <w:noProof/>
          <w:sz w:val="24"/>
        </w:rPr>
        <w:footnoteReference w:id="19"/>
      </w:r>
      <w:r>
        <w:rPr>
          <w:rFonts w:ascii="Times New Roman" w:eastAsiaTheme="minorEastAsia" w:hAnsi="Times New Roman"/>
          <w:noProof/>
          <w:sz w:val="24"/>
        </w:rPr>
        <w:t>, qui sont actuellement en cours de nég</w:t>
      </w:r>
      <w:r>
        <w:rPr>
          <w:rFonts w:ascii="Times New Roman" w:eastAsiaTheme="minorEastAsia" w:hAnsi="Times New Roman"/>
          <w:noProof/>
          <w:sz w:val="24"/>
        </w:rPr>
        <w:t>ociation avec les colégislateurs, donneraient lieu à la création de registres centraux des comptes bancaires ou de systèmes centraux de recherche de données dans tous les États membres, accessibles aux cellules de renseignement financier et aux autres auto</w:t>
      </w:r>
      <w:r>
        <w:rPr>
          <w:rFonts w:ascii="Times New Roman" w:eastAsiaTheme="minorEastAsia" w:hAnsi="Times New Roman"/>
          <w:noProof/>
          <w:sz w:val="24"/>
        </w:rPr>
        <w:t>rités compétentes chargées de lutter contre le blanchiment de capitaux et le financement du terrorisme. Ces registres, une fois établis dans tous les États membres, faciliteront l’obtention des données relatives aux comptes bancaires. Sur cette base, la Co</w:t>
      </w:r>
      <w:r>
        <w:rPr>
          <w:rFonts w:ascii="Times New Roman" w:eastAsiaTheme="minorEastAsia" w:hAnsi="Times New Roman"/>
          <w:noProof/>
          <w:sz w:val="24"/>
        </w:rPr>
        <w:t xml:space="preserve">mmission prépare une initiative visant à </w:t>
      </w:r>
      <w:r>
        <w:rPr>
          <w:rFonts w:ascii="Times New Roman" w:eastAsiaTheme="minorEastAsia" w:hAnsi="Times New Roman"/>
          <w:b/>
          <w:noProof/>
          <w:sz w:val="24"/>
        </w:rPr>
        <w:t>élargir l’accès des services répressifs à ces registres des comptes bancaires</w:t>
      </w:r>
      <w:r>
        <w:rPr>
          <w:rStyle w:val="FootnoteReference"/>
          <w:rFonts w:ascii="Times New Roman" w:eastAsiaTheme="minorEastAsia" w:hAnsi="Times New Roman"/>
          <w:noProof/>
          <w:sz w:val="24"/>
        </w:rPr>
        <w:footnoteReference w:id="20"/>
      </w:r>
      <w:r>
        <w:rPr>
          <w:rFonts w:ascii="Times New Roman" w:eastAsiaTheme="minorEastAsia" w:hAnsi="Times New Roman"/>
          <w:noProof/>
          <w:sz w:val="24"/>
        </w:rPr>
        <w:t xml:space="preserve"> afin de renforcer la capacité de ces services à découvrir l’existence d’un compte bancaire plus rapidement.</w:t>
      </w:r>
    </w:p>
    <w:p w:rsidR="00A66D64" w:rsidRDefault="00B30B4E">
      <w:pPr>
        <w:spacing w:after="240" w:line="240" w:lineRule="auto"/>
        <w:jc w:val="both"/>
        <w:rPr>
          <w:rFonts w:ascii="Times New Roman" w:eastAsiaTheme="minorEastAsia" w:hAnsi="Times New Roman" w:cs="Times New Roman"/>
          <w:noProof/>
          <w:sz w:val="24"/>
          <w:szCs w:val="24"/>
        </w:rPr>
      </w:pPr>
      <w:r>
        <w:rPr>
          <w:rFonts w:ascii="Times New Roman" w:eastAsiaTheme="minorEastAsia" w:hAnsi="Times New Roman"/>
          <w:noProof/>
          <w:sz w:val="24"/>
        </w:rPr>
        <w:t>Dans le cadre de la consulta</w:t>
      </w:r>
      <w:r>
        <w:rPr>
          <w:rFonts w:ascii="Times New Roman" w:eastAsiaTheme="minorEastAsia" w:hAnsi="Times New Roman"/>
          <w:noProof/>
          <w:sz w:val="24"/>
        </w:rPr>
        <w:t xml:space="preserve">tion des parties prenantes, ces dernières ont également signalé les </w:t>
      </w:r>
      <w:r>
        <w:rPr>
          <w:rFonts w:ascii="Times New Roman" w:eastAsiaTheme="minorEastAsia" w:hAnsi="Times New Roman"/>
          <w:b/>
          <w:noProof/>
          <w:sz w:val="24"/>
        </w:rPr>
        <w:t>obstacles à l’obtention des données relatives aux transactions financières détenues dans d’autres États membres</w:t>
      </w:r>
      <w:r>
        <w:rPr>
          <w:rFonts w:ascii="Times New Roman" w:eastAsiaTheme="minorEastAsia" w:hAnsi="Times New Roman"/>
          <w:noProof/>
          <w:sz w:val="24"/>
        </w:rPr>
        <w:t>. Au besoin, les informations relatives aux comptes bancaires peuvent être éc</w:t>
      </w:r>
      <w:r>
        <w:rPr>
          <w:rFonts w:ascii="Times New Roman" w:eastAsiaTheme="minorEastAsia" w:hAnsi="Times New Roman"/>
          <w:noProof/>
          <w:sz w:val="24"/>
        </w:rPr>
        <w:t>hangées entre les États membres par les canaux de la coopération policière dans un délai de huit heures</w:t>
      </w:r>
      <w:r>
        <w:rPr>
          <w:rStyle w:val="FootnoteReference"/>
          <w:rFonts w:ascii="Times New Roman" w:eastAsiaTheme="minorEastAsia" w:hAnsi="Times New Roman"/>
          <w:noProof/>
          <w:sz w:val="24"/>
        </w:rPr>
        <w:footnoteReference w:id="21"/>
      </w:r>
      <w:r>
        <w:rPr>
          <w:noProof/>
        </w:rPr>
        <w:t>.</w:t>
      </w:r>
      <w:r>
        <w:rPr>
          <w:rFonts w:ascii="Times New Roman" w:hAnsi="Times New Roman"/>
          <w:noProof/>
          <w:sz w:val="24"/>
        </w:rPr>
        <w:t xml:space="preserve"> L’accès aux données relatives aux transactions financières détenues par d’autres États membres peut également être facilité par les cellules de rensei</w:t>
      </w:r>
      <w:r>
        <w:rPr>
          <w:rFonts w:ascii="Times New Roman" w:hAnsi="Times New Roman"/>
          <w:noProof/>
          <w:sz w:val="24"/>
        </w:rPr>
        <w:t>gnement financier. Lorsque ces informations doivent servir de preuves dans une procédure pénale, il peut être nécessaire de les demander dans le cadre de l’entraide judiciaire. La décision d’enquête européenne</w:t>
      </w:r>
      <w:r>
        <w:rPr>
          <w:rStyle w:val="FootnoteReference"/>
          <w:rFonts w:ascii="Times New Roman" w:eastAsiaTheme="minorEastAsia" w:hAnsi="Times New Roman"/>
          <w:noProof/>
          <w:sz w:val="24"/>
        </w:rPr>
        <w:footnoteReference w:id="22"/>
      </w:r>
      <w:r>
        <w:rPr>
          <w:rFonts w:ascii="Times New Roman" w:hAnsi="Times New Roman"/>
          <w:noProof/>
          <w:sz w:val="24"/>
        </w:rPr>
        <w:t xml:space="preserve"> offre de nouvelles possibilités d’obtenir des</w:t>
      </w:r>
      <w:r>
        <w:rPr>
          <w:rFonts w:ascii="Times New Roman" w:hAnsi="Times New Roman"/>
          <w:noProof/>
          <w:sz w:val="24"/>
        </w:rPr>
        <w:t xml:space="preserve"> données sur des transactions financières d’une manière beaucoup plus rapide que dans le cadre de l’entraide judiciaire. À ce jour, quelques mois après le délai de transposition, seuls 16 États membres ont transposé la décision d’enquête européenne et les </w:t>
      </w:r>
      <w:r>
        <w:rPr>
          <w:rFonts w:ascii="Times New Roman" w:hAnsi="Times New Roman"/>
          <w:noProof/>
          <w:sz w:val="24"/>
        </w:rPr>
        <w:t>autres États membres sont invités à le faire sans plus attendre. Enfin, les propositions législatives à venir sur l’utilisation des preuves électroniques, prévues pour le début de l’année 2018, permettront également de faciliter l’accès transfrontière à ce</w:t>
      </w:r>
      <w:r>
        <w:rPr>
          <w:rFonts w:ascii="Times New Roman" w:hAnsi="Times New Roman"/>
          <w:noProof/>
          <w:sz w:val="24"/>
        </w:rPr>
        <w:t xml:space="preserve">s données. </w:t>
      </w:r>
    </w:p>
    <w:p w:rsidR="00A66D64" w:rsidRDefault="00B30B4E">
      <w:pPr>
        <w:spacing w:after="240" w:line="240" w:lineRule="auto"/>
        <w:jc w:val="both"/>
        <w:rPr>
          <w:rFonts w:ascii="Times New Roman" w:eastAsiaTheme="minorEastAsia" w:hAnsi="Times New Roman" w:cs="Times New Roman"/>
          <w:noProof/>
          <w:sz w:val="24"/>
          <w:szCs w:val="24"/>
        </w:rPr>
      </w:pPr>
      <w:r>
        <w:rPr>
          <w:rFonts w:ascii="Times New Roman" w:eastAsiaTheme="minorEastAsia" w:hAnsi="Times New Roman"/>
          <w:noProof/>
          <w:sz w:val="24"/>
        </w:rPr>
        <w:t xml:space="preserve">Les parties prenantes ayant pris part à la consultation ont également attiré l’attention sur les </w:t>
      </w:r>
      <w:r>
        <w:rPr>
          <w:rFonts w:ascii="Times New Roman" w:eastAsiaTheme="minorEastAsia" w:hAnsi="Times New Roman"/>
          <w:b/>
          <w:noProof/>
          <w:sz w:val="24"/>
        </w:rPr>
        <w:t>obstacles qui entravent l’obtention des données relatives aux transactions financières détenues dans d’autres États membres</w:t>
      </w:r>
      <w:r>
        <w:rPr>
          <w:rFonts w:ascii="Times New Roman" w:eastAsiaTheme="minorEastAsia" w:hAnsi="Times New Roman"/>
          <w:noProof/>
          <w:sz w:val="24"/>
        </w:rPr>
        <w:t>. À titre de mesure pour</w:t>
      </w:r>
      <w:r>
        <w:rPr>
          <w:rFonts w:ascii="Times New Roman" w:eastAsiaTheme="minorEastAsia" w:hAnsi="Times New Roman"/>
          <w:noProof/>
          <w:sz w:val="24"/>
        </w:rPr>
        <w:t xml:space="preserve"> lever ces obstacles et dans le cadre de son évaluation en cours, la Commission appréciera la nécessité, la faisabilité technique et la proportionnalité de l’interconnexion des registres centralisés des comptes bancaires, compte tenu de tous les instrument</w:t>
      </w:r>
      <w:r>
        <w:rPr>
          <w:rFonts w:ascii="Times New Roman" w:eastAsiaTheme="minorEastAsia" w:hAnsi="Times New Roman"/>
          <w:noProof/>
          <w:sz w:val="24"/>
        </w:rPr>
        <w:t>s existants et prévus pour faciliter l’accès aux données sur les transactions financières détenues dans d’autres États membres.</w:t>
      </w:r>
    </w:p>
    <w:p w:rsidR="00A66D64" w:rsidRDefault="00B30B4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À cette fin, la Commission </w:t>
      </w:r>
      <w:r>
        <w:rPr>
          <w:rFonts w:ascii="Times New Roman" w:hAnsi="Times New Roman"/>
          <w:b/>
          <w:noProof/>
          <w:sz w:val="24"/>
        </w:rPr>
        <w:t>continuera de consulter toutes les parties prenantes</w:t>
      </w:r>
      <w:r>
        <w:rPr>
          <w:rFonts w:ascii="Times New Roman" w:hAnsi="Times New Roman"/>
          <w:noProof/>
          <w:sz w:val="24"/>
        </w:rPr>
        <w:t xml:space="preserve"> sur la nécessité, la faisabilité technique et la proportionnalité d’éventuelles mesures nouvelles au niveau de l’Union pour faciliter et accélérer l’accès transfrontière aux données sur les transactions financières, y compris les procédures permettant de </w:t>
      </w:r>
      <w:r>
        <w:rPr>
          <w:rFonts w:ascii="Times New Roman" w:hAnsi="Times New Roman"/>
          <w:noProof/>
          <w:sz w:val="24"/>
        </w:rPr>
        <w:t>garantir la confidentialité des informations. Sur la base de l’ensemble des évaluations en cours concernant l’utilisation des informations financières à des fins d’enquêtes antiterroristes, la Commission organisera une réunion à haut niveau avec les partie</w:t>
      </w:r>
      <w:r>
        <w:rPr>
          <w:rFonts w:ascii="Times New Roman" w:hAnsi="Times New Roman"/>
          <w:noProof/>
          <w:sz w:val="24"/>
        </w:rPr>
        <w:t xml:space="preserve">s prenantes en novembre 2017. Les points essentiels qui seront abordés seront les suivants: </w:t>
      </w:r>
    </w:p>
    <w:p w:rsidR="00A66D64" w:rsidRDefault="00B30B4E">
      <w:pPr>
        <w:pStyle w:val="ListParagraph"/>
        <w:numPr>
          <w:ilvl w:val="3"/>
          <w:numId w:val="16"/>
        </w:numPr>
        <w:spacing w:after="240" w:line="240" w:lineRule="auto"/>
        <w:ind w:left="480"/>
        <w:jc w:val="both"/>
        <w:rPr>
          <w:rFonts w:ascii="Times New Roman" w:hAnsi="Times New Roman" w:cs="Times New Roman"/>
          <w:noProof/>
          <w:sz w:val="24"/>
          <w:szCs w:val="24"/>
        </w:rPr>
      </w:pPr>
      <w:r>
        <w:rPr>
          <w:rFonts w:ascii="Times New Roman" w:hAnsi="Times New Roman"/>
          <w:noProof/>
          <w:sz w:val="24"/>
        </w:rPr>
        <w:t>les principaux obstacles à un accès effectif et en temps utile aux données sur les transactions financières détenues dans d’autres États membres à des fins d’enquê</w:t>
      </w:r>
      <w:r>
        <w:rPr>
          <w:rFonts w:ascii="Times New Roman" w:hAnsi="Times New Roman"/>
          <w:noProof/>
          <w:sz w:val="24"/>
        </w:rPr>
        <w:t xml:space="preserve">tes antiterroristes; </w:t>
      </w:r>
    </w:p>
    <w:p w:rsidR="00A66D64" w:rsidRDefault="00B30B4E">
      <w:pPr>
        <w:pStyle w:val="ListParagraph"/>
        <w:numPr>
          <w:ilvl w:val="3"/>
          <w:numId w:val="16"/>
        </w:numPr>
        <w:spacing w:after="240" w:line="240" w:lineRule="auto"/>
        <w:ind w:left="480"/>
        <w:jc w:val="both"/>
        <w:rPr>
          <w:rFonts w:ascii="Times New Roman" w:hAnsi="Times New Roman" w:cs="Times New Roman"/>
          <w:noProof/>
          <w:sz w:val="24"/>
          <w:szCs w:val="24"/>
        </w:rPr>
      </w:pPr>
      <w:r>
        <w:rPr>
          <w:rFonts w:ascii="Times New Roman" w:hAnsi="Times New Roman"/>
          <w:noProof/>
          <w:sz w:val="24"/>
        </w:rPr>
        <w:t>la nécessité, la faisabilité technique et la proportionnalité d’éventuelles mesures supplémentaires pour faciliter l’accès transfrontière aux données sur les transactions financières à des fins d’enquêtes antiterroristes d’une manière</w:t>
      </w:r>
      <w:r>
        <w:rPr>
          <w:rFonts w:ascii="Times New Roman" w:hAnsi="Times New Roman"/>
          <w:noProof/>
          <w:sz w:val="24"/>
        </w:rPr>
        <w:t xml:space="preserve"> rapide, efficace et sûre.</w:t>
      </w:r>
    </w:p>
    <w:p w:rsidR="00A66D64" w:rsidRDefault="00B30B4E">
      <w:pPr>
        <w:spacing w:after="240" w:line="240" w:lineRule="auto"/>
        <w:jc w:val="both"/>
        <w:rPr>
          <w:rFonts w:ascii="Times New Roman" w:hAnsi="Times New Roman" w:cs="Times New Roman"/>
          <w:noProof/>
          <w:sz w:val="24"/>
          <w:szCs w:val="24"/>
        </w:rPr>
      </w:pPr>
      <w:r>
        <w:rPr>
          <w:rFonts w:ascii="Times New Roman" w:hAnsi="Times New Roman"/>
          <w:noProof/>
          <w:sz w:val="24"/>
        </w:rPr>
        <w:t>La Commission fera rapport sur le résultat de cette discussion.</w:t>
      </w:r>
    </w:p>
    <w:p w:rsidR="00A66D64" w:rsidRDefault="00B30B4E" w:rsidP="00B30B4E">
      <w:pPr>
        <w:keepNext/>
        <w:spacing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2.</w:t>
      </w:r>
      <w:r>
        <w:rPr>
          <w:noProof/>
        </w:rPr>
        <w:tab/>
      </w:r>
      <w:r>
        <w:rPr>
          <w:rFonts w:ascii="Times New Roman" w:hAnsi="Times New Roman"/>
          <w:i/>
          <w:noProof/>
          <w:sz w:val="24"/>
        </w:rPr>
        <w:t>Explosifs: Restreindre davantage l’accès aux précurseurs d’explosifs</w:t>
      </w:r>
    </w:p>
    <w:p w:rsidR="00A66D64" w:rsidRDefault="00B30B4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 </w:t>
      </w:r>
      <w:r>
        <w:rPr>
          <w:rFonts w:ascii="Times New Roman" w:hAnsi="Times New Roman"/>
          <w:b/>
          <w:noProof/>
          <w:sz w:val="24"/>
        </w:rPr>
        <w:t>règlement sur les précurseurs d’explosifs</w:t>
      </w:r>
      <w:r>
        <w:rPr>
          <w:rStyle w:val="FootnoteReference"/>
          <w:rFonts w:ascii="Times New Roman" w:hAnsi="Times New Roman"/>
          <w:noProof/>
          <w:sz w:val="24"/>
        </w:rPr>
        <w:footnoteReference w:id="23"/>
      </w:r>
      <w:r>
        <w:rPr>
          <w:rFonts w:ascii="Times New Roman" w:hAnsi="Times New Roman"/>
          <w:noProof/>
          <w:sz w:val="24"/>
        </w:rPr>
        <w:t xml:space="preserve"> limite l’accès du grand public à sept substance</w:t>
      </w:r>
      <w:r>
        <w:rPr>
          <w:rFonts w:ascii="Times New Roman" w:hAnsi="Times New Roman"/>
          <w:noProof/>
          <w:sz w:val="24"/>
        </w:rPr>
        <w:t>s chimiques (les précurseurs d’explosifs faisant l’objet de restrictions qui sont énumérés à l’annexe I du règlement) ainsi que leur utilisation. En février 2017, la Commission a adopté un rapport sur l’application du règlement par les États membres</w:t>
      </w:r>
      <w:r>
        <w:rPr>
          <w:rStyle w:val="FootnoteReference"/>
          <w:rFonts w:ascii="Times New Roman" w:hAnsi="Times New Roman"/>
          <w:noProof/>
          <w:sz w:val="24"/>
        </w:rPr>
        <w:footnoteReference w:id="24"/>
      </w:r>
      <w:r>
        <w:rPr>
          <w:noProof/>
        </w:rPr>
        <w:t>.</w:t>
      </w:r>
      <w:r>
        <w:rPr>
          <w:rFonts w:ascii="Times New Roman" w:hAnsi="Times New Roman"/>
          <w:noProof/>
          <w:sz w:val="24"/>
        </w:rPr>
        <w:t xml:space="preserve"> Ce r</w:t>
      </w:r>
      <w:r>
        <w:rPr>
          <w:rFonts w:ascii="Times New Roman" w:hAnsi="Times New Roman"/>
          <w:noProof/>
          <w:sz w:val="24"/>
        </w:rPr>
        <w:t>apport concluait que la mise en œuvre du règlement avait contribué à réduire l’accès aux précurseurs d’explosifs dangereux susceptibles d’être utilisés pour fabriquer des explosifs de manière artisanale. Les États membres ont également signalé des exemples</w:t>
      </w:r>
      <w:r>
        <w:rPr>
          <w:rFonts w:ascii="Times New Roman" w:hAnsi="Times New Roman"/>
          <w:noProof/>
          <w:sz w:val="24"/>
        </w:rPr>
        <w:t xml:space="preserve"> où l’application du règlement avait permis de découvrir précocement des complots terroristes</w:t>
      </w:r>
      <w:r>
        <w:rPr>
          <w:rStyle w:val="FootnoteReference"/>
          <w:rFonts w:ascii="Times New Roman" w:hAnsi="Times New Roman"/>
          <w:noProof/>
          <w:sz w:val="24"/>
        </w:rPr>
        <w:footnoteReference w:id="25"/>
      </w:r>
      <w:r>
        <w:rPr>
          <w:noProof/>
        </w:rPr>
        <w:t>.</w:t>
      </w:r>
      <w:r>
        <w:rPr>
          <w:rFonts w:ascii="Times New Roman" w:hAnsi="Times New Roman"/>
          <w:noProof/>
          <w:sz w:val="24"/>
        </w:rPr>
        <w:t xml:space="preserve"> Afin de garantir la pleine mise en œuvre du règlement, la Commission a engagé, en mai et en septembre 2016, des procédures d’infraction à l’encontre de plusieur</w:t>
      </w:r>
      <w:r>
        <w:rPr>
          <w:rFonts w:ascii="Times New Roman" w:hAnsi="Times New Roman"/>
          <w:noProof/>
          <w:sz w:val="24"/>
        </w:rPr>
        <w:t>s États membres pour défaut de mise en œuvre complète du règlement. En octobre 2017, seules deux procédures d’infraction sont toujours pendantes, respectivement à l’encontre de l’Espagne et de la Roumanie.</w:t>
      </w:r>
    </w:p>
    <w:p w:rsidR="00A66D64" w:rsidRDefault="00B30B4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Malgré ces efforts conjoints, les incidents et att</w:t>
      </w:r>
      <w:r>
        <w:rPr>
          <w:rFonts w:ascii="Times New Roman" w:hAnsi="Times New Roman"/>
          <w:noProof/>
          <w:sz w:val="24"/>
        </w:rPr>
        <w:t xml:space="preserve">entats terroristes récents montrent que la </w:t>
      </w:r>
      <w:r>
        <w:rPr>
          <w:rFonts w:ascii="Times New Roman" w:hAnsi="Times New Roman"/>
          <w:b/>
          <w:noProof/>
          <w:sz w:val="24"/>
        </w:rPr>
        <w:t>menace que représentent les explosifs de fabrication artisanale</w:t>
      </w:r>
      <w:r>
        <w:rPr>
          <w:rFonts w:ascii="Times New Roman" w:hAnsi="Times New Roman"/>
          <w:noProof/>
          <w:sz w:val="24"/>
        </w:rPr>
        <w:t xml:space="preserve"> demeure élevée en Europe. Ces substances restent accessibles et continuent d’être utilisées pour la fabrication artisanale d’explosifs. L’explosif ut</w:t>
      </w:r>
      <w:r>
        <w:rPr>
          <w:rFonts w:ascii="Times New Roman" w:hAnsi="Times New Roman"/>
          <w:noProof/>
          <w:sz w:val="24"/>
        </w:rPr>
        <w:t>ilisé dans la plupart des attentats était le triperoxyde de triacétone (TATP), soit l’explosif de fabrication artisanale qui est signalé comme étant l’explosif privilégié des terroristes</w:t>
      </w:r>
      <w:r>
        <w:rPr>
          <w:rStyle w:val="FootnoteReference"/>
          <w:rFonts w:ascii="Times New Roman" w:hAnsi="Times New Roman"/>
          <w:noProof/>
          <w:sz w:val="24"/>
        </w:rPr>
        <w:footnoteReference w:id="26"/>
      </w:r>
      <w:r>
        <w:rPr>
          <w:noProof/>
        </w:rPr>
        <w:t>.</w:t>
      </w:r>
    </w:p>
    <w:p w:rsidR="00A66D64" w:rsidRDefault="00B30B4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Compte tenu de la menace que représentent actuellement les précurse</w:t>
      </w:r>
      <w:r>
        <w:rPr>
          <w:rFonts w:ascii="Times New Roman" w:hAnsi="Times New Roman"/>
          <w:noProof/>
          <w:sz w:val="24"/>
        </w:rPr>
        <w:t>urs d’explosifs, il est nécessaire de prendre des mesures immédiates pour faire en sorte que le règlement en vigueur soit mis en œuvre par tous les États membres de façon optimale. C’est pourquoi la Commission a publié, en même temps que le présent rapport</w:t>
      </w:r>
      <w:r>
        <w:rPr>
          <w:rFonts w:ascii="Times New Roman" w:hAnsi="Times New Roman"/>
          <w:noProof/>
          <w:sz w:val="24"/>
        </w:rPr>
        <w:t xml:space="preserve">, une </w:t>
      </w:r>
      <w:r>
        <w:rPr>
          <w:rFonts w:ascii="Times New Roman" w:hAnsi="Times New Roman"/>
          <w:b/>
          <w:noProof/>
          <w:sz w:val="24"/>
        </w:rPr>
        <w:t>recommandation</w:t>
      </w:r>
      <w:r>
        <w:rPr>
          <w:rStyle w:val="FootnoteReference"/>
          <w:rFonts w:ascii="Times New Roman" w:hAnsi="Times New Roman"/>
          <w:noProof/>
          <w:sz w:val="24"/>
        </w:rPr>
        <w:footnoteReference w:id="27"/>
      </w:r>
      <w:r>
        <w:rPr>
          <w:rFonts w:ascii="Times New Roman" w:hAnsi="Times New Roman"/>
          <w:noProof/>
          <w:sz w:val="24"/>
        </w:rPr>
        <w:t xml:space="preserve"> donnant des orientations sur les mesures à prendre sans délai pour prévenir toute utilisation détournée des précurseurs d'explosifs. La Commission encourage les États membres à mettre pleinement en œuvre cette recommandation afin de r</w:t>
      </w:r>
      <w:r>
        <w:rPr>
          <w:rFonts w:ascii="Times New Roman" w:hAnsi="Times New Roman"/>
          <w:noProof/>
          <w:sz w:val="24"/>
        </w:rPr>
        <w:t>estreindre autant que possible l’accès des terroristes aux précurseurs d’explosifs et l’utilisation qu’ils peuvent en faire, et à veiller à améliorer les contrôles de la légitimité des utilisations ainsi que les mesures prises en cas de transactions suspec</w:t>
      </w:r>
      <w:r>
        <w:rPr>
          <w:rFonts w:ascii="Times New Roman" w:hAnsi="Times New Roman"/>
          <w:noProof/>
          <w:sz w:val="24"/>
        </w:rPr>
        <w:t>tes. Elle est disposée à aider les États membres à cette fin.</w:t>
      </w:r>
    </w:p>
    <w:p w:rsidR="00A66D64" w:rsidRDefault="00B30B4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En outre, la Commission est en train de renforcer son </w:t>
      </w:r>
      <w:r>
        <w:rPr>
          <w:rFonts w:ascii="Times New Roman" w:hAnsi="Times New Roman"/>
          <w:b/>
          <w:noProof/>
          <w:sz w:val="24"/>
        </w:rPr>
        <w:t>réexamen</w:t>
      </w:r>
      <w:r>
        <w:rPr>
          <w:rFonts w:ascii="Times New Roman" w:hAnsi="Times New Roman"/>
          <w:noProof/>
          <w:sz w:val="24"/>
        </w:rPr>
        <w:t xml:space="preserve"> du </w:t>
      </w:r>
      <w:r>
        <w:rPr>
          <w:rFonts w:ascii="Times New Roman" w:hAnsi="Times New Roman"/>
          <w:b/>
          <w:noProof/>
          <w:sz w:val="24"/>
        </w:rPr>
        <w:t>règlement sur les précurseurs d’explosifs</w:t>
      </w:r>
      <w:r>
        <w:rPr>
          <w:rFonts w:ascii="Times New Roman" w:hAnsi="Times New Roman"/>
          <w:noProof/>
          <w:sz w:val="24"/>
        </w:rPr>
        <w:t xml:space="preserve"> avec une évaluation qui sera suivie d’une analyse d’impact au cours du premier semestr</w:t>
      </w:r>
      <w:r>
        <w:rPr>
          <w:rFonts w:ascii="Times New Roman" w:hAnsi="Times New Roman"/>
          <w:noProof/>
          <w:sz w:val="24"/>
        </w:rPr>
        <w:t>e de 2018. Cette évaluation portera sur la pertinence, l’efficacité, l’efficience, la cohérence et la valeur ajoutée du règlement, et recensera les problèmes et les obstacles qui pourraient exiger des mesures supplémentaires. L’analyse d’impact consistera,</w:t>
      </w:r>
      <w:r>
        <w:rPr>
          <w:rFonts w:ascii="Times New Roman" w:hAnsi="Times New Roman"/>
          <w:noProof/>
          <w:sz w:val="24"/>
        </w:rPr>
        <w:t xml:space="preserve"> quant à elle, à examiner différentes options stratégiques en vue de remédier aux problèmes et aux obstacles recensés.</w:t>
      </w:r>
    </w:p>
    <w:p w:rsidR="00A66D64" w:rsidRDefault="00B30B4E">
      <w:pPr>
        <w:spacing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3.</w:t>
      </w:r>
      <w:r>
        <w:rPr>
          <w:noProof/>
        </w:rPr>
        <w:tab/>
      </w:r>
      <w:r>
        <w:rPr>
          <w:rFonts w:ascii="Times New Roman" w:hAnsi="Times New Roman"/>
          <w:i/>
          <w:noProof/>
          <w:sz w:val="24"/>
        </w:rPr>
        <w:t xml:space="preserve">Chiffrement: soutenir les services répressifs dans le cadre des enquêtes pénales </w:t>
      </w:r>
    </w:p>
    <w:p w:rsidR="00A66D64" w:rsidRDefault="00B30B4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 recours au chiffrement est essentiel pour assurer</w:t>
      </w:r>
      <w:r>
        <w:rPr>
          <w:rFonts w:ascii="Times New Roman" w:hAnsi="Times New Roman"/>
          <w:noProof/>
          <w:sz w:val="24"/>
        </w:rPr>
        <w:t xml:space="preserve"> la cybersécurité et la protection des données à caractère personnel. La législation de l’UE souligne en particulier le rôle du chiffrement pour assurer le niveau de sécurité approprié au traitement des données à caractère personnel</w:t>
      </w:r>
      <w:r>
        <w:rPr>
          <w:rStyle w:val="FootnoteReference"/>
          <w:rFonts w:ascii="Times New Roman" w:hAnsi="Times New Roman"/>
          <w:noProof/>
          <w:sz w:val="24"/>
        </w:rPr>
        <w:footnoteReference w:id="28"/>
      </w:r>
      <w:r>
        <w:rPr>
          <w:noProof/>
        </w:rPr>
        <w:t>.</w:t>
      </w:r>
      <w:r>
        <w:rPr>
          <w:rFonts w:ascii="Times New Roman" w:hAnsi="Times New Roman"/>
          <w:noProof/>
          <w:sz w:val="24"/>
        </w:rPr>
        <w:t xml:space="preserve"> Dans le même temps, d</w:t>
      </w:r>
      <w:r>
        <w:rPr>
          <w:rFonts w:ascii="Times New Roman" w:hAnsi="Times New Roman"/>
          <w:noProof/>
          <w:sz w:val="24"/>
        </w:rPr>
        <w:t xml:space="preserve">ans le cadre des enquêtes pénales, les services répressifs et les autorités judiciaires rencontrent de plus en plus de problèmes posés par l’utilisation du chiffrement par les criminels. Cette situation porte atteinte à la capacité des services répressifs </w:t>
      </w:r>
      <w:r>
        <w:rPr>
          <w:rFonts w:ascii="Times New Roman" w:hAnsi="Times New Roman"/>
          <w:noProof/>
          <w:sz w:val="24"/>
        </w:rPr>
        <w:t>et des autorités judiciaires d’obtenir les informations nécessaires en tant qu’éléments de preuve dans le cadre des enquêtes pénales, ainsi que de poursuivre et de condamner les auteurs d’infraction. Le recours au chiffrement par les criminels et, partant,</w:t>
      </w:r>
      <w:r>
        <w:rPr>
          <w:rFonts w:ascii="Times New Roman" w:hAnsi="Times New Roman"/>
          <w:noProof/>
          <w:sz w:val="24"/>
        </w:rPr>
        <w:t xml:space="preserve"> son incidence sur les enquêtes pénales devraient continuer à s’accroître dans les années à venir.</w:t>
      </w:r>
    </w:p>
    <w:p w:rsidR="00A66D64" w:rsidRDefault="00B30B4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Faisant suite à l’appel du Conseil Justice et affaires intérieures de décembre 2016, la Commission a </w:t>
      </w:r>
      <w:r>
        <w:rPr>
          <w:rFonts w:ascii="Times New Roman" w:hAnsi="Times New Roman"/>
          <w:b/>
          <w:noProof/>
          <w:sz w:val="24"/>
        </w:rPr>
        <w:t>examiné le rôle du chiffrement dans le cadre des enquête</w:t>
      </w:r>
      <w:r>
        <w:rPr>
          <w:rFonts w:ascii="Times New Roman" w:hAnsi="Times New Roman"/>
          <w:b/>
          <w:noProof/>
          <w:sz w:val="24"/>
        </w:rPr>
        <w:t>s pénales, avec les parties prenantes</w:t>
      </w:r>
      <w:r>
        <w:rPr>
          <w:rFonts w:ascii="Times New Roman" w:hAnsi="Times New Roman"/>
          <w:noProof/>
          <w:sz w:val="24"/>
        </w:rPr>
        <w:t>, en s’intéressant à la fois aux aspects techniques et juridiques. Il s’agit d’experts d’Europol, d’Eurojust, du réseau judiciaire européen en matière de cybercriminalité (EJCN), de l’Agence de l’Union européenne chargé</w:t>
      </w:r>
      <w:r>
        <w:rPr>
          <w:rFonts w:ascii="Times New Roman" w:hAnsi="Times New Roman"/>
          <w:noProof/>
          <w:sz w:val="24"/>
        </w:rPr>
        <w:t>e de la sécurité des réseaux et de l’information (ENISA), de l’Agence des droits fondamentaux de l’Union européenne (FRA) et des services répressifs des États membres, d’entreprises du secteur et d’organisations de la société civile. Il a été régulièrement</w:t>
      </w:r>
      <w:r>
        <w:rPr>
          <w:rFonts w:ascii="Times New Roman" w:hAnsi="Times New Roman"/>
          <w:noProof/>
          <w:sz w:val="24"/>
        </w:rPr>
        <w:t xml:space="preserve"> rendu compte des progrès au niveau du groupe de travail du Conseil, et un atelier avec les États membres a eu lieu le 18 septembre 2017. Plusieurs tables rondes avec des entreprises du secteur et des organisations de la société civile ont été organisées t</w:t>
      </w:r>
      <w:r>
        <w:rPr>
          <w:rFonts w:ascii="Times New Roman" w:hAnsi="Times New Roman"/>
          <w:noProof/>
          <w:sz w:val="24"/>
        </w:rPr>
        <w:t>out au long du processus.</w:t>
      </w:r>
    </w:p>
    <w:p w:rsidR="00A66D64" w:rsidRDefault="00B30B4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À la suite des discussions menées avec les États membres et les parties prenantes et sur la base de leurs observations, la Commission conclut qu’il conviendrait de mettre en œuvre l’ensemble suivant de </w:t>
      </w:r>
      <w:r>
        <w:rPr>
          <w:rFonts w:ascii="Times New Roman" w:hAnsi="Times New Roman"/>
          <w:b/>
          <w:noProof/>
          <w:sz w:val="24"/>
        </w:rPr>
        <w:t>mesures d’appui aux services</w:t>
      </w:r>
      <w:r>
        <w:rPr>
          <w:rFonts w:ascii="Times New Roman" w:hAnsi="Times New Roman"/>
          <w:b/>
          <w:noProof/>
          <w:sz w:val="24"/>
        </w:rPr>
        <w:t xml:space="preserve"> répressifs et aux autorités judiciaires</w:t>
      </w:r>
      <w:r>
        <w:rPr>
          <w:rFonts w:ascii="Times New Roman" w:hAnsi="Times New Roman"/>
          <w:noProof/>
          <w:sz w:val="24"/>
        </w:rPr>
        <w:t xml:space="preserve"> lorsqu’ils font face à l’utilisation du chiffrement par les criminels dans le cadre des enquêtes pénales. Il s’agit (a) de mesures juridiques visant à faciliter l’accès à des éléments de preuve chiffrés, ainsi que (</w:t>
      </w:r>
      <w:r>
        <w:rPr>
          <w:rFonts w:ascii="Times New Roman" w:hAnsi="Times New Roman"/>
          <w:noProof/>
          <w:sz w:val="24"/>
        </w:rPr>
        <w:t xml:space="preserve">b) de mesures techniques visant à renforcer les capacités de déchiffrement. La Commission continuera à suivre l'évolution à cet égard. </w:t>
      </w:r>
    </w:p>
    <w:p w:rsidR="00A66D64" w:rsidRDefault="00B30B4E">
      <w:pPr>
        <w:spacing w:after="120" w:line="240" w:lineRule="auto"/>
        <w:ind w:firstLine="720"/>
        <w:jc w:val="both"/>
        <w:rPr>
          <w:rFonts w:ascii="Times New Roman" w:eastAsia="Times New Roman" w:hAnsi="Times New Roman" w:cs="Times New Roman"/>
          <w:i/>
          <w:noProof/>
          <w:sz w:val="24"/>
          <w:szCs w:val="24"/>
        </w:rPr>
      </w:pPr>
      <w:r>
        <w:rPr>
          <w:rFonts w:ascii="Times New Roman" w:hAnsi="Times New Roman"/>
          <w:i/>
          <w:noProof/>
          <w:sz w:val="24"/>
        </w:rPr>
        <w:t xml:space="preserve">(a) Cadre juridique applicable à l’accès transfrontière aux preuves électroniques </w:t>
      </w:r>
    </w:p>
    <w:p w:rsidR="00A66D64" w:rsidRDefault="00B30B4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Les services répressifs sont souvent </w:t>
      </w:r>
      <w:r>
        <w:rPr>
          <w:rFonts w:ascii="Times New Roman" w:hAnsi="Times New Roman"/>
          <w:noProof/>
          <w:sz w:val="24"/>
        </w:rPr>
        <w:t>confrontés au problème de l’accès aux éléments de preuve qui se trouvent dans un autre pays. L’évolution législative en cours au niveau européen peut contribuer à aider les services répressifs et les autorités judiciaires à obtenir l’accès aux informations</w:t>
      </w:r>
      <w:r>
        <w:rPr>
          <w:rFonts w:ascii="Times New Roman" w:hAnsi="Times New Roman"/>
          <w:noProof/>
          <w:sz w:val="24"/>
        </w:rPr>
        <w:t xml:space="preserve"> nécessaires, mais éventuellement chiffrées, qui sont détenues dans un autre État membre. L’efficacité des enquêtes et des poursuites pénales dépend de l’existence d’un cadre approprié. À cette fin, la Commission présentera au début de l’année 2018 des pro</w:t>
      </w:r>
      <w:r>
        <w:rPr>
          <w:rFonts w:ascii="Times New Roman" w:hAnsi="Times New Roman"/>
          <w:noProof/>
          <w:sz w:val="24"/>
        </w:rPr>
        <w:t>positions visant à faciliter l’</w:t>
      </w:r>
      <w:r>
        <w:rPr>
          <w:rFonts w:ascii="Times New Roman" w:hAnsi="Times New Roman"/>
          <w:b/>
          <w:noProof/>
          <w:sz w:val="24"/>
        </w:rPr>
        <w:t>accès transfrontière aux preuves électroniques</w:t>
      </w:r>
      <w:r>
        <w:rPr>
          <w:rFonts w:ascii="Times New Roman" w:hAnsi="Times New Roman"/>
          <w:noProof/>
          <w:sz w:val="24"/>
        </w:rPr>
        <w:t>. Dans le même temps, la Commission mettra en œuvre un ensemble de mesures concrètes</w:t>
      </w:r>
      <w:r>
        <w:rPr>
          <w:rStyle w:val="FootnoteReference"/>
          <w:rFonts w:ascii="Times New Roman" w:hAnsi="Times New Roman"/>
          <w:noProof/>
          <w:sz w:val="24"/>
        </w:rPr>
        <w:footnoteReference w:id="29"/>
      </w:r>
      <w:r>
        <w:rPr>
          <w:rFonts w:ascii="Times New Roman" w:hAnsi="Times New Roman"/>
          <w:noProof/>
          <w:sz w:val="24"/>
        </w:rPr>
        <w:t xml:space="preserve"> visant à faciliter l’accès transfrontière aux preuves électroniques dans les enquêtes pénales</w:t>
      </w:r>
      <w:r>
        <w:rPr>
          <w:rFonts w:ascii="Times New Roman" w:hAnsi="Times New Roman"/>
          <w:noProof/>
          <w:sz w:val="24"/>
        </w:rPr>
        <w:t xml:space="preserve">, notamment en finançant la formation en matière de coopération transfrontière, en élaborant une plateforme électronique pour l’échange d’informations au sein de l’UE et en harmonisant les formes de coopération judiciaire entre les États membres. </w:t>
      </w:r>
    </w:p>
    <w:p w:rsidR="00A66D64" w:rsidRDefault="00B30B4E">
      <w:pPr>
        <w:spacing w:after="120" w:line="240" w:lineRule="auto"/>
        <w:ind w:firstLine="720"/>
        <w:jc w:val="both"/>
        <w:rPr>
          <w:rFonts w:ascii="Times New Roman" w:eastAsia="Times New Roman" w:hAnsi="Times New Roman" w:cs="Times New Roman"/>
          <w:i/>
          <w:noProof/>
          <w:sz w:val="24"/>
          <w:szCs w:val="24"/>
        </w:rPr>
      </w:pPr>
      <w:r>
        <w:rPr>
          <w:rFonts w:ascii="Times New Roman" w:hAnsi="Times New Roman"/>
          <w:i/>
          <w:noProof/>
          <w:sz w:val="24"/>
        </w:rPr>
        <w:t>(b) Mesu</w:t>
      </w:r>
      <w:r>
        <w:rPr>
          <w:rFonts w:ascii="Times New Roman" w:hAnsi="Times New Roman"/>
          <w:i/>
          <w:noProof/>
          <w:sz w:val="24"/>
        </w:rPr>
        <w:t>res techniques</w:t>
      </w:r>
    </w:p>
    <w:p w:rsidR="00A66D64" w:rsidRDefault="00B30B4E">
      <w:pPr>
        <w:spacing w:after="240" w:line="240" w:lineRule="auto"/>
        <w:jc w:val="both"/>
        <w:rPr>
          <w:rFonts w:ascii="Times New Roman" w:eastAsia="Times New Roman" w:hAnsi="Times New Roman" w:cs="Times New Roman"/>
          <w:noProof/>
          <w:sz w:val="24"/>
          <w:szCs w:val="24"/>
        </w:rPr>
      </w:pPr>
      <w:bookmarkStart w:id="2" w:name="_Toc490497082"/>
      <w:bookmarkStart w:id="3" w:name="_Toc490498660"/>
      <w:bookmarkEnd w:id="2"/>
      <w:bookmarkEnd w:id="3"/>
      <w:r>
        <w:rPr>
          <w:rFonts w:ascii="Times New Roman" w:hAnsi="Times New Roman"/>
          <w:noProof/>
          <w:sz w:val="24"/>
        </w:rPr>
        <w:t>Selon le mode de chiffrement utilisé par les criminels, les services répressifs et les autorités judiciaires peuvent être en mesure de recouvrer une partie des informations. Plusieurs États membres ont mis en place des services nationaux dis</w:t>
      </w:r>
      <w:r>
        <w:rPr>
          <w:rFonts w:ascii="Times New Roman" w:hAnsi="Times New Roman"/>
          <w:noProof/>
          <w:sz w:val="24"/>
        </w:rPr>
        <w:t xml:space="preserve">posant d’une expertise en ce qui concerne le problème que pose le chiffrement dans le cadre des enquêtes pénales. En revanche, la plupart des États membres n’ont pas accès au niveau approprié d’expertise et de ressources techniques. Cette situation limite </w:t>
      </w:r>
      <w:r>
        <w:rPr>
          <w:rFonts w:ascii="Times New Roman" w:hAnsi="Times New Roman"/>
          <w:noProof/>
          <w:sz w:val="24"/>
        </w:rPr>
        <w:t xml:space="preserve">considérablement la capacité des autorités répressives et judiciaires d’accéder à des informations chiffrées dans les enquêtes pénales. C’est pourquoi la Commission propose une </w:t>
      </w:r>
      <w:r>
        <w:rPr>
          <w:rFonts w:ascii="Times New Roman" w:hAnsi="Times New Roman"/>
          <w:b/>
          <w:noProof/>
          <w:sz w:val="24"/>
        </w:rPr>
        <w:t>série de mesures destinées à soutenir les autorités nationales</w:t>
      </w:r>
      <w:r>
        <w:rPr>
          <w:rFonts w:ascii="Times New Roman" w:hAnsi="Times New Roman"/>
          <w:noProof/>
          <w:sz w:val="24"/>
        </w:rPr>
        <w:t>, sans interdire,</w:t>
      </w:r>
      <w:r>
        <w:rPr>
          <w:rFonts w:ascii="Times New Roman" w:hAnsi="Times New Roman"/>
          <w:noProof/>
          <w:sz w:val="24"/>
        </w:rPr>
        <w:t xml:space="preserve"> limiter ni affaiblir le chiffrement.</w:t>
      </w:r>
    </w:p>
    <w:p w:rsidR="00A66D64" w:rsidRDefault="00B30B4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En premier lieu, la Commission aidera </w:t>
      </w:r>
      <w:r>
        <w:rPr>
          <w:rFonts w:ascii="Times New Roman" w:hAnsi="Times New Roman"/>
          <w:b/>
          <w:noProof/>
          <w:sz w:val="24"/>
        </w:rPr>
        <w:t>Europol</w:t>
      </w:r>
      <w:r>
        <w:rPr>
          <w:rFonts w:ascii="Times New Roman" w:hAnsi="Times New Roman"/>
          <w:noProof/>
          <w:sz w:val="24"/>
        </w:rPr>
        <w:t xml:space="preserve"> à continuer à développer ses capacités de déchiffrement. Pour ce faire, elle a proposé, dans le cadre de la préparation du budget de l’UE pour l’exercice 2018, la création </w:t>
      </w:r>
      <w:r>
        <w:rPr>
          <w:rFonts w:ascii="Times New Roman" w:hAnsi="Times New Roman"/>
          <w:noProof/>
          <w:sz w:val="24"/>
        </w:rPr>
        <w:t>d'un total de 86 postes supplémentaires liés à la sécurité pour Europol (soit 19 de plus que dans le budget 2017), notamment afin de renforcer son Centre européen de lutte contre la cybercriminalité (EC3). La nécessité de ressources supplémentaires fera l’</w:t>
      </w:r>
      <w:r>
        <w:rPr>
          <w:rFonts w:ascii="Times New Roman" w:hAnsi="Times New Roman"/>
          <w:noProof/>
          <w:sz w:val="24"/>
        </w:rPr>
        <w:t>objet d’une évaluation, et la Commission rendra compte, dans son prochain rapport sur l’union de la sécurité, des fonds mis à disposition à cette fin. Il conviendrait de tenir compte des évolutions technologiques futures sur la base de la recherche et du d</w:t>
      </w:r>
      <w:r>
        <w:rPr>
          <w:rFonts w:ascii="Times New Roman" w:hAnsi="Times New Roman"/>
          <w:noProof/>
          <w:sz w:val="24"/>
        </w:rPr>
        <w:t>éveloppement dans le cadre du programme Horizon 2020 et des autres programmes financés par l’UE. Les mesures susceptibles d’affaiblir le chiffrement ou d’avoir une incidence sur un nombre élevé, voire inconsidéré, de personnes ne seraient pas prises en con</w:t>
      </w:r>
      <w:r>
        <w:rPr>
          <w:rFonts w:ascii="Times New Roman" w:hAnsi="Times New Roman"/>
          <w:noProof/>
          <w:sz w:val="24"/>
        </w:rPr>
        <w:t>sidération.</w:t>
      </w:r>
    </w:p>
    <w:p w:rsidR="00A66D64" w:rsidRDefault="00B30B4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Deuxièmement, pour aider les services répressifs et les autorités judiciaires au niveau national</w:t>
      </w:r>
      <w:bookmarkStart w:id="4" w:name="_Toc490057690"/>
      <w:r>
        <w:rPr>
          <w:rFonts w:ascii="Times New Roman" w:hAnsi="Times New Roman"/>
          <w:noProof/>
          <w:sz w:val="24"/>
        </w:rPr>
        <w:t xml:space="preserve">, un </w:t>
      </w:r>
      <w:r>
        <w:rPr>
          <w:rFonts w:ascii="Times New Roman" w:hAnsi="Times New Roman"/>
          <w:b/>
          <w:noProof/>
          <w:sz w:val="24"/>
        </w:rPr>
        <w:t>réseau de points d’expertise</w:t>
      </w:r>
      <w:r>
        <w:rPr>
          <w:rFonts w:ascii="Times New Roman" w:hAnsi="Times New Roman"/>
          <w:noProof/>
          <w:sz w:val="24"/>
        </w:rPr>
        <w:t xml:space="preserve"> devrait être mis en place. Sans se substituer aux initiatives nationales, les capacités et l’expertise au niveau n</w:t>
      </w:r>
      <w:r>
        <w:rPr>
          <w:rFonts w:ascii="Times New Roman" w:hAnsi="Times New Roman"/>
          <w:noProof/>
          <w:sz w:val="24"/>
        </w:rPr>
        <w:t>ational pourraient être mieux partagées. Les États membres sont encouragés à utiliser le financement au titre des programmes nationaux du Fonds pour la sécurité intérieure Police (FSI-P) pour créer, étendre ou développer les points d’expertise nationaux. A</w:t>
      </w:r>
      <w:r>
        <w:rPr>
          <w:rFonts w:ascii="Times New Roman" w:hAnsi="Times New Roman"/>
          <w:noProof/>
          <w:sz w:val="24"/>
        </w:rPr>
        <w:t>u niveau européen, la Commission apportera son appui à Europol en servant de pivot du réseau afin de faciliter la collaboration entre ces points d’expertise nationaux.</w:t>
      </w:r>
    </w:p>
    <w:p w:rsidR="00A66D64" w:rsidRDefault="00B30B4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En troisième lieu, les autorités des États membres devraient disposer d’un </w:t>
      </w:r>
      <w:r>
        <w:rPr>
          <w:rFonts w:ascii="Times New Roman" w:hAnsi="Times New Roman"/>
          <w:b/>
          <w:noProof/>
          <w:sz w:val="24"/>
        </w:rPr>
        <w:t xml:space="preserve">arsenal de </w:t>
      </w:r>
      <w:r>
        <w:rPr>
          <w:rFonts w:ascii="Times New Roman" w:hAnsi="Times New Roman"/>
          <w:b/>
          <w:noProof/>
          <w:sz w:val="24"/>
        </w:rPr>
        <w:t>techniques d’enquête alternatives</w:t>
      </w:r>
      <w:r>
        <w:rPr>
          <w:rFonts w:ascii="Times New Roman" w:hAnsi="Times New Roman"/>
          <w:noProof/>
          <w:sz w:val="24"/>
        </w:rPr>
        <w:t xml:space="preserve"> pour faciliter l’élaboration et l’application de mesures permettant d’obtenir les informations requises qui ont été chiffrées par les criminels. Le réseau de points d’expertise devrait contribuer à développer cet arsenal e</w:t>
      </w:r>
      <w:r>
        <w:rPr>
          <w:rFonts w:ascii="Times New Roman" w:hAnsi="Times New Roman"/>
          <w:noProof/>
          <w:sz w:val="24"/>
        </w:rPr>
        <w:t>t le Centre européen de lutte contre la cybercriminalité (EC3), au sein d’Europol, est le mieux placé pour établir et tenir un registre de ces techniques et instruments. Les mesures susceptibles d’affaiblir le chiffrement ou d’avoir une incidence sur un no</w:t>
      </w:r>
      <w:r>
        <w:rPr>
          <w:rFonts w:ascii="Times New Roman" w:hAnsi="Times New Roman"/>
          <w:noProof/>
          <w:sz w:val="24"/>
        </w:rPr>
        <w:t>mbre élevé, voire inconsidéré, de personnes ne seraient pas prises en considération.</w:t>
      </w:r>
    </w:p>
    <w:p w:rsidR="00A66D64" w:rsidRDefault="00B30B4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Quatrièmement, une attention particulière devrait être accordée au </w:t>
      </w:r>
      <w:r>
        <w:rPr>
          <w:rFonts w:ascii="Times New Roman" w:hAnsi="Times New Roman"/>
          <w:b/>
          <w:noProof/>
          <w:sz w:val="24"/>
        </w:rPr>
        <w:t>rôle important des fournisseurs de services et autres partenaires du secteur</w:t>
      </w:r>
      <w:r>
        <w:rPr>
          <w:rFonts w:ascii="Times New Roman" w:hAnsi="Times New Roman"/>
          <w:noProof/>
          <w:sz w:val="24"/>
        </w:rPr>
        <w:t xml:space="preserve"> pour apporter des solutions</w:t>
      </w:r>
      <w:r>
        <w:rPr>
          <w:rFonts w:ascii="Times New Roman" w:hAnsi="Times New Roman"/>
          <w:noProof/>
          <w:sz w:val="24"/>
        </w:rPr>
        <w:t xml:space="preserve"> à chiffrement puissant. Compte tenu de l’engagement de la Commission en faveur d’un chiffrement puissant, une collaboration plus étroite et plus structurée entre les autorités, les prestataires de services et d’autres partenaires du secteur permettrait de</w:t>
      </w:r>
      <w:r>
        <w:rPr>
          <w:rFonts w:ascii="Times New Roman" w:hAnsi="Times New Roman"/>
          <w:noProof/>
          <w:sz w:val="24"/>
        </w:rPr>
        <w:t xml:space="preserve"> mieux appréhender la situation actuelle et l’évolution des différents problèmes. La Commission soutiendra les dialogues structurés avec les fournisseurs de services et les autres entreprises dans le cadre du forum de l’UE sur l’internet et du réseau de po</w:t>
      </w:r>
      <w:r>
        <w:rPr>
          <w:rFonts w:ascii="Times New Roman" w:hAnsi="Times New Roman"/>
          <w:noProof/>
          <w:sz w:val="24"/>
        </w:rPr>
        <w:t>ints d’expertise, en associant au besoin la société civile.</w:t>
      </w:r>
    </w:p>
    <w:p w:rsidR="00A66D64" w:rsidRDefault="00B30B4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En cinquième lieu, les </w:t>
      </w:r>
      <w:r>
        <w:rPr>
          <w:rFonts w:ascii="Times New Roman" w:hAnsi="Times New Roman"/>
          <w:b/>
          <w:noProof/>
          <w:sz w:val="24"/>
        </w:rPr>
        <w:t>programmes de formation</w:t>
      </w:r>
      <w:r>
        <w:rPr>
          <w:rFonts w:ascii="Times New Roman" w:hAnsi="Times New Roman"/>
          <w:noProof/>
          <w:sz w:val="24"/>
        </w:rPr>
        <w:t xml:space="preserve"> des services répressifs et des autorités judiciaires devraient mieux préparer les agents responsables à l’obtention des informations requises qui ont</w:t>
      </w:r>
      <w:r>
        <w:rPr>
          <w:rFonts w:ascii="Times New Roman" w:hAnsi="Times New Roman"/>
          <w:noProof/>
          <w:sz w:val="24"/>
        </w:rPr>
        <w:t xml:space="preserve"> été chiffrées par les criminels. Afin de soutenir l’élaboration de programmes de formation, la Commission entend apporter un financement de 500 000 EUR au titre du programme de travail annuel 2018 du Fonds pour la sécurité intérieure Police. L’expertise d</w:t>
      </w:r>
      <w:r>
        <w:rPr>
          <w:rFonts w:ascii="Times New Roman" w:hAnsi="Times New Roman"/>
          <w:noProof/>
          <w:sz w:val="24"/>
        </w:rPr>
        <w:t>u groupe européen de formation et d'enseignement sur la cybercriminalité (ECTEG) sera prise en compte, le cas échéant. La Commission soutiendra également la mise en place de formations dispensées par l’Agence de l’Union européenne pour la formation des ser</w:t>
      </w:r>
      <w:r>
        <w:rPr>
          <w:rFonts w:ascii="Times New Roman" w:hAnsi="Times New Roman"/>
          <w:noProof/>
          <w:sz w:val="24"/>
        </w:rPr>
        <w:t>vices répressifs (CEPOL) et les États membres sont encouragés à utiliser, pour la formation, le financement disponible au titre de leurs programmes nationaux du Fonds pour la sécurité intérieure Police.</w:t>
      </w:r>
    </w:p>
    <w:p w:rsidR="00A66D64" w:rsidRDefault="00B30B4E">
      <w:pPr>
        <w:spacing w:after="240" w:line="240" w:lineRule="auto"/>
        <w:jc w:val="both"/>
        <w:rPr>
          <w:rFonts w:ascii="Times New Roman" w:hAnsi="Times New Roman"/>
          <w:noProof/>
          <w:sz w:val="24"/>
        </w:rPr>
      </w:pPr>
      <w:r>
        <w:rPr>
          <w:rFonts w:ascii="Times New Roman" w:hAnsi="Times New Roman"/>
          <w:noProof/>
          <w:sz w:val="24"/>
        </w:rPr>
        <w:t xml:space="preserve">Sixièmement, il est nécessaire de procéder à une </w:t>
      </w:r>
      <w:r>
        <w:rPr>
          <w:rFonts w:ascii="Times New Roman" w:hAnsi="Times New Roman"/>
          <w:b/>
          <w:noProof/>
          <w:sz w:val="24"/>
        </w:rPr>
        <w:t>éval</w:t>
      </w:r>
      <w:r>
        <w:rPr>
          <w:rFonts w:ascii="Times New Roman" w:hAnsi="Times New Roman"/>
          <w:b/>
          <w:noProof/>
          <w:sz w:val="24"/>
        </w:rPr>
        <w:t>uation continue des aspects techniques et juridiques</w:t>
      </w:r>
      <w:r>
        <w:rPr>
          <w:rFonts w:ascii="Times New Roman" w:hAnsi="Times New Roman"/>
          <w:noProof/>
          <w:sz w:val="24"/>
        </w:rPr>
        <w:t xml:space="preserve"> du rôle du chiffrement dans les enquêtes pénales, compte tenu de l’évolution constante des techniques de chiffrement, de leur utilisation accrue par les criminels et de l’incidence sur les enquêtes pénal</w:t>
      </w:r>
      <w:r>
        <w:rPr>
          <w:rFonts w:ascii="Times New Roman" w:hAnsi="Times New Roman"/>
          <w:noProof/>
          <w:sz w:val="24"/>
        </w:rPr>
        <w:t>es. La Commission poursuivra ces travaux importants. Elle soutiendra également la mise en place d’une fonction d’observatoire en collaboration avec le Centre européen de lutte contre la cybercriminalité (EC3) au sein d’Europol, le réseau judiciaire europée</w:t>
      </w:r>
      <w:r>
        <w:rPr>
          <w:rFonts w:ascii="Times New Roman" w:hAnsi="Times New Roman"/>
          <w:noProof/>
          <w:sz w:val="24"/>
        </w:rPr>
        <w:t>n en matière de cybercriminalité (EJCN) et Eurojust.</w:t>
      </w:r>
      <w:bookmarkEnd w:id="4"/>
    </w:p>
    <w:p w:rsidR="00A66D64" w:rsidRDefault="00B30B4E">
      <w:pPr>
        <w:spacing w:before="120" w:after="120" w:line="240" w:lineRule="auto"/>
        <w:jc w:val="both"/>
        <w:rPr>
          <w:rFonts w:ascii="Times New Roman" w:eastAsia="Calibri" w:hAnsi="Times New Roman" w:cs="Times New Roman"/>
          <w:b/>
          <w:noProof/>
          <w:sz w:val="24"/>
          <w:szCs w:val="24"/>
        </w:rPr>
      </w:pPr>
      <w:r>
        <w:rPr>
          <w:rFonts w:ascii="Times New Roman" w:hAnsi="Times New Roman"/>
          <w:b/>
          <w:noProof/>
          <w:sz w:val="24"/>
        </w:rPr>
        <w:t>IV.</w:t>
      </w:r>
      <w:r>
        <w:rPr>
          <w:noProof/>
        </w:rPr>
        <w:tab/>
      </w:r>
      <w:r>
        <w:rPr>
          <w:rFonts w:ascii="Times New Roman" w:hAnsi="Times New Roman"/>
          <w:b/>
          <w:noProof/>
          <w:sz w:val="24"/>
        </w:rPr>
        <w:t>LUTTER CONTRE LA RADICALISATION</w:t>
      </w:r>
    </w:p>
    <w:p w:rsidR="00A66D64" w:rsidRDefault="00B30B4E">
      <w:pPr>
        <w:spacing w:after="12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1.</w:t>
      </w:r>
      <w:r>
        <w:rPr>
          <w:noProof/>
        </w:rPr>
        <w:tab/>
      </w:r>
      <w:r>
        <w:rPr>
          <w:rFonts w:ascii="Times New Roman" w:hAnsi="Times New Roman"/>
          <w:i/>
          <w:noProof/>
          <w:sz w:val="24"/>
        </w:rPr>
        <w:t xml:space="preserve">Groupe d'experts de haut niveau sur la radicalisation </w:t>
      </w:r>
    </w:p>
    <w:p w:rsidR="00A66D64" w:rsidRDefault="00B30B4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Les récentes attaques, notamment celles perpétrées par des individus isolés, et la vitesse à laquelle certains de leurs auteurs se sont radicalisés, nous ont cruellement rappelé l'importance de la prévention de la radicalisation et de la lutte contre celle</w:t>
      </w:r>
      <w:r>
        <w:rPr>
          <w:rFonts w:ascii="Times New Roman" w:hAnsi="Times New Roman"/>
          <w:noProof/>
          <w:sz w:val="24"/>
        </w:rPr>
        <w:t xml:space="preserve">-ci. La Commission a institué un </w:t>
      </w:r>
      <w:r>
        <w:rPr>
          <w:rFonts w:ascii="Times New Roman" w:hAnsi="Times New Roman"/>
          <w:b/>
          <w:noProof/>
          <w:sz w:val="24"/>
        </w:rPr>
        <w:t>Groupe d'experts de haut niveau sur la radicalisation</w:t>
      </w:r>
      <w:r>
        <w:rPr>
          <w:rFonts w:ascii="Times New Roman" w:hAnsi="Times New Roman"/>
          <w:noProof/>
          <w:sz w:val="24"/>
        </w:rPr>
        <w:t xml:space="preserve"> afin de renforcer les mesures de prévention de la radicalisation et de lutte contre celle-ci ainsi que pour améliorer la coordination et la coopération entre toutes les </w:t>
      </w:r>
      <w:r>
        <w:rPr>
          <w:rFonts w:ascii="Times New Roman" w:hAnsi="Times New Roman"/>
          <w:noProof/>
          <w:sz w:val="24"/>
        </w:rPr>
        <w:t>parties prenantes en tirant parti des avancées réalisées à ce jour</w:t>
      </w:r>
      <w:r>
        <w:rPr>
          <w:rStyle w:val="FootnoteReference"/>
          <w:rFonts w:ascii="Times New Roman" w:hAnsi="Times New Roman"/>
          <w:noProof/>
          <w:sz w:val="24"/>
        </w:rPr>
        <w:footnoteReference w:id="30"/>
      </w:r>
      <w:r>
        <w:rPr>
          <w:noProof/>
        </w:rPr>
        <w:t>.</w:t>
      </w:r>
      <w:r>
        <w:rPr>
          <w:rFonts w:ascii="Times New Roman" w:hAnsi="Times New Roman"/>
          <w:noProof/>
          <w:sz w:val="24"/>
        </w:rPr>
        <w:t xml:space="preserve"> Ce groupe, chargé d’émettre des recommandations en vue de mener plus avant les travaux dans ce domaine, achèvera un premier rapport intermédiaire cette année. En décembre 2017, la Commiss</w:t>
      </w:r>
      <w:r>
        <w:rPr>
          <w:rFonts w:ascii="Times New Roman" w:hAnsi="Times New Roman"/>
          <w:noProof/>
          <w:sz w:val="24"/>
        </w:rPr>
        <w:t>ion fera un rapport sur les progrès accomplis au Conseil «Justice et affaires intérieures». Le groupe d’experts abordera également les conditions-cadres nécessaires pour renforcer les capacités et le savoir-faire en matière de lutte contre la radicalisatio</w:t>
      </w:r>
      <w:r>
        <w:rPr>
          <w:rFonts w:ascii="Times New Roman" w:hAnsi="Times New Roman"/>
          <w:noProof/>
          <w:sz w:val="24"/>
        </w:rPr>
        <w:t>n, compte tenu de la nécessité éventuelle d’élaborer de nouvelles structures de coopération au niveau de l’UE. À cet égard, certains États membres ayant appelé de leurs vœux un centre de prévention de la radicalisation de l’UE, le groupe évaluera la nécess</w:t>
      </w:r>
      <w:r>
        <w:rPr>
          <w:rFonts w:ascii="Times New Roman" w:hAnsi="Times New Roman"/>
          <w:noProof/>
          <w:sz w:val="24"/>
        </w:rPr>
        <w:t>ité et la valeur ajoutée de la création d'une telle structure.</w:t>
      </w:r>
    </w:p>
    <w:p w:rsidR="00A66D64" w:rsidRDefault="00B30B4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Parmi les questions prioritaires devant être discutées par ce groupe, figure </w:t>
      </w:r>
      <w:r>
        <w:rPr>
          <w:rFonts w:ascii="Times New Roman" w:hAnsi="Times New Roman"/>
          <w:b/>
          <w:noProof/>
          <w:sz w:val="24"/>
        </w:rPr>
        <w:t>la radicalisation dans les prisons</w:t>
      </w:r>
      <w:r>
        <w:rPr>
          <w:rFonts w:ascii="Times New Roman" w:hAnsi="Times New Roman"/>
          <w:noProof/>
          <w:sz w:val="24"/>
        </w:rPr>
        <w:t>. L’accent est placé actuellement sur la mise en œuvre, par les États membres, des</w:t>
      </w:r>
      <w:r>
        <w:rPr>
          <w:rFonts w:ascii="Times New Roman" w:hAnsi="Times New Roman"/>
          <w:noProof/>
          <w:sz w:val="24"/>
        </w:rPr>
        <w:t xml:space="preserve"> conclusions du Conseil JAI du 20 novembre 2015 sur le renforcement de la réponse pénale à la radicalisation</w:t>
      </w:r>
      <w:r>
        <w:rPr>
          <w:rStyle w:val="FootnoteReference"/>
          <w:rFonts w:ascii="Times New Roman" w:hAnsi="Times New Roman"/>
          <w:noProof/>
          <w:sz w:val="24"/>
        </w:rPr>
        <w:footnoteReference w:id="31"/>
      </w:r>
      <w:r>
        <w:rPr>
          <w:noProof/>
        </w:rPr>
        <w:t>.</w:t>
      </w:r>
      <w:r>
        <w:rPr>
          <w:rFonts w:ascii="Times New Roman" w:hAnsi="Times New Roman"/>
          <w:noProof/>
          <w:sz w:val="24"/>
        </w:rPr>
        <w:t xml:space="preserve"> La Commission organisera une conférence des parties prenantes sur la réponse pénale à la radicalisation, le 27 février 2018, dans le but de parta</w:t>
      </w:r>
      <w:r>
        <w:rPr>
          <w:rFonts w:ascii="Times New Roman" w:hAnsi="Times New Roman"/>
          <w:noProof/>
          <w:sz w:val="24"/>
        </w:rPr>
        <w:t>ger les résultats des projets en cours.</w:t>
      </w:r>
    </w:p>
    <w:p w:rsidR="00A66D64" w:rsidRDefault="00B30B4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La Commission tiendra compte des conclusions et des recommandations du groupe d’experts dans le plan de travail des initiatives existantes (notamment au sein du centre d’excellence du réseau de sensibilisation à la r</w:t>
      </w:r>
      <w:r>
        <w:rPr>
          <w:rFonts w:ascii="Times New Roman" w:hAnsi="Times New Roman"/>
          <w:noProof/>
          <w:sz w:val="24"/>
        </w:rPr>
        <w:t xml:space="preserve">adicalisation), ainsi que pour l’utilisation et la finalité principale de ses instruments de financement (y compris le Fonds pour la sécurité intérieure, mais aussi d’autres fonds liés tels qu’Erasmus+, le programme «Justice» ou le Fonds social européen). </w:t>
      </w:r>
    </w:p>
    <w:p w:rsidR="00A66D64" w:rsidRDefault="00B30B4E">
      <w:pPr>
        <w:spacing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2.</w:t>
      </w:r>
      <w:r>
        <w:rPr>
          <w:noProof/>
        </w:rPr>
        <w:tab/>
      </w:r>
      <w:r>
        <w:rPr>
          <w:rFonts w:ascii="Times New Roman" w:hAnsi="Times New Roman"/>
          <w:i/>
          <w:noProof/>
          <w:sz w:val="24"/>
        </w:rPr>
        <w:t xml:space="preserve">Lutter contre la radicalisation en ligne </w:t>
      </w:r>
    </w:p>
    <w:p w:rsidR="00A66D64" w:rsidRDefault="00B30B4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Les terroristes continuent d’utiliser l’internet à des fins de radicalisation, de recrutement, ainsi que pour préparer et encourager des attentats terroristes et pour se vanter des atrocités qu’ils commettent. </w:t>
      </w:r>
      <w:r>
        <w:rPr>
          <w:rFonts w:ascii="Times New Roman" w:hAnsi="Times New Roman"/>
          <w:noProof/>
          <w:sz w:val="24"/>
        </w:rPr>
        <w:t>Le Conseil européen</w:t>
      </w:r>
      <w:r>
        <w:rPr>
          <w:rStyle w:val="FootnoteReference"/>
          <w:rFonts w:ascii="Times New Roman" w:hAnsi="Times New Roman"/>
          <w:noProof/>
          <w:sz w:val="24"/>
        </w:rPr>
        <w:footnoteReference w:id="32"/>
      </w:r>
      <w:r>
        <w:rPr>
          <w:rFonts w:ascii="Times New Roman" w:hAnsi="Times New Roman"/>
          <w:noProof/>
          <w:sz w:val="24"/>
        </w:rPr>
        <w:t>, le G7</w:t>
      </w:r>
      <w:r>
        <w:rPr>
          <w:rStyle w:val="FootnoteReference"/>
          <w:rFonts w:ascii="Times New Roman" w:hAnsi="Times New Roman"/>
          <w:noProof/>
          <w:sz w:val="24"/>
        </w:rPr>
        <w:footnoteReference w:id="33"/>
      </w:r>
      <w:r>
        <w:rPr>
          <w:rFonts w:ascii="Times New Roman" w:hAnsi="Times New Roman"/>
          <w:noProof/>
          <w:sz w:val="24"/>
        </w:rPr>
        <w:t xml:space="preserve"> et le G20</w:t>
      </w:r>
      <w:r>
        <w:rPr>
          <w:rStyle w:val="FootnoteReference"/>
          <w:rFonts w:ascii="Times New Roman" w:hAnsi="Times New Roman"/>
          <w:noProof/>
          <w:sz w:val="24"/>
        </w:rPr>
        <w:footnoteReference w:id="34"/>
      </w:r>
      <w:r>
        <w:rPr>
          <w:rFonts w:ascii="Times New Roman" w:hAnsi="Times New Roman"/>
          <w:noProof/>
          <w:sz w:val="24"/>
        </w:rPr>
        <w:t xml:space="preserve">, ont récemment demandé des mesures supplémentaires pour relever ce défi mondial et ont rappelé la responsabilité du secteur concerné à cet égard. </w:t>
      </w:r>
    </w:p>
    <w:p w:rsidR="00A66D64" w:rsidRDefault="00B30B4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En juillet 2017, le forum de l’Union sur l’internet a mis au point </w:t>
      </w:r>
      <w:r>
        <w:rPr>
          <w:rFonts w:ascii="Times New Roman" w:hAnsi="Times New Roman"/>
          <w:b/>
          <w:noProof/>
          <w:sz w:val="24"/>
        </w:rPr>
        <w:t>un</w:t>
      </w:r>
      <w:r>
        <w:rPr>
          <w:rFonts w:ascii="Times New Roman" w:hAnsi="Times New Roman"/>
          <w:b/>
          <w:noProof/>
          <w:sz w:val="24"/>
        </w:rPr>
        <w:t xml:space="preserve"> plan d'action pour lutter contre les contenus terroristes en ligne</w:t>
      </w:r>
      <w:r>
        <w:rPr>
          <w:rFonts w:ascii="Times New Roman" w:hAnsi="Times New Roman"/>
          <w:noProof/>
          <w:sz w:val="24"/>
        </w:rPr>
        <w:t>, appelant le secteur de l’internet à prendre des mesures résolues, à consacrer des ressources et à développer les outils technologiques nécessaires pour assurer la détection rapide de cont</w:t>
      </w:r>
      <w:r>
        <w:rPr>
          <w:rFonts w:ascii="Times New Roman" w:hAnsi="Times New Roman"/>
          <w:noProof/>
          <w:sz w:val="24"/>
        </w:rPr>
        <w:t>enus préjudiciables en ligne et les supprimer. Le plan d’action appelle à progresser sans attendre dans un vaste éventail de domaines</w:t>
      </w:r>
      <w:r>
        <w:rPr>
          <w:rStyle w:val="FootnoteReference"/>
          <w:rFonts w:ascii="Times New Roman" w:hAnsi="Times New Roman"/>
          <w:noProof/>
          <w:sz w:val="24"/>
        </w:rPr>
        <w:footnoteReference w:id="35"/>
      </w:r>
      <w:r>
        <w:rPr>
          <w:rFonts w:ascii="Times New Roman" w:hAnsi="Times New Roman"/>
          <w:noProof/>
          <w:sz w:val="24"/>
        </w:rPr>
        <w:t xml:space="preserve"> et à instaurer un mécanisme de rapport régulier pour mesurer et évaluer les résultats.</w:t>
      </w:r>
    </w:p>
    <w:p w:rsidR="00A66D64" w:rsidRDefault="00B30B4E">
      <w:pPr>
        <w:spacing w:after="240" w:line="240" w:lineRule="auto"/>
        <w:jc w:val="both"/>
        <w:rPr>
          <w:rFonts w:ascii="Times New Roman" w:hAnsi="Times New Roman" w:cs="Times New Roman"/>
          <w:noProof/>
          <w:sz w:val="24"/>
          <w:szCs w:val="24"/>
        </w:rPr>
      </w:pPr>
      <w:r>
        <w:rPr>
          <w:rFonts w:ascii="Times New Roman" w:hAnsi="Times New Roman"/>
          <w:noProof/>
          <w:sz w:val="24"/>
        </w:rPr>
        <w:t>Le 29 septembre 2017, la Commissio</w:t>
      </w:r>
      <w:r>
        <w:rPr>
          <w:rFonts w:ascii="Times New Roman" w:hAnsi="Times New Roman"/>
          <w:noProof/>
          <w:sz w:val="24"/>
        </w:rPr>
        <w:t xml:space="preserve">n a accueilli une réunion de hauts fonctionnaires du forum de l'UE sur l'internet afin de prendre connaissance de la mise en œuvre du </w:t>
      </w:r>
      <w:r>
        <w:rPr>
          <w:rFonts w:ascii="Times New Roman" w:hAnsi="Times New Roman"/>
          <w:b/>
          <w:noProof/>
          <w:sz w:val="24"/>
        </w:rPr>
        <w:t>plan d'action pour lutter contre les contenus terroristes en ligne</w:t>
      </w:r>
      <w:r>
        <w:rPr>
          <w:rFonts w:ascii="Times New Roman" w:hAnsi="Times New Roman"/>
          <w:noProof/>
          <w:sz w:val="24"/>
        </w:rPr>
        <w:t>. En ce qui concerne la détection automatisée, les entre</w:t>
      </w:r>
      <w:r>
        <w:rPr>
          <w:rFonts w:ascii="Times New Roman" w:hAnsi="Times New Roman"/>
          <w:noProof/>
          <w:sz w:val="24"/>
        </w:rPr>
        <w:t>prises se tournent davantage vers cette option qui leur permet de déployer un savoir-faire technique pour identifier les contenus terroristes au moment où ils sont mis en ligne. Certaines entreprises ont indiqué que 75 % des contenus sont désormais détecté</w:t>
      </w:r>
      <w:r>
        <w:rPr>
          <w:rFonts w:ascii="Times New Roman" w:hAnsi="Times New Roman"/>
          <w:noProof/>
          <w:sz w:val="24"/>
        </w:rPr>
        <w:t>s automatiquement et transmis à des examinateurs humains qui décident en dernier lieu de leur suppression éventuelle tandis que, pour d’autres, 95 % des contenus sont détectés par des outils de détection propriétaires. Bien que ces progrès soient tangibles</w:t>
      </w:r>
      <w:r>
        <w:rPr>
          <w:rFonts w:ascii="Times New Roman" w:hAnsi="Times New Roman"/>
          <w:noProof/>
          <w:sz w:val="24"/>
        </w:rPr>
        <w:t>, la Commission a appelé toutes les entreprises à accélérer le déploiement de ces outils afin d’assurer une détection plus rapide, de réduire le temps pendant lequel le contenu terroriste demeure en ligne et de supprimer plus vite et plus efficacement la p</w:t>
      </w:r>
      <w:r>
        <w:rPr>
          <w:rFonts w:ascii="Times New Roman" w:hAnsi="Times New Roman"/>
          <w:noProof/>
          <w:sz w:val="24"/>
        </w:rPr>
        <w:t>ropagande terroriste. La Commission a également invité les entreprises à étendre leur outil «base de données d’empreintes numériques», afin d’empêcher que le contenu terroriste ne soit remis en ligne sur d’autres plateformes, à partir desquelles il pourrai</w:t>
      </w:r>
      <w:r>
        <w:rPr>
          <w:rFonts w:ascii="Times New Roman" w:hAnsi="Times New Roman"/>
          <w:noProof/>
          <w:sz w:val="24"/>
        </w:rPr>
        <w:t xml:space="preserve">t essaimer vers des plateformes multiples. Cet outil devrait être étendu tant en ce qui concerne son contenu – au-delà des vidéos et des images qui sont actuellement couvertes – que les entreprises participantes. </w:t>
      </w:r>
    </w:p>
    <w:p w:rsidR="00A66D64" w:rsidRDefault="00B30B4E">
      <w:pPr>
        <w:spacing w:after="240" w:line="240" w:lineRule="auto"/>
        <w:jc w:val="both"/>
        <w:rPr>
          <w:rFonts w:ascii="Times New Roman" w:hAnsi="Times New Roman" w:cs="Times New Roman"/>
          <w:noProof/>
          <w:sz w:val="24"/>
          <w:szCs w:val="24"/>
        </w:rPr>
      </w:pPr>
      <w:r>
        <w:rPr>
          <w:rFonts w:ascii="Times New Roman" w:hAnsi="Times New Roman"/>
          <w:noProof/>
          <w:sz w:val="24"/>
        </w:rPr>
        <w:t>La Commission continue également d’apporte</w:t>
      </w:r>
      <w:r>
        <w:rPr>
          <w:rFonts w:ascii="Times New Roman" w:hAnsi="Times New Roman"/>
          <w:noProof/>
          <w:sz w:val="24"/>
        </w:rPr>
        <w:t>r son soutien aux organisations de la société civile qu’elle encourage à diffuser des</w:t>
      </w:r>
      <w:r>
        <w:rPr>
          <w:rFonts w:ascii="Times New Roman" w:hAnsi="Times New Roman"/>
          <w:b/>
          <w:noProof/>
          <w:sz w:val="24"/>
        </w:rPr>
        <w:t xml:space="preserve"> messages contenant des contre-discours</w:t>
      </w:r>
      <w:r>
        <w:rPr>
          <w:rFonts w:ascii="Times New Roman" w:hAnsi="Times New Roman"/>
          <w:noProof/>
          <w:sz w:val="24"/>
        </w:rPr>
        <w:t xml:space="preserve"> en ligne. Le 6 octobre 2017, la Commission a lancé un appel à propositions en vue de l’octroi d’un concours financier de 6 millions</w:t>
      </w:r>
      <w:r>
        <w:rPr>
          <w:rFonts w:ascii="Times New Roman" w:hAnsi="Times New Roman"/>
          <w:noProof/>
          <w:sz w:val="24"/>
        </w:rPr>
        <w:t xml:space="preserve"> d'EUR à des consortiums d’acteurs de la société civile qui développent et mettent en œuvre ces campagnes. </w:t>
      </w:r>
    </w:p>
    <w:p w:rsidR="00A66D64" w:rsidRDefault="00B30B4E">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Par la suite, le 6 décembre 2017, la Commission européenne entend convoquer le </w:t>
      </w:r>
      <w:r>
        <w:rPr>
          <w:rFonts w:ascii="Times New Roman" w:hAnsi="Times New Roman"/>
          <w:b/>
          <w:noProof/>
          <w:sz w:val="24"/>
        </w:rPr>
        <w:t>forum de l’Union sur l’internet au niveau ministériel</w:t>
      </w:r>
      <w:r>
        <w:rPr>
          <w:rFonts w:ascii="Times New Roman" w:hAnsi="Times New Roman"/>
          <w:noProof/>
          <w:sz w:val="24"/>
        </w:rPr>
        <w:t xml:space="preserve"> auquel particip</w:t>
      </w:r>
      <w:r>
        <w:rPr>
          <w:rFonts w:ascii="Times New Roman" w:hAnsi="Times New Roman"/>
          <w:noProof/>
          <w:sz w:val="24"/>
        </w:rPr>
        <w:t xml:space="preserve">eront de hauts représentants du secteur de l’internet afin d’évaluer les progrès réalisés et de jeter les bases des futures actions. </w:t>
      </w:r>
    </w:p>
    <w:p w:rsidR="00A66D64" w:rsidRDefault="00B30B4E">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Les mesures prises pour lutter contre les contenus terroristes en ligne dans le cadre du forum de l’Union sur l’internet </w:t>
      </w:r>
      <w:r>
        <w:rPr>
          <w:rFonts w:ascii="Times New Roman" w:hAnsi="Times New Roman"/>
          <w:noProof/>
          <w:color w:val="000000"/>
          <w:sz w:val="24"/>
        </w:rPr>
        <w:t>devraient être envisagées sous l’angle plus général de la lutte contre le contenu illicite sur internet. Ces mesures ont été étayées par une communication adoptée par la Commission le 28</w:t>
      </w:r>
      <w:r>
        <w:rPr>
          <w:rFonts w:ascii="Times New Roman" w:hAnsi="Times New Roman"/>
          <w:noProof/>
          <w:color w:val="000000"/>
          <w:sz w:val="24"/>
          <w:lang w:val="fr-BE"/>
        </w:rPr>
        <w:t> </w:t>
      </w:r>
      <w:r>
        <w:rPr>
          <w:rFonts w:ascii="Times New Roman" w:hAnsi="Times New Roman"/>
          <w:noProof/>
          <w:color w:val="000000"/>
          <w:sz w:val="24"/>
        </w:rPr>
        <w:t xml:space="preserve">septembre 2017, présentant des </w:t>
      </w:r>
      <w:r>
        <w:rPr>
          <w:rFonts w:ascii="Times New Roman" w:hAnsi="Times New Roman"/>
          <w:b/>
          <w:noProof/>
          <w:color w:val="000000"/>
          <w:sz w:val="24"/>
        </w:rPr>
        <w:t>orientations et principes afin que les</w:t>
      </w:r>
      <w:r>
        <w:rPr>
          <w:rFonts w:ascii="Times New Roman" w:hAnsi="Times New Roman"/>
          <w:b/>
          <w:noProof/>
          <w:color w:val="000000"/>
          <w:sz w:val="24"/>
        </w:rPr>
        <w:t xml:space="preserve"> plateformes en ligne</w:t>
      </w:r>
      <w:r>
        <w:rPr>
          <w:rFonts w:ascii="Times New Roman" w:hAnsi="Times New Roman"/>
          <w:noProof/>
          <w:color w:val="000000"/>
          <w:sz w:val="24"/>
        </w:rPr>
        <w:t xml:space="preserve"> intensifient la lutte contre le contenu illicite en ligne</w:t>
      </w:r>
      <w:r>
        <w:rPr>
          <w:rFonts w:ascii="Times New Roman" w:hAnsi="Times New Roman"/>
          <w:noProof/>
          <w:color w:val="000000"/>
          <w:sz w:val="24"/>
          <w:vertAlign w:val="superscript"/>
        </w:rPr>
        <w:footnoteReference w:id="36"/>
      </w:r>
      <w:r>
        <w:rPr>
          <w:rFonts w:ascii="Times New Roman" w:hAnsi="Times New Roman"/>
          <w:noProof/>
          <w:color w:val="000000"/>
          <w:sz w:val="24"/>
        </w:rPr>
        <w:t xml:space="preserve"> en collaboration avec les autorités nationales, les États membres et les autres parties intéressées. La communication vise à faciliter et à accélérer la mise en œuvre de bonne</w:t>
      </w:r>
      <w:r>
        <w:rPr>
          <w:rFonts w:ascii="Times New Roman" w:hAnsi="Times New Roman"/>
          <w:noProof/>
          <w:color w:val="000000"/>
          <w:sz w:val="24"/>
        </w:rPr>
        <w:t>s pratiques pour interdire, détecter, supprimer et bloquer l’accès au contenu illicite de façon à garantir le retrait effectif de celui-ci, une transparence accrue et la protection des droits fondamentaux en ligne. Elle vise aussi à apporter aux plateforme</w:t>
      </w:r>
      <w:r>
        <w:rPr>
          <w:rFonts w:ascii="Times New Roman" w:hAnsi="Times New Roman"/>
          <w:noProof/>
          <w:color w:val="000000"/>
          <w:sz w:val="24"/>
        </w:rPr>
        <w:t>s des précisions sur leurs responsabilités lorsqu’elles prennent des mesures proactives pour détecter, supprimer ou bloquer l’accès au contenu illicite. La Commission attend des plateformes en ligne qu’elles prennent des mesures rapides au cours des procha</w:t>
      </w:r>
      <w:r>
        <w:rPr>
          <w:rFonts w:ascii="Times New Roman" w:hAnsi="Times New Roman"/>
          <w:noProof/>
          <w:color w:val="000000"/>
          <w:sz w:val="24"/>
        </w:rPr>
        <w:t>ins mois, notamment dans le cadre des dialogues concernés, en particulier dans le cadre du forum Internet de l'UE sur la propagande terroriste et les discours de haine illégaux.</w:t>
      </w:r>
    </w:p>
    <w:p w:rsidR="00A66D64" w:rsidRDefault="00B30B4E">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Dans le même temps, la Commission suivra les progrès accomplis et déterminera </w:t>
      </w:r>
      <w:r>
        <w:rPr>
          <w:rFonts w:ascii="Times New Roman" w:hAnsi="Times New Roman"/>
          <w:noProof/>
          <w:sz w:val="24"/>
        </w:rPr>
        <w:t>si des mesures supplémentaires s’imposent pour assurer la détection rapide et proactive et la suppression des contenus illicites en ligne, telles que des mesures législatives complétant le cadre réglementaire en vigueur. Ces travaux s’achèveront au plus ta</w:t>
      </w:r>
      <w:r>
        <w:rPr>
          <w:rFonts w:ascii="Times New Roman" w:hAnsi="Times New Roman"/>
          <w:noProof/>
          <w:sz w:val="24"/>
        </w:rPr>
        <w:t>rd en mai 2018.</w:t>
      </w:r>
    </w:p>
    <w:p w:rsidR="00A66D64" w:rsidRDefault="00B30B4E">
      <w:pPr>
        <w:spacing w:after="240" w:line="240" w:lineRule="auto"/>
        <w:jc w:val="both"/>
        <w:rPr>
          <w:rFonts w:ascii="Times New Roman" w:hAnsi="Times New Roman" w:cs="Times New Roman"/>
          <w:noProof/>
          <w:sz w:val="24"/>
          <w:szCs w:val="24"/>
        </w:rPr>
      </w:pPr>
      <w:r>
        <w:rPr>
          <w:rFonts w:ascii="Times New Roman" w:hAnsi="Times New Roman"/>
          <w:noProof/>
          <w:sz w:val="24"/>
        </w:rPr>
        <w:t>Sur le plan législatif, la proposition de directive</w:t>
      </w:r>
      <w:r>
        <w:rPr>
          <w:rStyle w:val="FootnoteReference"/>
          <w:rFonts w:ascii="Times New Roman" w:hAnsi="Times New Roman"/>
          <w:noProof/>
          <w:sz w:val="24"/>
        </w:rPr>
        <w:footnoteReference w:id="37"/>
      </w:r>
      <w:r>
        <w:rPr>
          <w:rFonts w:ascii="Times New Roman" w:hAnsi="Times New Roman"/>
          <w:noProof/>
          <w:sz w:val="24"/>
        </w:rPr>
        <w:t xml:space="preserve"> sur </w:t>
      </w:r>
      <w:r>
        <w:rPr>
          <w:rFonts w:ascii="Times New Roman" w:hAnsi="Times New Roman"/>
          <w:b/>
          <w:noProof/>
          <w:sz w:val="24"/>
        </w:rPr>
        <w:t>la révision des services de médias audiovisuels (directive SMA)</w:t>
      </w:r>
      <w:r>
        <w:rPr>
          <w:rFonts w:ascii="Times New Roman" w:hAnsi="Times New Roman"/>
          <w:noProof/>
          <w:sz w:val="24"/>
        </w:rPr>
        <w:t>, déposée en mai 2016, renforce la lutte contre les discours de haine. Elle a pour objectif d’harmoniser la directive av</w:t>
      </w:r>
      <w:r>
        <w:rPr>
          <w:rFonts w:ascii="Times New Roman" w:hAnsi="Times New Roman"/>
          <w:noProof/>
          <w:sz w:val="24"/>
        </w:rPr>
        <w:t>ec la décision-cadre sur la lutte contre certaines formes et manifestations de racisme et de xénophobie</w:t>
      </w:r>
      <w:r>
        <w:rPr>
          <w:rStyle w:val="FootnoteReference"/>
          <w:rFonts w:ascii="Times New Roman" w:hAnsi="Times New Roman"/>
          <w:noProof/>
          <w:sz w:val="24"/>
        </w:rPr>
        <w:footnoteReference w:id="38"/>
      </w:r>
      <w:r>
        <w:rPr>
          <w:rFonts w:ascii="Times New Roman" w:hAnsi="Times New Roman"/>
          <w:noProof/>
          <w:sz w:val="24"/>
        </w:rPr>
        <w:t xml:space="preserve"> et la Charte des droits fondamentaux. Elle prévoit également l’obligation, pour les États membres, de veiller à ce que les plateformes de partage de vi</w:t>
      </w:r>
      <w:r>
        <w:rPr>
          <w:rFonts w:ascii="Times New Roman" w:hAnsi="Times New Roman"/>
          <w:noProof/>
          <w:sz w:val="24"/>
        </w:rPr>
        <w:t>déos appliquent des mesures propres à protéger adéquatement tous les citoyens de l’incitation à la violence ou à la haine. Ces mesures consistent, par exemple, à mettre en place des mécanismes permettant d’indiquer et de signaler les contenus illicites.</w:t>
      </w:r>
    </w:p>
    <w:p w:rsidR="00A66D64" w:rsidRDefault="00B30B4E">
      <w:pPr>
        <w:spacing w:before="120" w:after="120" w:line="240" w:lineRule="auto"/>
        <w:jc w:val="both"/>
        <w:rPr>
          <w:rFonts w:ascii="Times New Roman" w:eastAsia="Calibri" w:hAnsi="Times New Roman" w:cs="Times New Roman"/>
          <w:b/>
          <w:noProof/>
          <w:sz w:val="24"/>
          <w:szCs w:val="24"/>
        </w:rPr>
      </w:pPr>
      <w:r>
        <w:rPr>
          <w:rFonts w:ascii="Times New Roman" w:hAnsi="Times New Roman"/>
          <w:b/>
          <w:noProof/>
          <w:sz w:val="24"/>
        </w:rPr>
        <w:t>V.</w:t>
      </w:r>
      <w:r>
        <w:rPr>
          <w:noProof/>
        </w:rPr>
        <w:tab/>
      </w:r>
      <w:r>
        <w:rPr>
          <w:rFonts w:ascii="Times New Roman" w:hAnsi="Times New Roman"/>
          <w:b/>
          <w:noProof/>
          <w:sz w:val="24"/>
        </w:rPr>
        <w:t>DIMENSION EXTÉRIEURE DE LA LUTTE CONTRE LE TERRORISME</w:t>
      </w:r>
    </w:p>
    <w:p w:rsidR="00A66D64" w:rsidRDefault="00B30B4E">
      <w:pPr>
        <w:spacing w:after="120" w:line="240" w:lineRule="auto"/>
        <w:jc w:val="both"/>
        <w:rPr>
          <w:rFonts w:ascii="Times New Roman" w:eastAsia="Times New Roman" w:hAnsi="Times New Roman" w:cs="Times New Roman"/>
          <w:i/>
          <w:iCs/>
          <w:noProof/>
          <w:sz w:val="24"/>
          <w:szCs w:val="24"/>
        </w:rPr>
      </w:pPr>
      <w:bookmarkStart w:id="5" w:name="_Toc162689693"/>
      <w:bookmarkStart w:id="6" w:name="_Toc199136210"/>
      <w:r>
        <w:rPr>
          <w:rFonts w:ascii="Times New Roman" w:hAnsi="Times New Roman"/>
          <w:i/>
          <w:noProof/>
          <w:sz w:val="24"/>
        </w:rPr>
        <w:t>1.</w:t>
      </w:r>
      <w:r>
        <w:rPr>
          <w:noProof/>
        </w:rPr>
        <w:tab/>
      </w:r>
      <w:r>
        <w:rPr>
          <w:rFonts w:ascii="Times New Roman" w:hAnsi="Times New Roman"/>
          <w:i/>
          <w:noProof/>
          <w:sz w:val="24"/>
        </w:rPr>
        <w:t xml:space="preserve">Action extérieure de l'UE en matière de lutte contre le terrorisme </w:t>
      </w:r>
    </w:p>
    <w:bookmarkEnd w:id="5"/>
    <w:bookmarkEnd w:id="6"/>
    <w:p w:rsidR="00A66D64" w:rsidRDefault="00B30B4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L’action extérieure en matière de lutte contre le terrorisme contribue à l’objectif prioritaire du renforcement de la sécurité intérieure de l’Union. Il convient en conséquence de renforcer encore le lien, sur le plan stratégique et politique, entre la séc</w:t>
      </w:r>
      <w:r>
        <w:rPr>
          <w:rFonts w:ascii="Times New Roman" w:hAnsi="Times New Roman"/>
          <w:noProof/>
          <w:sz w:val="24"/>
        </w:rPr>
        <w:t xml:space="preserve">urité intérieure et extérieure de l’UE, afin d’accroître l’efficacité des actions de lutte contre le terrorisme dans tous les domaines. </w:t>
      </w:r>
    </w:p>
    <w:p w:rsidR="00A66D64" w:rsidRDefault="00B30B4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Commission soutien un large éventail d’actions extérieures visant à renforcer la sécurité, moyennant un financement </w:t>
      </w:r>
      <w:r>
        <w:rPr>
          <w:rFonts w:ascii="Times New Roman" w:hAnsi="Times New Roman"/>
          <w:noProof/>
          <w:sz w:val="24"/>
        </w:rPr>
        <w:t>de 2,3 milliards d'EUR, débloqués pour plus de 600 projets en cours depuis le 1</w:t>
      </w:r>
      <w:r>
        <w:rPr>
          <w:rFonts w:ascii="Times New Roman" w:hAnsi="Times New Roman"/>
          <w:noProof/>
          <w:sz w:val="24"/>
          <w:vertAlign w:val="superscript"/>
        </w:rPr>
        <w:t>er</w:t>
      </w:r>
      <w:r>
        <w:rPr>
          <w:rFonts w:ascii="Times New Roman" w:hAnsi="Times New Roman"/>
          <w:noProof/>
          <w:sz w:val="24"/>
        </w:rPr>
        <w:t xml:space="preserve"> janvier 2017. Un certain nombre d’activités sont axées sur la sécurité (à savoir les actions spécifiques concernant le financement du terrorisme, la lutte contre la radicalis</w:t>
      </w:r>
      <w:r>
        <w:rPr>
          <w:rFonts w:ascii="Times New Roman" w:hAnsi="Times New Roman"/>
          <w:noProof/>
          <w:sz w:val="24"/>
        </w:rPr>
        <w:t>ation, les frontières, les prisons), d’autres présentent un intérêt pour la sécurité (comme les programmes qui s’attaquent aux causes profondes de l'insécurité et aux griefs en contribuant à améliorer l’éducation, l’accès aux ressources naturelles et à l’é</w:t>
      </w:r>
      <w:r>
        <w:rPr>
          <w:rFonts w:ascii="Times New Roman" w:hAnsi="Times New Roman"/>
          <w:noProof/>
          <w:sz w:val="24"/>
        </w:rPr>
        <w:t>nergie, la gouvernance et le secteur de la sécurité ainsi que l’aide à la société civile).</w:t>
      </w:r>
    </w:p>
    <w:p w:rsidR="00A66D64" w:rsidRDefault="00B30B4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 Conseil des affaires étrangères du 19 juin 2017 a renouvelé l’orientation stratégique de ces domaines en adoptant un ensemble complet de </w:t>
      </w:r>
      <w:r>
        <w:rPr>
          <w:rFonts w:ascii="Times New Roman" w:hAnsi="Times New Roman"/>
          <w:b/>
          <w:noProof/>
          <w:sz w:val="24"/>
        </w:rPr>
        <w:t>conclusions du Conseil su</w:t>
      </w:r>
      <w:r>
        <w:rPr>
          <w:rFonts w:ascii="Times New Roman" w:hAnsi="Times New Roman"/>
          <w:b/>
          <w:noProof/>
          <w:sz w:val="24"/>
        </w:rPr>
        <w:t>r l'action extérieure de l'UE en matière de lutte contre le terrorisme</w:t>
      </w:r>
      <w:r>
        <w:rPr>
          <w:rStyle w:val="FootnoteReference"/>
          <w:rFonts w:ascii="Times New Roman" w:hAnsi="Times New Roman"/>
          <w:b/>
          <w:noProof/>
          <w:sz w:val="24"/>
        </w:rPr>
        <w:footnoteReference w:id="39"/>
      </w:r>
      <w:r>
        <w:rPr>
          <w:rFonts w:ascii="Times New Roman" w:hAnsi="Times New Roman"/>
          <w:noProof/>
          <w:sz w:val="24"/>
        </w:rPr>
        <w:t>. La haute représentante et la Commission européenne collaboreront si nécessaire à la mise en œuvre fructueuse de ces conclusions. Afin d’assurer une mise en œuvre complète des conclusi</w:t>
      </w:r>
      <w:r>
        <w:rPr>
          <w:rFonts w:ascii="Times New Roman" w:hAnsi="Times New Roman"/>
          <w:noProof/>
          <w:sz w:val="24"/>
        </w:rPr>
        <w:t xml:space="preserve">ons et de faire rapport au Conseil d’ici à juin 2018, un processus de coordination entre le Service européen pour l’action extérieure et la Commission européenne a été mis en place. La priorité sera donnée aux volets suivants:  </w:t>
      </w:r>
    </w:p>
    <w:p w:rsidR="00A66D64" w:rsidRDefault="00B30B4E">
      <w:pPr>
        <w:pStyle w:val="ListParagraph"/>
        <w:numPr>
          <w:ilvl w:val="0"/>
          <w:numId w:val="17"/>
        </w:numPr>
        <w:spacing w:after="240" w:line="240" w:lineRule="auto"/>
        <w:jc w:val="both"/>
        <w:rPr>
          <w:rFonts w:ascii="Times New Roman" w:eastAsia="Times New Roman" w:hAnsi="Times New Roman" w:cs="Times New Roman"/>
          <w:noProof/>
          <w:sz w:val="24"/>
          <w:szCs w:val="24"/>
        </w:rPr>
      </w:pPr>
      <w:r>
        <w:rPr>
          <w:rFonts w:ascii="Times New Roman" w:hAnsi="Times New Roman"/>
          <w:b/>
          <w:noProof/>
          <w:sz w:val="24"/>
        </w:rPr>
        <w:t>Renforcer le réseau d'exper</w:t>
      </w:r>
      <w:r>
        <w:rPr>
          <w:rFonts w:ascii="Times New Roman" w:hAnsi="Times New Roman"/>
          <w:b/>
          <w:noProof/>
          <w:sz w:val="24"/>
        </w:rPr>
        <w:t>ts en matière de lutte contre le terrorisme dans les délégations de l’UE</w:t>
      </w:r>
      <w:r>
        <w:rPr>
          <w:rFonts w:ascii="Times New Roman" w:hAnsi="Times New Roman"/>
          <w:noProof/>
          <w:sz w:val="24"/>
        </w:rPr>
        <w:t xml:space="preserve">: il convient d’accroître progressivement la participation des experts en matière de lutte contre le terrorisme à la programmation du soutien de l’UE et à la coordination locale de la </w:t>
      </w:r>
      <w:r>
        <w:rPr>
          <w:rFonts w:ascii="Times New Roman" w:hAnsi="Times New Roman"/>
          <w:noProof/>
          <w:sz w:val="24"/>
        </w:rPr>
        <w:t>coopération de chaque État membre avec nos partenaires. Afin de promouvoir ce rôle renforcé, la formation avant et pendant le déploiement de ces experts sera améliorée. Les missions qui leur seront confiées seront mieux ciblées, grâce à des lettres de miss</w:t>
      </w:r>
      <w:r>
        <w:rPr>
          <w:rFonts w:ascii="Times New Roman" w:hAnsi="Times New Roman"/>
          <w:noProof/>
          <w:sz w:val="24"/>
        </w:rPr>
        <w:t>ion spécifiques, et leurs relations avec les agences de l'UE chargées de la justice et des affaires intérieures seront plus régulières. Afin de couvrir l’ensemble des domaines hautement prioritaires, la portée du réseau des experts</w:t>
      </w:r>
      <w:r>
        <w:rPr>
          <w:rFonts w:ascii="Times New Roman" w:hAnsi="Times New Roman"/>
          <w:noProof/>
          <w:sz w:val="24"/>
          <w:vertAlign w:val="superscript"/>
        </w:rPr>
        <w:footnoteReference w:id="40"/>
      </w:r>
      <w:r>
        <w:rPr>
          <w:rFonts w:ascii="Times New Roman" w:hAnsi="Times New Roman"/>
          <w:noProof/>
          <w:sz w:val="24"/>
        </w:rPr>
        <w:t xml:space="preserve"> en matière de lutte con</w:t>
      </w:r>
      <w:r>
        <w:rPr>
          <w:rFonts w:ascii="Times New Roman" w:hAnsi="Times New Roman"/>
          <w:noProof/>
          <w:sz w:val="24"/>
        </w:rPr>
        <w:t>tre le terrorisme sera étendue à la Corne de l'Afrique et à l'Asie centrale et du Sud-Est.</w:t>
      </w:r>
    </w:p>
    <w:p w:rsidR="00A66D64" w:rsidRDefault="00B30B4E">
      <w:pPr>
        <w:pStyle w:val="ListParagraph"/>
        <w:numPr>
          <w:ilvl w:val="0"/>
          <w:numId w:val="17"/>
        </w:numPr>
        <w:spacing w:after="240" w:line="240" w:lineRule="auto"/>
        <w:jc w:val="both"/>
        <w:rPr>
          <w:rFonts w:ascii="Times New Roman" w:eastAsia="Times New Roman" w:hAnsi="Times New Roman" w:cs="Times New Roman"/>
          <w:noProof/>
          <w:sz w:val="24"/>
          <w:szCs w:val="24"/>
        </w:rPr>
      </w:pPr>
      <w:r>
        <w:rPr>
          <w:rFonts w:ascii="Times New Roman" w:hAnsi="Times New Roman"/>
          <w:b/>
          <w:noProof/>
          <w:sz w:val="24"/>
        </w:rPr>
        <w:t>Renforcer la coopération entre les missions et opérations relevant de la politique de sécurité et de défense commune et les agences de l'UE chargées de la justice et</w:t>
      </w:r>
      <w:r>
        <w:rPr>
          <w:rFonts w:ascii="Times New Roman" w:hAnsi="Times New Roman"/>
          <w:b/>
          <w:noProof/>
          <w:sz w:val="24"/>
        </w:rPr>
        <w:t xml:space="preserve"> des affaires intérieures</w:t>
      </w:r>
      <w:r>
        <w:rPr>
          <w:rFonts w:ascii="Times New Roman" w:hAnsi="Times New Roman"/>
          <w:noProof/>
          <w:sz w:val="24"/>
        </w:rPr>
        <w:t xml:space="preserve"> en ce qui concerne la collecte, l’analyse et l’échange d’informations, et explorer plus avant les moyens de resserrer les liens entre les acteurs militaires et les services répressifs aux fins de la lutte contre le terrorisme. Afi</w:t>
      </w:r>
      <w:r>
        <w:rPr>
          <w:rFonts w:ascii="Times New Roman" w:hAnsi="Times New Roman"/>
          <w:noProof/>
          <w:sz w:val="24"/>
        </w:rPr>
        <w:t>n de faciliter l’échange de données et d’informations entre la politique de sécurité et de défense commune et celle en matière de justice et d’affaires intérieures, il importera de promouvoir une révision de certains éléments des cadres règlementaires actu</w:t>
      </w:r>
      <w:r>
        <w:rPr>
          <w:rFonts w:ascii="Times New Roman" w:hAnsi="Times New Roman"/>
          <w:noProof/>
          <w:sz w:val="24"/>
        </w:rPr>
        <w:t>els et de piloter l’intégration des cellules de renseignement spécialisées en matière criminelle dans certaines opérations et missions relevant de la politique de sécurité et de défense commune. Il importera de faciliter et d’améliorer davantage les synerg</w:t>
      </w:r>
      <w:r>
        <w:rPr>
          <w:rFonts w:ascii="Times New Roman" w:hAnsi="Times New Roman"/>
          <w:noProof/>
          <w:sz w:val="24"/>
        </w:rPr>
        <w:t>ies avec les activités des agences de l'UE chargées de la justice et des affaires intérieures dans les pays tiers prioritaires, y compris, lorsque cela est possible, d’intensifier le partage d’informations entre les acteurs internes ou externes à l'UE.</w:t>
      </w:r>
    </w:p>
    <w:p w:rsidR="00A66D64" w:rsidRDefault="00B30B4E">
      <w:pPr>
        <w:pStyle w:val="ListParagraph"/>
        <w:numPr>
          <w:ilvl w:val="0"/>
          <w:numId w:val="17"/>
        </w:numPr>
        <w:spacing w:after="240" w:line="240" w:lineRule="auto"/>
        <w:ind w:left="714" w:hanging="357"/>
        <w:jc w:val="both"/>
        <w:rPr>
          <w:rFonts w:ascii="Times New Roman" w:eastAsia="Times New Roman" w:hAnsi="Times New Roman" w:cs="Times New Roman"/>
          <w:noProof/>
          <w:sz w:val="24"/>
          <w:szCs w:val="24"/>
        </w:rPr>
      </w:pPr>
      <w:r>
        <w:rPr>
          <w:rFonts w:ascii="Times New Roman" w:hAnsi="Times New Roman"/>
          <w:b/>
          <w:noProof/>
          <w:sz w:val="24"/>
        </w:rPr>
        <w:t>Ren</w:t>
      </w:r>
      <w:r>
        <w:rPr>
          <w:rFonts w:ascii="Times New Roman" w:hAnsi="Times New Roman"/>
          <w:b/>
          <w:noProof/>
          <w:sz w:val="24"/>
        </w:rPr>
        <w:t>forcer la coopération internationale dans le domaine de la lutte contre le terrorisme et de la prévention de l’extrémisme violent et de la lutte contre ce phénomène</w:t>
      </w:r>
      <w:r>
        <w:rPr>
          <w:noProof/>
        </w:rPr>
        <w:t xml:space="preserve"> </w:t>
      </w:r>
      <w:r>
        <w:rPr>
          <w:rFonts w:ascii="Times New Roman" w:hAnsi="Times New Roman"/>
          <w:noProof/>
          <w:sz w:val="24"/>
        </w:rPr>
        <w:t>avec des pays partenaires dans les Balkans occidentaux, le Moyen-Orient, l’Afrique du Nord,</w:t>
      </w:r>
      <w:r>
        <w:rPr>
          <w:rFonts w:ascii="Times New Roman" w:hAnsi="Times New Roman"/>
          <w:noProof/>
          <w:sz w:val="24"/>
        </w:rPr>
        <w:t xml:space="preserve"> la Turquie, les États du Golfe, le Sahel et la Corne de l’Afrique; avec des partenaires stratégiques de premier plan comme les États-Unis, le Canada et l'Australie; avec des partenaires régionaux et multilatéraux clés, dont les Nations unies, l'OTAN, le F</w:t>
      </w:r>
      <w:r>
        <w:rPr>
          <w:rFonts w:ascii="Times New Roman" w:hAnsi="Times New Roman"/>
          <w:noProof/>
          <w:sz w:val="24"/>
        </w:rPr>
        <w:t>orum mondial de lutte contre le terrorisme, le Groupe d'action financière, l'Union africaine, l’Association des nations de l’Asie du Sud-Est, le Conseil de coopération du Golfe, la Ligue des États arabes.</w:t>
      </w:r>
    </w:p>
    <w:p w:rsidR="00A66D64" w:rsidRDefault="00B30B4E">
      <w:pPr>
        <w:rPr>
          <w:rFonts w:ascii="Times New Roman" w:eastAsia="Times New Roman" w:hAnsi="Times New Roman" w:cs="Times New Roman"/>
          <w:i/>
          <w:iCs/>
          <w:noProof/>
          <w:sz w:val="24"/>
          <w:szCs w:val="24"/>
        </w:rPr>
      </w:pPr>
      <w:r>
        <w:rPr>
          <w:rFonts w:ascii="Times New Roman" w:hAnsi="Times New Roman"/>
          <w:i/>
          <w:noProof/>
          <w:sz w:val="24"/>
        </w:rPr>
        <w:t>2.</w:t>
      </w:r>
      <w:r>
        <w:rPr>
          <w:noProof/>
        </w:rPr>
        <w:tab/>
      </w:r>
      <w:r>
        <w:rPr>
          <w:rFonts w:ascii="Times New Roman" w:hAnsi="Times New Roman"/>
          <w:i/>
          <w:noProof/>
          <w:sz w:val="24"/>
        </w:rPr>
        <w:t>Convention du Conseil de l’Europe pour la préven</w:t>
      </w:r>
      <w:r>
        <w:rPr>
          <w:rFonts w:ascii="Times New Roman" w:hAnsi="Times New Roman"/>
          <w:i/>
          <w:noProof/>
          <w:sz w:val="24"/>
        </w:rPr>
        <w:t>tion du terrorisme</w:t>
      </w:r>
    </w:p>
    <w:p w:rsidR="00A66D64" w:rsidRDefault="00B30B4E">
      <w:pPr>
        <w:tabs>
          <w:tab w:val="left" w:pos="2160"/>
        </w:tabs>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Afin d’intensifier la coopération internationale en matière de lutte contre le terrorisme, la Commission avance, en même temps que le présent rapport, </w:t>
      </w:r>
      <w:r>
        <w:rPr>
          <w:rFonts w:ascii="Times New Roman" w:hAnsi="Times New Roman"/>
          <w:b/>
          <w:noProof/>
          <w:sz w:val="24"/>
        </w:rPr>
        <w:t>des propositions</w:t>
      </w:r>
      <w:r>
        <w:rPr>
          <w:rStyle w:val="FootnoteReference"/>
          <w:rFonts w:ascii="Times New Roman" w:hAnsi="Times New Roman"/>
          <w:noProof/>
          <w:sz w:val="24"/>
        </w:rPr>
        <w:footnoteReference w:id="41"/>
      </w:r>
      <w:r>
        <w:rPr>
          <w:rFonts w:ascii="Times New Roman" w:hAnsi="Times New Roman"/>
          <w:b/>
          <w:noProof/>
          <w:sz w:val="24"/>
        </w:rPr>
        <w:t xml:space="preserve"> de décisions du Conseil relatives à la conclusion de la convention d</w:t>
      </w:r>
      <w:r>
        <w:rPr>
          <w:rFonts w:ascii="Times New Roman" w:hAnsi="Times New Roman"/>
          <w:b/>
          <w:noProof/>
          <w:sz w:val="24"/>
        </w:rPr>
        <w:t>u Conseil de l’Europe pour la prévention du terrorisme et de son protocole additionnel</w:t>
      </w:r>
      <w:r>
        <w:rPr>
          <w:rFonts w:ascii="Times New Roman" w:hAnsi="Times New Roman"/>
          <w:noProof/>
          <w:sz w:val="24"/>
        </w:rPr>
        <w:t>. La convention</w:t>
      </w:r>
      <w:r>
        <w:rPr>
          <w:rStyle w:val="FootnoteReference"/>
          <w:rFonts w:ascii="Times New Roman" w:hAnsi="Times New Roman"/>
          <w:noProof/>
          <w:sz w:val="24"/>
        </w:rPr>
        <w:footnoteReference w:id="42"/>
      </w:r>
      <w:r>
        <w:rPr>
          <w:rFonts w:ascii="Times New Roman" w:hAnsi="Times New Roman"/>
          <w:noProof/>
          <w:sz w:val="24"/>
        </w:rPr>
        <w:t>, adoptée par le Conseil de l’Europe le 16 mai 2005, concerne l’incrimination des activités terroristes et des activités liées au terrorisme, la coopérati</w:t>
      </w:r>
      <w:r>
        <w:rPr>
          <w:rFonts w:ascii="Times New Roman" w:hAnsi="Times New Roman"/>
          <w:noProof/>
          <w:sz w:val="24"/>
        </w:rPr>
        <w:t>on internationale concernant ces infractions et la protection et le dédommagement des victimes du terrorisme ainsi que l’aide qui leur est apportée. La Convention est entrée en vigueur le 1</w:t>
      </w:r>
      <w:r>
        <w:rPr>
          <w:rFonts w:ascii="Times New Roman" w:hAnsi="Times New Roman"/>
          <w:noProof/>
          <w:sz w:val="24"/>
          <w:vertAlign w:val="superscript"/>
        </w:rPr>
        <w:t>er</w:t>
      </w:r>
      <w:r>
        <w:rPr>
          <w:rFonts w:ascii="Times New Roman" w:hAnsi="Times New Roman"/>
          <w:noProof/>
          <w:sz w:val="24"/>
        </w:rPr>
        <w:t xml:space="preserve"> juin 2007. Tous les États membres de l’UE l’ont signée et 23 Éta</w:t>
      </w:r>
      <w:r>
        <w:rPr>
          <w:rFonts w:ascii="Times New Roman" w:hAnsi="Times New Roman"/>
          <w:noProof/>
          <w:sz w:val="24"/>
        </w:rPr>
        <w:t>ts membres l’ont ratifiée. L’objectif du protocole additionnel</w:t>
      </w:r>
      <w:r>
        <w:rPr>
          <w:rStyle w:val="FootnoteReference"/>
          <w:rFonts w:ascii="Times New Roman" w:hAnsi="Times New Roman"/>
          <w:noProof/>
          <w:sz w:val="24"/>
        </w:rPr>
        <w:footnoteReference w:id="43"/>
      </w:r>
      <w:r>
        <w:rPr>
          <w:rFonts w:ascii="Times New Roman" w:hAnsi="Times New Roman"/>
          <w:noProof/>
          <w:sz w:val="24"/>
        </w:rPr>
        <w:t>, adopté par le Conseil le 18 mai 2015, est de compléter la convention par une série de dispositions visant à mettre en œuvre les aspects de droit pénal de la résolution 2178(2014) du Conseil d</w:t>
      </w:r>
      <w:r>
        <w:rPr>
          <w:rFonts w:ascii="Times New Roman" w:hAnsi="Times New Roman"/>
          <w:noProof/>
          <w:sz w:val="24"/>
        </w:rPr>
        <w:t>e sécurité de l’Organisation des Nations Unies</w:t>
      </w:r>
      <w:r>
        <w:rPr>
          <w:rStyle w:val="FootnoteReference"/>
          <w:rFonts w:ascii="Times New Roman" w:hAnsi="Times New Roman"/>
          <w:noProof/>
          <w:sz w:val="24"/>
        </w:rPr>
        <w:footnoteReference w:id="44"/>
      </w:r>
      <w:r>
        <w:rPr>
          <w:rFonts w:ascii="Times New Roman" w:hAnsi="Times New Roman"/>
          <w:noProof/>
          <w:sz w:val="24"/>
        </w:rPr>
        <w:t xml:space="preserve"> intitulée «Menaces contre la paix et la sécurité internationales résultant d’actes de terrorisme». Le protocole additionnel répond à cette résolution en promouvant, en ce qui concerne les infractions liées au</w:t>
      </w:r>
      <w:r>
        <w:rPr>
          <w:rFonts w:ascii="Times New Roman" w:hAnsi="Times New Roman"/>
          <w:noProof/>
          <w:sz w:val="24"/>
        </w:rPr>
        <w:t>x combattants terroristes étrangers, une interprétation et une réponse communes. Le protocole additionnel est entré en vigueur le 1</w:t>
      </w:r>
      <w:r>
        <w:rPr>
          <w:rFonts w:ascii="Times New Roman" w:hAnsi="Times New Roman"/>
          <w:noProof/>
          <w:sz w:val="24"/>
          <w:vertAlign w:val="superscript"/>
        </w:rPr>
        <w:t>er </w:t>
      </w:r>
      <w:r>
        <w:rPr>
          <w:rFonts w:ascii="Times New Roman" w:hAnsi="Times New Roman"/>
          <w:noProof/>
          <w:sz w:val="24"/>
        </w:rPr>
        <w:t>juillet 2017.</w:t>
      </w:r>
    </w:p>
    <w:p w:rsidR="00A66D64" w:rsidRDefault="00B30B4E">
      <w:pPr>
        <w:tabs>
          <w:tab w:val="left" w:pos="2160"/>
        </w:tabs>
        <w:spacing w:after="240" w:line="240" w:lineRule="auto"/>
        <w:jc w:val="both"/>
        <w:rPr>
          <w:rFonts w:ascii="Times New Roman" w:hAnsi="Times New Roman"/>
          <w:noProof/>
          <w:sz w:val="24"/>
        </w:rPr>
      </w:pPr>
      <w:r>
        <w:rPr>
          <w:rFonts w:ascii="Times New Roman" w:hAnsi="Times New Roman"/>
          <w:noProof/>
          <w:sz w:val="24"/>
        </w:rPr>
        <w:t>L’UE a signé la Convention et son protocole additionnel le 22 octobre 2015. L’Union ayant adopté un ensemble</w:t>
      </w:r>
      <w:r>
        <w:rPr>
          <w:rFonts w:ascii="Times New Roman" w:hAnsi="Times New Roman"/>
          <w:noProof/>
          <w:sz w:val="24"/>
        </w:rPr>
        <w:t xml:space="preserve"> complet d’instruments juridiques visant à lutter contre le terrorisme, et notamment la directive relative à la lutte contre le terrorisme</w:t>
      </w:r>
      <w:r>
        <w:rPr>
          <w:rStyle w:val="FootnoteReference"/>
          <w:rFonts w:ascii="Times New Roman" w:hAnsi="Times New Roman"/>
          <w:noProof/>
          <w:sz w:val="24"/>
        </w:rPr>
        <w:footnoteReference w:id="45"/>
      </w:r>
      <w:r>
        <w:rPr>
          <w:rFonts w:ascii="Times New Roman" w:hAnsi="Times New Roman"/>
          <w:noProof/>
          <w:sz w:val="24"/>
        </w:rPr>
        <w:t>, elle est désormais prête à mener à bien son engagement à devenir partie à la convention et à son protocole addition</w:t>
      </w:r>
      <w:r>
        <w:rPr>
          <w:rFonts w:ascii="Times New Roman" w:hAnsi="Times New Roman"/>
          <w:noProof/>
          <w:sz w:val="24"/>
        </w:rPr>
        <w:t>nel.</w:t>
      </w:r>
    </w:p>
    <w:p w:rsidR="00B30B4E" w:rsidRDefault="00B30B4E">
      <w:pPr>
        <w:tabs>
          <w:tab w:val="left" w:pos="2160"/>
        </w:tabs>
        <w:spacing w:after="240" w:line="240" w:lineRule="auto"/>
        <w:jc w:val="both"/>
        <w:rPr>
          <w:rFonts w:ascii="Times New Roman" w:eastAsia="Times New Roman" w:hAnsi="Times New Roman" w:cs="Times New Roman"/>
          <w:noProof/>
          <w:sz w:val="24"/>
          <w:szCs w:val="24"/>
        </w:rPr>
      </w:pPr>
    </w:p>
    <w:p w:rsidR="00A66D64" w:rsidRDefault="00B30B4E">
      <w:pPr>
        <w:spacing w:after="12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3.</w:t>
      </w:r>
      <w:r>
        <w:rPr>
          <w:noProof/>
        </w:rPr>
        <w:tab/>
      </w:r>
      <w:r>
        <w:rPr>
          <w:rFonts w:ascii="Times New Roman" w:hAnsi="Times New Roman"/>
          <w:i/>
          <w:noProof/>
          <w:sz w:val="24"/>
        </w:rPr>
        <w:t xml:space="preserve">Vers un accord révisé sur les données des dossiers passagers (PNR) avec le Canada </w:t>
      </w:r>
    </w:p>
    <w:p w:rsidR="00A66D64" w:rsidRDefault="00B30B4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Dans son avis du 26 juillet 2017</w:t>
      </w:r>
      <w:r>
        <w:rPr>
          <w:rStyle w:val="FootnoteReference"/>
          <w:rFonts w:ascii="Times New Roman" w:hAnsi="Times New Roman"/>
          <w:noProof/>
          <w:sz w:val="24"/>
        </w:rPr>
        <w:footnoteReference w:id="46"/>
      </w:r>
      <w:r>
        <w:rPr>
          <w:rFonts w:ascii="Times New Roman" w:hAnsi="Times New Roman"/>
          <w:noProof/>
          <w:sz w:val="24"/>
        </w:rPr>
        <w:t xml:space="preserve">, la Cour de justice de l’UE a déclaré que l’accord entre l’Union européenne et le Canada sur le transfert des données des dossiers </w:t>
      </w:r>
      <w:r>
        <w:rPr>
          <w:rFonts w:ascii="Times New Roman" w:hAnsi="Times New Roman"/>
          <w:noProof/>
          <w:sz w:val="24"/>
        </w:rPr>
        <w:t>passagers, signé le 25 juin 2014, ne pouvait pas être conclu sous sa forme actuelle en raison de l’incompatibilité de plusieurs de ses dispositions avec les droits fondamentaux reconnus par l’Union, notamment en ce qui concerne le droit à la protection des</w:t>
      </w:r>
      <w:r>
        <w:rPr>
          <w:rFonts w:ascii="Times New Roman" w:hAnsi="Times New Roman"/>
          <w:noProof/>
          <w:sz w:val="24"/>
        </w:rPr>
        <w:t xml:space="preserve"> données à caractère personnel. La Commission a pris contact avec les autorités canadiennes, y compris en marge de la réunion des ministres de l’Intérieur du G7 à Ischia, les 19 et 20 octobre 2017, afin de préparer les négociations à venir en vue de la rév</w:t>
      </w:r>
      <w:r>
        <w:rPr>
          <w:rFonts w:ascii="Times New Roman" w:hAnsi="Times New Roman"/>
          <w:noProof/>
          <w:sz w:val="24"/>
        </w:rPr>
        <w:t xml:space="preserve">ision du texte de l’accord. À cette fin, elle a soumis, parallèlement au présent rapport, une </w:t>
      </w:r>
      <w:r>
        <w:rPr>
          <w:rFonts w:ascii="Times New Roman" w:hAnsi="Times New Roman"/>
          <w:b/>
          <w:noProof/>
          <w:sz w:val="24"/>
        </w:rPr>
        <w:t>recommandation</w:t>
      </w:r>
      <w:r>
        <w:rPr>
          <w:rStyle w:val="FootnoteReference"/>
          <w:rFonts w:ascii="Times New Roman" w:hAnsi="Times New Roman"/>
          <w:noProof/>
          <w:sz w:val="24"/>
        </w:rPr>
        <w:footnoteReference w:id="47"/>
      </w:r>
      <w:r>
        <w:rPr>
          <w:rFonts w:ascii="Times New Roman" w:hAnsi="Times New Roman"/>
          <w:b/>
          <w:noProof/>
          <w:sz w:val="24"/>
        </w:rPr>
        <w:t xml:space="preserve"> au Conseil autorisant l’ouverture de négociations en vue de la conclusion d'un accord révisé</w:t>
      </w:r>
      <w:r>
        <w:rPr>
          <w:rFonts w:ascii="Times New Roman" w:hAnsi="Times New Roman"/>
          <w:noProof/>
          <w:sz w:val="24"/>
        </w:rPr>
        <w:t xml:space="preserve"> tenant compte de toutes les exigences formulées par l</w:t>
      </w:r>
      <w:r>
        <w:rPr>
          <w:rFonts w:ascii="Times New Roman" w:hAnsi="Times New Roman"/>
          <w:noProof/>
          <w:sz w:val="24"/>
        </w:rPr>
        <w:t>a Cour dans son avis. Le Conseil est invité à autoriser rapidement l’ouverture de ces négociations. L’utilisation des données PNR étant essentielle pour lutter contre le terrorisme et les formes graves de criminalité transnationale, la Commission prendra l</w:t>
      </w:r>
      <w:r>
        <w:rPr>
          <w:rFonts w:ascii="Times New Roman" w:hAnsi="Times New Roman"/>
          <w:noProof/>
          <w:sz w:val="24"/>
        </w:rPr>
        <w:t xml:space="preserve">es mesures nécessaires pour assurer la poursuite des transferts de données PNR au Canada dans le plein respect des droits fondamentaux conformément à l’avis de la Cour. </w:t>
      </w:r>
    </w:p>
    <w:p w:rsidR="00A66D64" w:rsidRDefault="00B30B4E">
      <w:pPr>
        <w:spacing w:after="240" w:line="240" w:lineRule="auto"/>
        <w:jc w:val="both"/>
        <w:rPr>
          <w:rFonts w:ascii="Times New Roman" w:hAnsi="Times New Roman" w:cs="Times New Roman"/>
          <w:noProof/>
          <w:sz w:val="24"/>
          <w:szCs w:val="24"/>
        </w:rPr>
      </w:pPr>
      <w:r>
        <w:rPr>
          <w:rFonts w:ascii="Times New Roman" w:hAnsi="Times New Roman"/>
          <w:noProof/>
          <w:sz w:val="24"/>
        </w:rPr>
        <w:t>Dans ce contexte, la Commission tient à souligner qu’elle continuera d’apporter son so</w:t>
      </w:r>
      <w:r>
        <w:rPr>
          <w:rFonts w:ascii="Times New Roman" w:hAnsi="Times New Roman"/>
          <w:noProof/>
          <w:sz w:val="24"/>
        </w:rPr>
        <w:t>utien aux États membres en vue de la mise en œuvre de la directive PNR de l’UE</w:t>
      </w:r>
      <w:r>
        <w:rPr>
          <w:rStyle w:val="FootnoteReference"/>
          <w:rFonts w:ascii="Times New Roman" w:hAnsi="Times New Roman"/>
          <w:noProof/>
          <w:sz w:val="24"/>
        </w:rPr>
        <w:footnoteReference w:id="48"/>
      </w:r>
      <w:r>
        <w:rPr>
          <w:rFonts w:ascii="Times New Roman" w:hAnsi="Times New Roman"/>
          <w:noProof/>
          <w:sz w:val="24"/>
        </w:rPr>
        <w:t>; les obligations découlant de la directive qui pèsent sur les États membres ne sont pas affectées par l’avis de la Cour.</w:t>
      </w:r>
    </w:p>
    <w:p w:rsidR="00A66D64" w:rsidRDefault="00B30B4E">
      <w:pPr>
        <w:spacing w:after="12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4.</w:t>
      </w:r>
      <w:r>
        <w:rPr>
          <w:noProof/>
        </w:rPr>
        <w:tab/>
      </w:r>
      <w:r>
        <w:rPr>
          <w:rFonts w:ascii="Times New Roman" w:hAnsi="Times New Roman"/>
          <w:i/>
          <w:noProof/>
          <w:sz w:val="24"/>
        </w:rPr>
        <w:t>Renforcer la coopération d’Europol avec les pays tie</w:t>
      </w:r>
      <w:r>
        <w:rPr>
          <w:rFonts w:ascii="Times New Roman" w:hAnsi="Times New Roman"/>
          <w:i/>
          <w:noProof/>
          <w:sz w:val="24"/>
        </w:rPr>
        <w:t>rs</w:t>
      </w:r>
    </w:p>
    <w:p w:rsidR="00A66D64" w:rsidRDefault="00B30B4E">
      <w:pPr>
        <w:spacing w:after="240" w:line="240" w:lineRule="auto"/>
        <w:jc w:val="both"/>
        <w:rPr>
          <w:rFonts w:ascii="Times New Roman" w:eastAsia="Times New Roman" w:hAnsi="Times New Roman" w:cs="Times New Roman"/>
          <w:iCs/>
          <w:noProof/>
          <w:sz w:val="24"/>
          <w:szCs w:val="24"/>
        </w:rPr>
      </w:pPr>
      <w:r>
        <w:rPr>
          <w:rFonts w:ascii="Times New Roman" w:hAnsi="Times New Roman"/>
          <w:noProof/>
          <w:sz w:val="24"/>
        </w:rPr>
        <w:t>La coopération avec les pays tiers est essentielle dans la lutte contre le terrorisme et la criminalité organisée, comme souligné par les conclusions de juin 2017 du Conseil sur l'action extérieure de l'UE en matière de lutte contre le terrorisme</w:t>
      </w:r>
      <w:r>
        <w:rPr>
          <w:rStyle w:val="FootnoteReference"/>
          <w:rFonts w:ascii="Times New Roman" w:hAnsi="Times New Roman"/>
          <w:noProof/>
          <w:sz w:val="24"/>
        </w:rPr>
        <w:footnoteReference w:id="49"/>
      </w:r>
      <w:r>
        <w:rPr>
          <w:rFonts w:ascii="Times New Roman" w:hAnsi="Times New Roman"/>
          <w:noProof/>
          <w:sz w:val="24"/>
        </w:rPr>
        <w:t xml:space="preserve"> et le</w:t>
      </w:r>
      <w:r>
        <w:rPr>
          <w:rFonts w:ascii="Times New Roman" w:hAnsi="Times New Roman"/>
          <w:noProof/>
          <w:sz w:val="24"/>
        </w:rPr>
        <w:t>s stratégies régionales pertinentes</w:t>
      </w:r>
      <w:r>
        <w:rPr>
          <w:rStyle w:val="FootnoteReference"/>
          <w:rFonts w:ascii="Times New Roman" w:hAnsi="Times New Roman"/>
          <w:noProof/>
          <w:sz w:val="24"/>
        </w:rPr>
        <w:footnoteReference w:id="50"/>
      </w:r>
      <w:r>
        <w:rPr>
          <w:noProof/>
        </w:rPr>
        <w:t>.</w:t>
      </w:r>
      <w:r>
        <w:rPr>
          <w:rFonts w:ascii="Times New Roman" w:hAnsi="Times New Roman"/>
          <w:noProof/>
          <w:sz w:val="24"/>
        </w:rPr>
        <w:t xml:space="preserve"> Avant l’entrée en vigueur du nouveau règlement Europol</w:t>
      </w:r>
      <w:r>
        <w:rPr>
          <w:rStyle w:val="FootnoteReference"/>
          <w:rFonts w:ascii="Times New Roman" w:hAnsi="Times New Roman"/>
          <w:noProof/>
          <w:sz w:val="24"/>
        </w:rPr>
        <w:footnoteReference w:id="51"/>
      </w:r>
      <w:r>
        <w:rPr>
          <w:rFonts w:ascii="Times New Roman" w:hAnsi="Times New Roman"/>
          <w:noProof/>
          <w:sz w:val="24"/>
        </w:rPr>
        <w:t xml:space="preserve"> le 1</w:t>
      </w:r>
      <w:r>
        <w:rPr>
          <w:rFonts w:ascii="Times New Roman" w:hAnsi="Times New Roman"/>
          <w:noProof/>
          <w:sz w:val="24"/>
          <w:vertAlign w:val="superscript"/>
        </w:rPr>
        <w:t>er</w:t>
      </w:r>
      <w:r>
        <w:rPr>
          <w:rFonts w:ascii="Times New Roman" w:hAnsi="Times New Roman"/>
          <w:noProof/>
          <w:sz w:val="24"/>
        </w:rPr>
        <w:t xml:space="preserve"> mai 2017, Europol avait conclu, en vertu de sa base juridique</w:t>
      </w:r>
      <w:r>
        <w:rPr>
          <w:rStyle w:val="FootnoteReference"/>
          <w:rFonts w:ascii="Times New Roman" w:hAnsi="Times New Roman"/>
          <w:noProof/>
          <w:sz w:val="24"/>
        </w:rPr>
        <w:footnoteReference w:id="52"/>
      </w:r>
      <w:r>
        <w:rPr>
          <w:rFonts w:ascii="Times New Roman" w:hAnsi="Times New Roman"/>
          <w:noProof/>
          <w:sz w:val="24"/>
        </w:rPr>
        <w:t xml:space="preserve"> antérieure, des accords avec certains pays tiers afin d’assurer un cadre de coopération en v</w:t>
      </w:r>
      <w:r>
        <w:rPr>
          <w:rFonts w:ascii="Times New Roman" w:hAnsi="Times New Roman"/>
          <w:noProof/>
          <w:sz w:val="24"/>
        </w:rPr>
        <w:t>ue de l’échange d’informations stratégiques et techniques. Certains de ces accords prévoient également la possibilité d’échanger des données à caractère personnel</w:t>
      </w:r>
      <w:r>
        <w:rPr>
          <w:rStyle w:val="FootnoteReference"/>
          <w:rFonts w:ascii="Times New Roman" w:hAnsi="Times New Roman"/>
          <w:noProof/>
          <w:sz w:val="24"/>
        </w:rPr>
        <w:footnoteReference w:id="53"/>
      </w:r>
      <w:r>
        <w:rPr>
          <w:rFonts w:ascii="Times New Roman" w:hAnsi="Times New Roman"/>
          <w:noProof/>
          <w:sz w:val="24"/>
        </w:rPr>
        <w:t xml:space="preserve"> et demeurent en vigueur.</w:t>
      </w:r>
    </w:p>
    <w:p w:rsidR="00A66D64" w:rsidRDefault="00B30B4E">
      <w:pPr>
        <w:spacing w:after="240" w:line="240" w:lineRule="auto"/>
        <w:jc w:val="both"/>
        <w:rPr>
          <w:rFonts w:ascii="Times New Roman" w:eastAsia="Times New Roman" w:hAnsi="Times New Roman" w:cs="Times New Roman"/>
          <w:iCs/>
          <w:noProof/>
          <w:sz w:val="24"/>
          <w:szCs w:val="24"/>
        </w:rPr>
      </w:pPr>
      <w:r>
        <w:rPr>
          <w:rFonts w:ascii="Times New Roman" w:hAnsi="Times New Roman"/>
          <w:noProof/>
          <w:sz w:val="24"/>
        </w:rPr>
        <w:t>Depuis le 1</w:t>
      </w:r>
      <w:r>
        <w:rPr>
          <w:rFonts w:ascii="Times New Roman" w:hAnsi="Times New Roman"/>
          <w:noProof/>
          <w:sz w:val="24"/>
          <w:vertAlign w:val="superscript"/>
        </w:rPr>
        <w:t>er</w:t>
      </w:r>
      <w:r>
        <w:rPr>
          <w:rFonts w:ascii="Times New Roman" w:hAnsi="Times New Roman"/>
          <w:noProof/>
          <w:sz w:val="24"/>
        </w:rPr>
        <w:t xml:space="preserve"> mai 2017, le nouveau </w:t>
      </w:r>
      <w:r>
        <w:rPr>
          <w:rFonts w:ascii="Times New Roman" w:hAnsi="Times New Roman"/>
          <w:b/>
          <w:noProof/>
          <w:sz w:val="24"/>
        </w:rPr>
        <w:t>règlement Europol</w:t>
      </w:r>
      <w:r>
        <w:rPr>
          <w:rFonts w:ascii="Times New Roman" w:hAnsi="Times New Roman"/>
          <w:noProof/>
          <w:sz w:val="24"/>
        </w:rPr>
        <w:t xml:space="preserve"> définit les rè</w:t>
      </w:r>
      <w:r>
        <w:rPr>
          <w:rFonts w:ascii="Times New Roman" w:hAnsi="Times New Roman"/>
          <w:noProof/>
          <w:sz w:val="24"/>
        </w:rPr>
        <w:t>gles qui régissent les relations extérieures d’Europol avec les pays tiers, notamment les conditions auxquelles sont soumis les échanges de données à caractère personnel avec les organes de l’Union, les pays tiers et les organisations internationales. Conf</w:t>
      </w:r>
      <w:r>
        <w:rPr>
          <w:rFonts w:ascii="Times New Roman" w:hAnsi="Times New Roman"/>
          <w:noProof/>
          <w:sz w:val="24"/>
        </w:rPr>
        <w:t>ormément au traité et au règlement, la Commission est autorisée à négocier, au nom de l’Union, des accords internationaux avec des pays tiers en vue de l’échange de données à caractère personnel avec Europol</w:t>
      </w:r>
      <w:r>
        <w:rPr>
          <w:rStyle w:val="FootnoteReference"/>
          <w:rFonts w:ascii="Times New Roman" w:hAnsi="Times New Roman"/>
          <w:noProof/>
          <w:sz w:val="24"/>
        </w:rPr>
        <w:footnoteReference w:id="54"/>
      </w:r>
      <w:r>
        <w:rPr>
          <w:noProof/>
        </w:rPr>
        <w:t>.</w:t>
      </w:r>
      <w:r>
        <w:rPr>
          <w:rFonts w:ascii="Times New Roman" w:hAnsi="Times New Roman"/>
          <w:noProof/>
          <w:sz w:val="24"/>
        </w:rPr>
        <w:t xml:space="preserve"> Dans la mesure où cela est nécessaire à l'accomplissement de ses missions, Europol peut établir et entretenir des relations de coopération avec des partenaires extérieurs au moyen d'arrangements de travail et d'arrangements administratifs qui ne permetten</w:t>
      </w:r>
      <w:r>
        <w:rPr>
          <w:rFonts w:ascii="Times New Roman" w:hAnsi="Times New Roman"/>
          <w:noProof/>
          <w:sz w:val="24"/>
        </w:rPr>
        <w:t>t pas l’échange de données à caractère personnel.</w:t>
      </w:r>
    </w:p>
    <w:p w:rsidR="00A66D64" w:rsidRDefault="00B30B4E">
      <w:pPr>
        <w:spacing w:after="240" w:line="240" w:lineRule="auto"/>
        <w:jc w:val="both"/>
        <w:rPr>
          <w:rFonts w:ascii="Times New Roman" w:eastAsia="Times New Roman" w:hAnsi="Times New Roman" w:cs="Times New Roman"/>
          <w:iCs/>
          <w:noProof/>
          <w:sz w:val="24"/>
          <w:szCs w:val="24"/>
        </w:rPr>
      </w:pPr>
      <w:r>
        <w:rPr>
          <w:rFonts w:ascii="Times New Roman" w:hAnsi="Times New Roman"/>
          <w:noProof/>
          <w:sz w:val="24"/>
        </w:rPr>
        <w:t xml:space="preserve">Eu égard aux besoins opérationnels de l’Union en ce qui concerne la coopération en matière de sécurité avec les pays tiers, et conformément au règlement Europol, </w:t>
      </w:r>
      <w:r>
        <w:rPr>
          <w:rFonts w:ascii="Times New Roman" w:hAnsi="Times New Roman"/>
          <w:b/>
          <w:noProof/>
          <w:sz w:val="24"/>
        </w:rPr>
        <w:t>la Commission présentera des recommandations</w:t>
      </w:r>
      <w:r>
        <w:rPr>
          <w:rFonts w:ascii="Times New Roman" w:hAnsi="Times New Roman"/>
          <w:b/>
          <w:noProof/>
          <w:sz w:val="24"/>
        </w:rPr>
        <w:t xml:space="preserve"> au Conseil avant la fin de l’année</w:t>
      </w:r>
      <w:r>
        <w:rPr>
          <w:rFonts w:ascii="Times New Roman" w:hAnsi="Times New Roman"/>
          <w:noProof/>
          <w:sz w:val="24"/>
        </w:rPr>
        <w:t xml:space="preserve"> afin d’autoriser l’ouverture de négociations entre l’UE et l’Algérie, l'Égypte, Israël, la Jordanie, le Liban, le Maroc, la Tunisie et la Turquie, afin de fournir une base juridique au transfert de données à caractère pe</w:t>
      </w:r>
      <w:r>
        <w:rPr>
          <w:rFonts w:ascii="Times New Roman" w:hAnsi="Times New Roman"/>
          <w:noProof/>
          <w:sz w:val="24"/>
        </w:rPr>
        <w:t>rsonnel entre Europol et ces pays tiers</w:t>
      </w:r>
      <w:r>
        <w:rPr>
          <w:rStyle w:val="FootnoteReference"/>
          <w:rFonts w:ascii="Times New Roman" w:hAnsi="Times New Roman"/>
          <w:noProof/>
          <w:sz w:val="24"/>
        </w:rPr>
        <w:footnoteReference w:id="55"/>
      </w:r>
      <w:r>
        <w:rPr>
          <w:noProof/>
        </w:rPr>
        <w:t>.</w:t>
      </w:r>
      <w:r>
        <w:rPr>
          <w:rFonts w:ascii="Times New Roman" w:hAnsi="Times New Roman"/>
          <w:noProof/>
          <w:sz w:val="24"/>
        </w:rPr>
        <w:t xml:space="preserve"> De tels accords renforceront davantage les capacités d’Europol de nouer un dialogue avec les pays tiers afin de prévenir et de combattre les actes criminels qui relèvent des objectifs d’Europol.</w:t>
      </w:r>
    </w:p>
    <w:p w:rsidR="00A66D64" w:rsidRDefault="00B30B4E">
      <w:pPr>
        <w:spacing w:before="120" w:after="120" w:line="240" w:lineRule="auto"/>
        <w:jc w:val="both"/>
        <w:rPr>
          <w:rFonts w:ascii="Times New Roman" w:eastAsia="Calibri" w:hAnsi="Times New Roman" w:cs="Times New Roman"/>
          <w:b/>
          <w:noProof/>
          <w:sz w:val="24"/>
          <w:szCs w:val="24"/>
        </w:rPr>
      </w:pPr>
      <w:r>
        <w:rPr>
          <w:rFonts w:ascii="Times New Roman" w:hAnsi="Times New Roman"/>
          <w:b/>
          <w:noProof/>
          <w:sz w:val="24"/>
        </w:rPr>
        <w:t>VI.</w:t>
      </w:r>
      <w:r>
        <w:rPr>
          <w:noProof/>
        </w:rPr>
        <w:tab/>
      </w:r>
      <w:r>
        <w:rPr>
          <w:rFonts w:ascii="Times New Roman" w:hAnsi="Times New Roman"/>
          <w:b/>
          <w:noProof/>
          <w:sz w:val="24"/>
        </w:rPr>
        <w:t>CONCLUSIONS</w:t>
      </w:r>
    </w:p>
    <w:p w:rsidR="00A66D64" w:rsidRDefault="00B30B4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 </w:t>
      </w:r>
      <w:r>
        <w:rPr>
          <w:rFonts w:ascii="Times New Roman" w:hAnsi="Times New Roman"/>
          <w:noProof/>
          <w:sz w:val="24"/>
        </w:rPr>
        <w:t>présent rapport présente un train de mesures visant à lutter contre le terrorisme et à soutenir davantage les États membres face aux menaces pour la sécurité. La Commission encourage les États membres et le Conseil à mettre en œuvre ces mesures de façon pr</w:t>
      </w:r>
      <w:r>
        <w:rPr>
          <w:rFonts w:ascii="Times New Roman" w:hAnsi="Times New Roman"/>
          <w:noProof/>
          <w:sz w:val="24"/>
        </w:rPr>
        <w:t>ioritaire. Elle tiendra le Parlement européen et le Conseil informés des progrès réalisés.</w:t>
      </w:r>
    </w:p>
    <w:p w:rsidR="00A66D64" w:rsidRDefault="00B30B4E">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 prochain rapport sur les progrès accomplis dans la mise en place d’une union de la sécurité sera publié en décembre 2017 et mettra l'accent sur l’interopérabilité</w:t>
      </w:r>
      <w:r>
        <w:rPr>
          <w:rFonts w:ascii="Times New Roman" w:hAnsi="Times New Roman"/>
          <w:noProof/>
          <w:sz w:val="24"/>
        </w:rPr>
        <w:t xml:space="preserve"> des systèmes d’information de l’UE aux fins de la gestion de la sécurité, des frontières et des flux migratoires. Sur cette toile de fond, la Commission rappelle combien il est important de progresser sur les priorités législatives en ce qui concerne ces </w:t>
      </w:r>
      <w:r>
        <w:rPr>
          <w:rFonts w:ascii="Times New Roman" w:hAnsi="Times New Roman"/>
          <w:noProof/>
          <w:sz w:val="24"/>
        </w:rPr>
        <w:t>systèmes d’information.</w:t>
      </w:r>
    </w:p>
    <w:p w:rsidR="00A66D64" w:rsidRDefault="00A66D64">
      <w:pPr>
        <w:spacing w:after="240" w:line="240" w:lineRule="auto"/>
        <w:jc w:val="both"/>
        <w:rPr>
          <w:rFonts w:ascii="Times New Roman" w:eastAsia="Times New Roman" w:hAnsi="Times New Roman" w:cs="Times New Roman"/>
          <w:noProof/>
          <w:sz w:val="24"/>
          <w:szCs w:val="24"/>
        </w:rPr>
      </w:pPr>
    </w:p>
    <w:sectPr w:rsidR="00A66D64">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D64" w:rsidRDefault="00B30B4E">
      <w:pPr>
        <w:spacing w:after="0" w:line="240" w:lineRule="auto"/>
      </w:pPr>
      <w:r>
        <w:separator/>
      </w:r>
    </w:p>
  </w:endnote>
  <w:endnote w:type="continuationSeparator" w:id="0">
    <w:p w:rsidR="00A66D64" w:rsidRDefault="00B3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64" w:rsidRDefault="00A66D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64" w:rsidRDefault="00B30B4E">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proofErr w:type="spellStart"/>
    <w:r>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64" w:rsidRDefault="00A66D64">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64" w:rsidRDefault="00A66D6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51580"/>
      <w:docPartObj>
        <w:docPartGallery w:val="Page Numbers (Bottom of Page)"/>
        <w:docPartUnique/>
      </w:docPartObj>
    </w:sdtPr>
    <w:sdtEndPr>
      <w:rPr>
        <w:noProof/>
      </w:rPr>
    </w:sdtEndPr>
    <w:sdtContent>
      <w:p w:rsidR="00A66D64" w:rsidRDefault="00B30B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66D64" w:rsidRDefault="00A66D6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64" w:rsidRDefault="00A66D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D64" w:rsidRDefault="00B30B4E">
      <w:pPr>
        <w:spacing w:after="0" w:line="240" w:lineRule="auto"/>
      </w:pPr>
      <w:r>
        <w:separator/>
      </w:r>
    </w:p>
  </w:footnote>
  <w:footnote w:type="continuationSeparator" w:id="0">
    <w:p w:rsidR="00A66D64" w:rsidRDefault="00B30B4E">
      <w:pPr>
        <w:spacing w:after="0" w:line="240" w:lineRule="auto"/>
      </w:pPr>
      <w:r>
        <w:continuationSeparator/>
      </w:r>
    </w:p>
  </w:footnote>
  <w:footnote w:id="1">
    <w:p w:rsidR="00A66D64" w:rsidRDefault="00B30B4E">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
        <w:r>
          <w:rPr>
            <w:rStyle w:val="Hyperlink"/>
            <w:rFonts w:ascii="Times New Roman" w:hAnsi="Times New Roman"/>
          </w:rPr>
          <w:t>http://europa.eu/rapid/press-release_SPEECH-17-3165_fr.htm</w:t>
        </w:r>
      </w:hyperlink>
      <w:r>
        <w:rPr>
          <w:rFonts w:ascii="Times New Roman" w:hAnsi="Times New Roman"/>
        </w:rPr>
        <w:t>.</w:t>
      </w:r>
    </w:p>
  </w:footnote>
  <w:footnote w:id="2">
    <w:p w:rsidR="00A66D64" w:rsidRDefault="00B30B4E">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2">
        <w:r>
          <w:rPr>
            <w:rStyle w:val="Hyperlink"/>
            <w:rFonts w:ascii="Times New Roman" w:hAnsi="Times New Roman"/>
          </w:rPr>
          <w:t>https://ec.europa.eu/commission/sites/beta-political/files/letter-of-intent-2017_fr.pdf</w:t>
        </w:r>
      </w:hyperlink>
      <w:r>
        <w:rPr>
          <w:rFonts w:ascii="Times New Roman" w:hAnsi="Times New Roman"/>
        </w:rPr>
        <w:t xml:space="preserve">. </w:t>
      </w:r>
    </w:p>
  </w:footnote>
  <w:footnote w:id="3">
    <w:p w:rsidR="00A66D64" w:rsidRDefault="00B30B4E">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COM(2017) 612 </w:t>
      </w:r>
      <w:proofErr w:type="gramStart"/>
      <w:r>
        <w:rPr>
          <w:rFonts w:ascii="Times New Roman" w:hAnsi="Times New Roman"/>
        </w:rPr>
        <w:t>final</w:t>
      </w:r>
      <w:proofErr w:type="gramEnd"/>
      <w:r>
        <w:rPr>
          <w:rFonts w:ascii="Times New Roman" w:hAnsi="Times New Roman"/>
        </w:rPr>
        <w:t xml:space="preserve"> du 18.10.2017.</w:t>
      </w:r>
    </w:p>
  </w:footnote>
  <w:footnote w:id="4">
    <w:p w:rsidR="00A66D64" w:rsidRDefault="00B30B4E">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 déclaration de N</w:t>
      </w:r>
      <w:r>
        <w:rPr>
          <w:rFonts w:ascii="Times New Roman" w:hAnsi="Times New Roman"/>
        </w:rPr>
        <w:t>ice a été adoptée lors d’une conférence des maires de la région euro-méditerranéenne à Nice le 29 septembre 2017, organisée à l’initiative du maire de la ville de Nice, et avec la participation de la Commission, afin d’échanger entre les villes, les niveau</w:t>
      </w:r>
      <w:r>
        <w:rPr>
          <w:rFonts w:ascii="Times New Roman" w:hAnsi="Times New Roman"/>
        </w:rPr>
        <w:t xml:space="preserve">x local et régional les meilleures pratiques en matière de prévention de la radicalisation et de protection des espaces publics: </w:t>
      </w:r>
      <w:hyperlink r:id="rId3">
        <w:r>
          <w:rPr>
            <w:rStyle w:val="Hyperlink"/>
            <w:rFonts w:ascii="Times New Roman" w:hAnsi="Times New Roman"/>
          </w:rPr>
          <w:t>http://www.nice.fr/uploads/media/default/0001/15/</w:t>
        </w:r>
        <w:r>
          <w:rPr>
            <w:rStyle w:val="Hyperlink"/>
            <w:rFonts w:ascii="Times New Roman" w:hAnsi="Times New Roman" w:cs="Times New Roman"/>
          </w:rPr>
          <w:br/>
        </w:r>
        <w:r>
          <w:rPr>
            <w:rStyle w:val="Hyperlink"/>
            <w:rFonts w:ascii="Times New Roman" w:hAnsi="Times New Roman"/>
          </w:rPr>
          <w:t>https://www.nice.fr/uploads/media/default/0001/15/TERRORISME%20EUROPE%20Déclaration%20-%20der%20version.pdf</w:t>
        </w:r>
      </w:hyperlink>
      <w:r>
        <w:rPr>
          <w:rFonts w:ascii="Times New Roman" w:hAnsi="Times New Roman"/>
        </w:rPr>
        <w:t>.</w:t>
      </w:r>
    </w:p>
  </w:footnote>
  <w:footnote w:id="5">
    <w:p w:rsidR="00A66D64" w:rsidRDefault="00B30B4E">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Voir le neuvième rapport sur les progrès accomplis dans la mise en place d’une union de </w:t>
      </w:r>
      <w:r>
        <w:rPr>
          <w:rFonts w:ascii="Times New Roman" w:hAnsi="Times New Roman"/>
        </w:rPr>
        <w:t>la sécurité réelle et effective [COM(2017) 407 final du 26.7.2017] et le document de travail des services de la Commission joint en annexe [SWD(2017) 278 final].</w:t>
      </w:r>
    </w:p>
  </w:footnote>
  <w:footnote w:id="6">
    <w:p w:rsidR="00A66D64" w:rsidRDefault="00B30B4E">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 programme européen de protection des infrastructures critiques (EPCIP) fixe le cadre des</w:t>
      </w:r>
      <w:r>
        <w:rPr>
          <w:rFonts w:ascii="Times New Roman" w:hAnsi="Times New Roman"/>
        </w:rPr>
        <w:t xml:space="preserve"> actions de l’UE visant à améliorer la protection des infrastructures critiques en Europe – dans tous les États membres et dans tous les secteurs d’activité économique pertinents. L’un des fondements essentiels de ces actions est la directive de 2008 conce</w:t>
      </w:r>
      <w:r>
        <w:rPr>
          <w:rFonts w:ascii="Times New Roman" w:hAnsi="Times New Roman"/>
        </w:rPr>
        <w:t>rnant les infrastructures critiques européennes (directive 2008/114/CE du 8.12.2008).</w:t>
      </w:r>
    </w:p>
  </w:footnote>
  <w:footnote w:id="7">
    <w:p w:rsidR="00A66D64" w:rsidRDefault="00B30B4E">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Directive (UE) 114/680 du 8.12.2008.</w:t>
      </w:r>
    </w:p>
  </w:footnote>
  <w:footnote w:id="8">
    <w:p w:rsidR="00A66D64" w:rsidRDefault="00B30B4E">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Directive (UE) 2016/1148 du 6.7.2016.</w:t>
      </w:r>
    </w:p>
  </w:footnote>
  <w:footnote w:id="9">
    <w:p w:rsidR="00A66D64" w:rsidRDefault="00B30B4E">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le neuvième rapport sur les progrès accomplis dans la mise en place d’une union d</w:t>
      </w:r>
      <w:r>
        <w:rPr>
          <w:rFonts w:ascii="Times New Roman" w:hAnsi="Times New Roman"/>
        </w:rPr>
        <w:t>e la sécurité réelle et effective [COM(2017) 407 final du 26.7.2017] et le document de travail des services de la Commission joint en annexe [SWD(2017) 278 final].</w:t>
      </w:r>
    </w:p>
  </w:footnote>
  <w:footnote w:id="10">
    <w:p w:rsidR="00A66D64" w:rsidRDefault="00B30B4E">
      <w:pPr>
        <w:pStyle w:val="FootnoteText"/>
        <w:ind w:left="357" w:hanging="357"/>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COM(2017) 610 </w:t>
      </w:r>
      <w:proofErr w:type="gramStart"/>
      <w:r>
        <w:rPr>
          <w:rFonts w:ascii="Times New Roman" w:hAnsi="Times New Roman"/>
        </w:rPr>
        <w:t>final</w:t>
      </w:r>
      <w:proofErr w:type="gramEnd"/>
      <w:r>
        <w:rPr>
          <w:rFonts w:ascii="Times New Roman" w:hAnsi="Times New Roman"/>
        </w:rPr>
        <w:t xml:space="preserve"> du 18.10.2017.</w:t>
      </w:r>
    </w:p>
  </w:footnote>
  <w:footnote w:id="11">
    <w:p w:rsidR="00A66D64" w:rsidRDefault="00B30B4E">
      <w:pPr>
        <w:pStyle w:val="FootnoteText"/>
        <w:ind w:left="357" w:hanging="357"/>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Décision 1313/2013 du 17.12.2013.</w:t>
      </w:r>
    </w:p>
  </w:footnote>
  <w:footnote w:id="12">
    <w:p w:rsidR="00A66D64" w:rsidRDefault="00B30B4E">
      <w:pPr>
        <w:pStyle w:val="FootnoteText"/>
        <w:ind w:left="357" w:hanging="357"/>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Décision 1082/</w:t>
      </w:r>
      <w:r>
        <w:rPr>
          <w:rFonts w:ascii="Times New Roman" w:hAnsi="Times New Roman"/>
        </w:rPr>
        <w:t>2013/UE du 22.10.2013.</w:t>
      </w:r>
    </w:p>
  </w:footnote>
  <w:footnote w:id="13">
    <w:p w:rsidR="00A66D64" w:rsidRDefault="00B30B4E">
      <w:pPr>
        <w:pStyle w:val="FootnoteText"/>
        <w:ind w:left="357" w:hanging="357"/>
        <w:jc w:val="both"/>
        <w:rPr>
          <w:rFonts w:ascii="Times New Roman" w:eastAsia="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50 final du 2.2.2016;</w:t>
      </w:r>
    </w:p>
  </w:footnote>
  <w:footnote w:id="14">
    <w:p w:rsidR="00A66D64" w:rsidRDefault="00B30B4E">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COM(2016) 831 final du 21.12.2016; </w:t>
      </w:r>
    </w:p>
  </w:footnote>
  <w:footnote w:id="15">
    <w:p w:rsidR="00A66D64" w:rsidRDefault="00B30B4E">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Les cellules de renseignement financier ont été créées par la décision 2000/642/JAI du Conseil du 17 octobre 2000 et sont en outre régies par la </w:t>
      </w:r>
      <w:r>
        <w:rPr>
          <w:rFonts w:ascii="Times New Roman" w:hAnsi="Times New Roman"/>
        </w:rPr>
        <w:t>directive (UE) 2015/849 du 20 mai 2015 relative à la prévention de l’utilisation du système financier aux fins du blanchiment de capitaux et du financement du terrorisme. Ce sont des cellules indépendantes et autonomes sur le plan opérationnel, chargées de</w:t>
      </w:r>
      <w:r>
        <w:rPr>
          <w:rFonts w:ascii="Times New Roman" w:hAnsi="Times New Roman"/>
        </w:rPr>
        <w:t xml:space="preserve"> recevoir et d’analyser les déclarations de transactions suspectes ainsi que d’autres informations ayant trait au blanchiment de capitaux, aux infractions sous-jacentes associées ou au financement du terrorisme provenant d’entités pertinentes, et de commun</w:t>
      </w:r>
      <w:r>
        <w:rPr>
          <w:rFonts w:ascii="Times New Roman" w:hAnsi="Times New Roman"/>
        </w:rPr>
        <w:t>iquer aux autorités compétentes les conclusions de leur analyse ainsi que toute autre information utile.</w:t>
      </w:r>
    </w:p>
  </w:footnote>
  <w:footnote w:id="16">
    <w:p w:rsidR="00A66D64" w:rsidRDefault="00B30B4E">
      <w:pPr>
        <w:pStyle w:val="FootnoteText"/>
        <w:ind w:left="357" w:hanging="357"/>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SWD(2017) 275 final du 26.6.2017.</w:t>
      </w:r>
    </w:p>
  </w:footnote>
  <w:footnote w:id="17">
    <w:p w:rsidR="00A66D64" w:rsidRDefault="00B30B4E">
      <w:pPr>
        <w:pStyle w:val="FootnoteText"/>
        <w:ind w:left="357" w:hanging="357"/>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Directive (UE) 2015/849 du 20.5.2015.</w:t>
      </w:r>
    </w:p>
  </w:footnote>
  <w:footnote w:id="18">
    <w:p w:rsidR="00A66D64" w:rsidRDefault="00B30B4E">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proofErr w:type="gramStart"/>
      <w:r>
        <w:rPr>
          <w:rFonts w:ascii="Times New Roman" w:hAnsi="Times New Roman"/>
          <w:lang w:val="pt-PT"/>
        </w:rPr>
        <w:t>COM(2016</w:t>
      </w:r>
      <w:proofErr w:type="gramEnd"/>
      <w:r>
        <w:rPr>
          <w:rFonts w:ascii="Times New Roman" w:hAnsi="Times New Roman"/>
          <w:lang w:val="pt-PT"/>
        </w:rPr>
        <w:t xml:space="preserve">) 450 final </w:t>
      </w:r>
      <w:proofErr w:type="spellStart"/>
      <w:r>
        <w:rPr>
          <w:rFonts w:ascii="Times New Roman" w:hAnsi="Times New Roman"/>
          <w:lang w:val="pt-PT"/>
        </w:rPr>
        <w:t>du</w:t>
      </w:r>
      <w:proofErr w:type="spellEnd"/>
      <w:r>
        <w:rPr>
          <w:rFonts w:ascii="Times New Roman" w:hAnsi="Times New Roman"/>
          <w:lang w:val="pt-PT"/>
        </w:rPr>
        <w:t xml:space="preserve"> 5.7.2016.</w:t>
      </w:r>
    </w:p>
  </w:footnote>
  <w:footnote w:id="19">
    <w:p w:rsidR="00A66D64" w:rsidRDefault="00B30B4E">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proofErr w:type="gramStart"/>
      <w:r>
        <w:rPr>
          <w:rFonts w:ascii="Times New Roman" w:hAnsi="Times New Roman"/>
          <w:lang w:val="pt-PT"/>
        </w:rPr>
        <w:t>COM(2016</w:t>
      </w:r>
      <w:proofErr w:type="gramEnd"/>
      <w:r>
        <w:rPr>
          <w:rFonts w:ascii="Times New Roman" w:hAnsi="Times New Roman"/>
          <w:lang w:val="pt-PT"/>
        </w:rPr>
        <w:t xml:space="preserve">) 450 final </w:t>
      </w:r>
      <w:proofErr w:type="spellStart"/>
      <w:r>
        <w:rPr>
          <w:rFonts w:ascii="Times New Roman" w:hAnsi="Times New Roman"/>
          <w:lang w:val="pt-PT"/>
        </w:rPr>
        <w:t>du</w:t>
      </w:r>
      <w:proofErr w:type="spellEnd"/>
      <w:r>
        <w:rPr>
          <w:rFonts w:ascii="Times New Roman" w:hAnsi="Times New Roman"/>
          <w:lang w:val="pt-PT"/>
        </w:rPr>
        <w:t xml:space="preserve"> 5.7.2016.</w:t>
      </w:r>
    </w:p>
  </w:footnote>
  <w:footnote w:id="20">
    <w:p w:rsidR="00A66D64" w:rsidRDefault="00B30B4E">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fldChar w:fldCharType="begin"/>
      </w:r>
      <w:r w:rsidRPr="00B30B4E">
        <w:rPr>
          <w:lang w:val="pt-PT"/>
        </w:rPr>
        <w:instrText xml:space="preserve"> HYPERLINK "http://ec.europa.eu/info/law/better-regulation/initiatives/Ares-2017-3971182" \h </w:instrText>
      </w:r>
      <w:r>
        <w:fldChar w:fldCharType="separate"/>
      </w:r>
      <w:r>
        <w:rPr>
          <w:rStyle w:val="Hyperlink"/>
          <w:rFonts w:ascii="Times New Roman" w:hAnsi="Times New Roman"/>
          <w:lang w:val="pt-PT"/>
        </w:rPr>
        <w:t>http://ec.europa.eu/info/law/better-regulation/initiatives/Ares-2017-3971182</w:t>
      </w:r>
      <w:r>
        <w:rPr>
          <w:rStyle w:val="Hyperlink"/>
          <w:rFonts w:ascii="Times New Roman" w:hAnsi="Times New Roman"/>
          <w:lang w:val="pt-PT"/>
        </w:rPr>
        <w:fldChar w:fldCharType="end"/>
      </w:r>
      <w:r>
        <w:rPr>
          <w:rFonts w:ascii="Times New Roman" w:hAnsi="Times New Roman"/>
          <w:lang w:val="pt-PT"/>
        </w:rPr>
        <w:t>.</w:t>
      </w:r>
    </w:p>
  </w:footnote>
  <w:footnote w:id="21">
    <w:p w:rsidR="00A66D64" w:rsidRDefault="00B30B4E">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La décision-cadre 2006/960/JAI du Conseil (l’«initiative suédoise») prévoit </w:t>
      </w:r>
      <w:r>
        <w:rPr>
          <w:rFonts w:ascii="Times New Roman" w:hAnsi="Times New Roman"/>
        </w:rPr>
        <w:t>que les autorités répressives répondent aux demandes étrangères dans les délais suivants: huit heures dans les cas urgents, lorsque les informations ou les renseignements demandés figurent dans une base de données à laquelle un service répressif peut avoir</w:t>
      </w:r>
      <w:r>
        <w:rPr>
          <w:rFonts w:ascii="Times New Roman" w:hAnsi="Times New Roman"/>
        </w:rPr>
        <w:t xml:space="preserve"> directement accès; et des délais les plus longs lorsque les informations ou les renseignements demandés ne figurent pas dans une base de données directement accessible.</w:t>
      </w:r>
    </w:p>
  </w:footnote>
  <w:footnote w:id="22">
    <w:p w:rsidR="00A66D64" w:rsidRDefault="00B30B4E">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Directive (UE) 2014/41 du 3.4.2014.</w:t>
      </w:r>
    </w:p>
  </w:footnote>
  <w:footnote w:id="23">
    <w:p w:rsidR="00A66D64" w:rsidRDefault="00B30B4E">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Règlement (UE) n° 98/2013 du 15.1.2013.</w:t>
      </w:r>
    </w:p>
  </w:footnote>
  <w:footnote w:id="24">
    <w:p w:rsidR="00A66D64" w:rsidRDefault="00B30B4E">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w:t>
      </w:r>
      <w:r>
        <w:rPr>
          <w:rFonts w:ascii="Times New Roman" w:hAnsi="Times New Roman"/>
        </w:rPr>
        <w:t xml:space="preserve">OM(2017) 103 </w:t>
      </w:r>
      <w:proofErr w:type="gramStart"/>
      <w:r>
        <w:rPr>
          <w:rFonts w:ascii="Times New Roman" w:hAnsi="Times New Roman"/>
        </w:rPr>
        <w:t>final</w:t>
      </w:r>
      <w:proofErr w:type="gramEnd"/>
      <w:r>
        <w:rPr>
          <w:rFonts w:ascii="Times New Roman" w:hAnsi="Times New Roman"/>
        </w:rPr>
        <w:t xml:space="preserve"> du 28.2.2017.</w:t>
      </w:r>
    </w:p>
  </w:footnote>
  <w:footnote w:id="25">
    <w:p w:rsidR="00A66D64" w:rsidRDefault="00B30B4E">
      <w:pPr>
        <w:spacing w:after="0" w:line="240" w:lineRule="auto"/>
        <w:ind w:left="357" w:hanging="35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Le 23 juin 2017, le ministère belge de l’intérieur a annoncé qu’il avait reçu, en l’espace d’une année, 30 signalements de ventes suspectes. De février à juin 2017, la France a reçu 11 signalements concernant, pour la </w:t>
      </w:r>
      <w:r>
        <w:rPr>
          <w:rFonts w:ascii="Times New Roman" w:hAnsi="Times New Roman"/>
          <w:sz w:val="20"/>
        </w:rPr>
        <w:t>plupart, du peroxyde d’hydrogène.</w:t>
      </w:r>
    </w:p>
  </w:footnote>
  <w:footnote w:id="26">
    <w:p w:rsidR="00A66D64" w:rsidRDefault="00B30B4E">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Rapport 2017 sur la situation et les tendances du terrorisme en Europe (rapport TE-SAT): </w:t>
      </w:r>
      <w:hyperlink r:id="rId4">
        <w:r>
          <w:rPr>
            <w:rStyle w:val="Hyperlink"/>
            <w:rFonts w:ascii="Times New Roman" w:hAnsi="Times New Roman"/>
          </w:rPr>
          <w:t>https://www.europol.europa.eu/activities-services/main-reports/eu-terrorism-situation-and-trend-report-te-sat-2017</w:t>
        </w:r>
      </w:hyperlink>
      <w:r>
        <w:rPr>
          <w:rFonts w:ascii="Times New Roman" w:hAnsi="Times New Roman"/>
        </w:rPr>
        <w:t>.</w:t>
      </w:r>
    </w:p>
  </w:footnote>
  <w:footnote w:id="27">
    <w:p w:rsidR="00A66D64" w:rsidRDefault="00B30B4E">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C(2017) 6950 final du 18.10.2017.</w:t>
      </w:r>
    </w:p>
  </w:footnote>
  <w:footnote w:id="28">
    <w:p w:rsidR="00A66D64" w:rsidRDefault="00B30B4E">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Article 32 du règlement (UE) n° 2016/679 du 27.4.2017.</w:t>
      </w:r>
    </w:p>
  </w:footnote>
  <w:footnote w:id="29">
    <w:p w:rsidR="00A66D64" w:rsidRDefault="00B30B4E">
      <w:pPr>
        <w:pStyle w:val="FootnoteText"/>
        <w:ind w:left="357" w:hanging="357"/>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le huitième rapport sur les progr</w:t>
      </w:r>
      <w:r>
        <w:rPr>
          <w:rFonts w:ascii="Times New Roman" w:hAnsi="Times New Roman"/>
        </w:rPr>
        <w:t>ès accomplis dans la mise en place d’une union de la sécurité réelle et effective [COM(2017) 354 final du 29.6.2017].</w:t>
      </w:r>
    </w:p>
  </w:footnote>
  <w:footnote w:id="30">
    <w:p w:rsidR="00A66D64" w:rsidRDefault="00B30B4E">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le huitième rapport sur les progrès accomplis dans la mise en place d’une union de la sécurité réelle et effective, [COM(2017) 354</w:t>
      </w:r>
      <w:r>
        <w:rPr>
          <w:rFonts w:ascii="Times New Roman" w:hAnsi="Times New Roman"/>
        </w:rPr>
        <w:t xml:space="preserve"> final du 29.7.2017].</w:t>
      </w:r>
    </w:p>
  </w:footnote>
  <w:footnote w:id="31">
    <w:p w:rsidR="00A66D64" w:rsidRDefault="00B30B4E">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Conclusions du Conseil de l'Union européenne et des États membres, réunis au sein du Conseil, sur le renforcement de la réponse pénale à la radicalisation conduisant au terrorisme et à l'extrémisme violent (14382/15).</w:t>
      </w:r>
    </w:p>
  </w:footnote>
  <w:footnote w:id="32">
    <w:p w:rsidR="00A66D64" w:rsidRDefault="00B30B4E">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5">
        <w:r>
          <w:rPr>
            <w:rStyle w:val="Hyperlink"/>
            <w:rFonts w:ascii="Times New Roman" w:hAnsi="Times New Roman"/>
          </w:rPr>
          <w:t>http://www.consilium.europa.eu/fr/meetings/european-council/2017/06/22-23-euco-conclusions_pdf/</w:t>
        </w:r>
      </w:hyperlink>
      <w:r>
        <w:rPr>
          <w:rFonts w:ascii="Times New Roman" w:hAnsi="Times New Roman"/>
        </w:rPr>
        <w:t>.</w:t>
      </w:r>
    </w:p>
  </w:footnote>
  <w:footnote w:id="33">
    <w:p w:rsidR="00A66D64" w:rsidRDefault="00B30B4E">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6">
        <w:r>
          <w:rPr>
            <w:rStyle w:val="Hyperlink"/>
            <w:rFonts w:ascii="Times New Roman" w:hAnsi="Times New Roman"/>
          </w:rPr>
          <w:t>http://www.consilium.europa.eu/fr/press/press-releases/2017/05/26-statement-fight-against-terrorism/</w:t>
        </w:r>
      </w:hyperlink>
      <w:r>
        <w:rPr>
          <w:rFonts w:ascii="Times New Roman" w:hAnsi="Times New Roman"/>
        </w:rPr>
        <w:t>.</w:t>
      </w:r>
    </w:p>
  </w:footnote>
  <w:footnote w:id="34">
    <w:p w:rsidR="00A66D64" w:rsidRDefault="00B30B4E">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7">
        <w:r>
          <w:rPr>
            <w:rStyle w:val="Hyperlink"/>
            <w:rFonts w:ascii="Times New Roman" w:hAnsi="Times New Roman"/>
          </w:rPr>
          <w:t>http://www.consilium.europa.eu/fr/press/press-releases/2017/07/07-g20-counter-terrorism/</w:t>
        </w:r>
      </w:hyperlink>
      <w:r>
        <w:rPr>
          <w:rFonts w:ascii="Times New Roman" w:hAnsi="Times New Roman"/>
        </w:rPr>
        <w:t>.</w:t>
      </w:r>
    </w:p>
  </w:footnote>
  <w:footnote w:id="35">
    <w:p w:rsidR="00A66D64" w:rsidRDefault="00B30B4E">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407 final du 26.7.2017;</w:t>
      </w:r>
    </w:p>
  </w:footnote>
  <w:footnote w:id="36">
    <w:p w:rsidR="00A66D64" w:rsidRDefault="00B30B4E">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Communication visant à lutter contre le contenu illicite en ligne intitulée «Pour une responsabilité</w:t>
      </w:r>
      <w:r>
        <w:rPr>
          <w:rFonts w:ascii="Times New Roman" w:hAnsi="Times New Roman"/>
        </w:rPr>
        <w:t xml:space="preserve"> accrue des plateformes en ligne» [COM(2017) 555 final du 28.9.2017].</w:t>
      </w:r>
    </w:p>
  </w:footnote>
  <w:footnote w:id="37">
    <w:p w:rsidR="00A66D64" w:rsidRDefault="00B30B4E">
      <w:pPr>
        <w:pStyle w:val="FootnoteText"/>
        <w:ind w:left="357" w:hanging="357"/>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COM(2016) 287 </w:t>
      </w:r>
      <w:proofErr w:type="gramStart"/>
      <w:r>
        <w:rPr>
          <w:rFonts w:ascii="Times New Roman" w:hAnsi="Times New Roman"/>
        </w:rPr>
        <w:t>final</w:t>
      </w:r>
      <w:proofErr w:type="gramEnd"/>
      <w:r>
        <w:rPr>
          <w:rFonts w:ascii="Times New Roman" w:hAnsi="Times New Roman"/>
        </w:rPr>
        <w:t xml:space="preserve"> du 25.5.2016.</w:t>
      </w:r>
    </w:p>
  </w:footnote>
  <w:footnote w:id="38">
    <w:p w:rsidR="00A66D64" w:rsidRDefault="00B30B4E">
      <w:pPr>
        <w:pStyle w:val="FootnoteText"/>
        <w:ind w:left="357" w:hanging="357"/>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Décision-cadre 2008/913/JAI du Conseil du 28.11.2008.</w:t>
      </w:r>
    </w:p>
  </w:footnote>
  <w:footnote w:id="39">
    <w:p w:rsidR="00A66D64" w:rsidRDefault="00B30B4E">
      <w:pPr>
        <w:pStyle w:val="FootnoteText"/>
        <w:ind w:left="357" w:hanging="357"/>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8">
        <w:r>
          <w:rPr>
            <w:rStyle w:val="Hyperlink"/>
            <w:rFonts w:ascii="Times New Roman" w:hAnsi="Times New Roman"/>
          </w:rPr>
          <w:t>http://www.consilium.europa.eu/fr/press/press-releases/2017/06/pdf/Read-the-full-text-of-the-Council-conclusions_pdf(4</w:t>
        </w:r>
        <w:r>
          <w:rPr>
            <w:rStyle w:val="Hyperlink"/>
            <w:rFonts w:ascii="Times New Roman" w:hAnsi="Times New Roman"/>
          </w:rPr>
          <w:t>)/</w:t>
        </w:r>
      </w:hyperlink>
      <w:r>
        <w:rPr>
          <w:rFonts w:ascii="Times New Roman" w:hAnsi="Times New Roman"/>
        </w:rPr>
        <w:t xml:space="preserve"> </w:t>
      </w:r>
    </w:p>
  </w:footnote>
  <w:footnote w:id="40">
    <w:p w:rsidR="00A66D64" w:rsidRDefault="00B30B4E">
      <w:pPr>
        <w:pStyle w:val="FootnoteText"/>
        <w:tabs>
          <w:tab w:val="left" w:pos="142"/>
        </w:tabs>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À ce jour, l’UE déploie les experts en matière de lutte contre le terrorisme dans ses délégations dans les pays suivants: Algérie, Bosnie-Herzégovine (avec un mandat régional pour les Balkans occidentaux), Tchad (Sahel), Iraq, Jordanie, Liban, Libye</w:t>
      </w:r>
      <w:r>
        <w:rPr>
          <w:rFonts w:ascii="Times New Roman" w:hAnsi="Times New Roman"/>
        </w:rPr>
        <w:t xml:space="preserve"> (siège à Tunis), Maroc, Nigéria, Pakistan, Arabie saoudite, Tunisie et Turquie. </w:t>
      </w:r>
    </w:p>
  </w:footnote>
  <w:footnote w:id="41">
    <w:p w:rsidR="00A66D64" w:rsidRDefault="00B30B4E">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proofErr w:type="gramStart"/>
      <w:r>
        <w:rPr>
          <w:rFonts w:ascii="Times New Roman" w:hAnsi="Times New Roman"/>
          <w:lang w:val="pt-PT"/>
        </w:rPr>
        <w:t>COM(2017</w:t>
      </w:r>
      <w:proofErr w:type="gramEnd"/>
      <w:r>
        <w:rPr>
          <w:rFonts w:ascii="Times New Roman" w:hAnsi="Times New Roman"/>
          <w:lang w:val="pt-PT"/>
        </w:rPr>
        <w:t xml:space="preserve">) 606 final </w:t>
      </w:r>
      <w:proofErr w:type="spellStart"/>
      <w:r>
        <w:rPr>
          <w:rFonts w:ascii="Times New Roman" w:hAnsi="Times New Roman"/>
          <w:lang w:val="pt-PT"/>
        </w:rPr>
        <w:t>du</w:t>
      </w:r>
      <w:proofErr w:type="spellEnd"/>
      <w:r>
        <w:rPr>
          <w:rFonts w:ascii="Times New Roman" w:hAnsi="Times New Roman"/>
          <w:lang w:val="pt-PT"/>
        </w:rPr>
        <w:t xml:space="preserve"> 18.10.2017 </w:t>
      </w:r>
      <w:proofErr w:type="spellStart"/>
      <w:r>
        <w:rPr>
          <w:rFonts w:ascii="Times New Roman" w:hAnsi="Times New Roman"/>
          <w:lang w:val="pt-PT"/>
        </w:rPr>
        <w:t>et</w:t>
      </w:r>
      <w:proofErr w:type="spellEnd"/>
      <w:r>
        <w:rPr>
          <w:rFonts w:ascii="Times New Roman" w:hAnsi="Times New Roman"/>
          <w:lang w:val="pt-PT"/>
        </w:rPr>
        <w:t xml:space="preserve"> COM(2017) 607 final </w:t>
      </w:r>
      <w:proofErr w:type="spellStart"/>
      <w:r>
        <w:rPr>
          <w:rFonts w:ascii="Times New Roman" w:hAnsi="Times New Roman"/>
          <w:lang w:val="pt-PT"/>
        </w:rPr>
        <w:t>du</w:t>
      </w:r>
      <w:proofErr w:type="spellEnd"/>
      <w:r>
        <w:rPr>
          <w:rFonts w:ascii="Times New Roman" w:hAnsi="Times New Roman"/>
          <w:lang w:val="pt-PT"/>
        </w:rPr>
        <w:t xml:space="preserve"> 18.10.2017.</w:t>
      </w:r>
    </w:p>
  </w:footnote>
  <w:footnote w:id="42">
    <w:p w:rsidR="00A66D64" w:rsidRDefault="00B30B4E">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9">
        <w:r>
          <w:rPr>
            <w:rStyle w:val="Hyperlink"/>
            <w:rFonts w:ascii="Times New Roman" w:hAnsi="Times New Roman"/>
            <w:lang w:val="pt-PT"/>
          </w:rPr>
          <w:t>https://rm.coe.int/168008371c</w:t>
        </w:r>
      </w:hyperlink>
      <w:r>
        <w:rPr>
          <w:rFonts w:ascii="Times New Roman" w:hAnsi="Times New Roman"/>
          <w:lang w:val="pt-PT"/>
        </w:rPr>
        <w:t>.</w:t>
      </w:r>
    </w:p>
  </w:footnote>
  <w:footnote w:id="43">
    <w:p w:rsidR="00A66D64" w:rsidRDefault="00B30B4E">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10">
        <w:r>
          <w:rPr>
            <w:rStyle w:val="Hyperlink"/>
            <w:rFonts w:ascii="Times New Roman" w:hAnsi="Times New Roman"/>
            <w:lang w:val="pt-PT"/>
          </w:rPr>
          <w:t>https://rm.coe.int/168047c5ea</w:t>
        </w:r>
      </w:hyperlink>
      <w:r>
        <w:rPr>
          <w:rFonts w:ascii="Times New Roman" w:hAnsi="Times New Roman"/>
          <w:lang w:val="pt-PT"/>
        </w:rPr>
        <w:t>.</w:t>
      </w:r>
    </w:p>
  </w:footnote>
  <w:footnote w:id="44">
    <w:p w:rsidR="00A66D64" w:rsidRDefault="00B30B4E">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11">
        <w:r>
          <w:rPr>
            <w:rStyle w:val="Hyperlink"/>
            <w:rFonts w:ascii="Times New Roman" w:hAnsi="Times New Roman"/>
            <w:lang w:val="pt-PT"/>
          </w:rPr>
          <w:t>http://www.un.org/en/sc/ctc/docs/2015/N1454799_FR.pdf</w:t>
        </w:r>
      </w:hyperlink>
      <w:r>
        <w:rPr>
          <w:rFonts w:ascii="Times New Roman" w:hAnsi="Times New Roman"/>
          <w:lang w:val="pt-PT"/>
        </w:rPr>
        <w:t>.</w:t>
      </w:r>
    </w:p>
  </w:footnote>
  <w:footnote w:id="45">
    <w:p w:rsidR="00A66D64" w:rsidRDefault="00B30B4E">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Directive (UE) 2017/541 du 15.3.2017.</w:t>
      </w:r>
    </w:p>
  </w:footnote>
  <w:footnote w:id="46">
    <w:p w:rsidR="00A66D64" w:rsidRDefault="00B30B4E">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Avi</w:t>
      </w:r>
      <w:r>
        <w:rPr>
          <w:rFonts w:ascii="Times New Roman" w:hAnsi="Times New Roman"/>
        </w:rPr>
        <w:t>s 1/15 du la Cour de justice du 26.7.2017.</w:t>
      </w:r>
    </w:p>
  </w:footnote>
  <w:footnote w:id="47">
    <w:p w:rsidR="00A66D64" w:rsidRDefault="00B30B4E">
      <w:pPr>
        <w:pStyle w:val="FootnoteText"/>
        <w:ind w:left="357" w:hanging="357"/>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COM(2017) 605 </w:t>
      </w:r>
      <w:proofErr w:type="gramStart"/>
      <w:r>
        <w:rPr>
          <w:rFonts w:ascii="Times New Roman" w:hAnsi="Times New Roman"/>
        </w:rPr>
        <w:t>final</w:t>
      </w:r>
      <w:proofErr w:type="gramEnd"/>
      <w:r>
        <w:rPr>
          <w:rFonts w:ascii="Times New Roman" w:hAnsi="Times New Roman"/>
        </w:rPr>
        <w:t xml:space="preserve"> du 18.10.2017.</w:t>
      </w:r>
    </w:p>
  </w:footnote>
  <w:footnote w:id="48">
    <w:p w:rsidR="00A66D64" w:rsidRDefault="00B30B4E">
      <w:pPr>
        <w:pStyle w:val="FootnoteText"/>
        <w:ind w:left="357" w:hanging="357"/>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Directive (UE) 2016/681 du 27.4.2016.</w:t>
      </w:r>
    </w:p>
  </w:footnote>
  <w:footnote w:id="49">
    <w:p w:rsidR="00A66D64" w:rsidRDefault="00B30B4E">
      <w:pPr>
        <w:pStyle w:val="FootnoteText"/>
        <w:ind w:left="357" w:hanging="357"/>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hyperlink r:id="rId12">
        <w:r>
          <w:rPr>
            <w:rStyle w:val="Hyperlink"/>
            <w:rFonts w:ascii="Times New Roman" w:hAnsi="Times New Roman"/>
          </w:rPr>
          <w:t>http://www.consilium.europa.eu/fr/press/press-releases/2017/06/pdf/Read-the-full-text-of-the-Council-conclusions_pdf(4</w:t>
        </w:r>
        <w:r>
          <w:rPr>
            <w:rStyle w:val="Hyperlink"/>
            <w:rFonts w:ascii="Times New Roman" w:hAnsi="Times New Roman"/>
          </w:rPr>
          <w:t>)/</w:t>
        </w:r>
      </w:hyperlink>
    </w:p>
  </w:footnote>
  <w:footnote w:id="50">
    <w:p w:rsidR="00A66D64" w:rsidRDefault="00B30B4E">
      <w:pPr>
        <w:pStyle w:val="FootnoteText"/>
        <w:ind w:left="357" w:hanging="357"/>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Cela comprend la politique européenne de voisinage révisée [JOIN(2015) 50 final du 18.11.2015].</w:t>
      </w:r>
    </w:p>
  </w:footnote>
  <w:footnote w:id="51">
    <w:p w:rsidR="00A66D64" w:rsidRDefault="00B30B4E">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Règlement (UE) n° 2016/794 du 11.5.2016.</w:t>
      </w:r>
    </w:p>
  </w:footnote>
  <w:footnote w:id="52">
    <w:p w:rsidR="00A66D64" w:rsidRDefault="00B30B4E">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Décision 2009/371/JAI du Conseil du 6.4.2009.</w:t>
      </w:r>
    </w:p>
  </w:footnote>
  <w:footnote w:id="53">
    <w:p w:rsidR="00A66D64" w:rsidRDefault="00B30B4E">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Europol a conclu des accords autorisant l’échange de donné</w:t>
      </w:r>
      <w:r>
        <w:rPr>
          <w:rFonts w:ascii="Times New Roman" w:hAnsi="Times New Roman"/>
        </w:rPr>
        <w:t>es à caractère personnel avec les pays tiers suivants: Albanie, Australie, Bosnie-Herzégovine, Canada, Colombie, ancienne République yougoslave de Macédoine, Géorgie, Islande, Liechtenstein, Moldavie, Monaco, Monténégro, Norvège, Serbie, Suisse, Ukraine et</w:t>
      </w:r>
      <w:r>
        <w:rPr>
          <w:rFonts w:ascii="Times New Roman" w:hAnsi="Times New Roman"/>
        </w:rPr>
        <w:t xml:space="preserve"> États-Unis. Le Conseil d’administration d’Europol avait autorisé l’ouverture de négociations sur un accord entre Europol et Israël, mais ces dernières n’étaient pas achevées lors de l’entrée en application du nouveau règlement Europol. </w:t>
      </w:r>
    </w:p>
  </w:footnote>
  <w:footnote w:id="54">
    <w:p w:rsidR="00A66D64" w:rsidRDefault="00B30B4E">
      <w:pPr>
        <w:pStyle w:val="FootnoteText"/>
        <w:ind w:left="357" w:hanging="357"/>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 règlement Eu</w:t>
      </w:r>
      <w:r>
        <w:rPr>
          <w:rFonts w:ascii="Times New Roman" w:hAnsi="Times New Roman"/>
        </w:rPr>
        <w:t>ropol prévoit également le transfert de données à caractère personnel entre Europol et un pays tiers sur la base d’une décision de la Commission constatant que le pays concerné assure un niveau adéquat de protection des données («décision d’adéquation»).</w:t>
      </w:r>
    </w:p>
  </w:footnote>
  <w:footnote w:id="55">
    <w:p w:rsidR="00A66D64" w:rsidRDefault="00B30B4E">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Au-delà de ces pays tiers, la Commission rappelle le cadre stratégique pour les «décisions d’adéquation» ainsi que d’autres outils applicables aux transferts de données et aux instruments internationaux de protection des données, conformément à la formul</w:t>
      </w:r>
      <w:r>
        <w:rPr>
          <w:rFonts w:ascii="Times New Roman" w:hAnsi="Times New Roman"/>
        </w:rPr>
        <w:t>ation de la communication de la Commission au Parlement européen et au Conseil concernant l’échange et la protection de données à caractère personnel à l'ère de la mondialisation [COM(2017) 7 final du 10.1.2017], dans laquelle la Commission encourage l’adh</w:t>
      </w:r>
      <w:r>
        <w:rPr>
          <w:rFonts w:ascii="Times New Roman" w:hAnsi="Times New Roman"/>
        </w:rPr>
        <w:t>ésion des pays tiers à la convention 108 du Conseil de l’Europe et à son protocole additionnel.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64" w:rsidRDefault="00A66D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64" w:rsidRDefault="00A66D64">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64" w:rsidRDefault="00A66D64">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64" w:rsidRDefault="00A66D6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64" w:rsidRDefault="00A66D6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64" w:rsidRDefault="00A66D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776DCE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B710A2"/>
    <w:multiLevelType w:val="hybridMultilevel"/>
    <w:tmpl w:val="3EDE462E"/>
    <w:lvl w:ilvl="0" w:tplc="351A7698">
      <w:numFmt w:val="bullet"/>
      <w:lvlText w:val=""/>
      <w:lvlJc w:val="left"/>
      <w:pPr>
        <w:ind w:left="2160" w:hanging="360"/>
      </w:pPr>
      <w:rPr>
        <w:rFonts w:ascii="Symbol" w:eastAsia="Calibri" w:hAnsi="Symbol" w:cs="Courier New"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
    <w:nsid w:val="133634C3"/>
    <w:multiLevelType w:val="hybridMultilevel"/>
    <w:tmpl w:val="9614F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BC18BC"/>
    <w:multiLevelType w:val="hybridMultilevel"/>
    <w:tmpl w:val="E77E6DCC"/>
    <w:lvl w:ilvl="0" w:tplc="2B0A74B4">
      <w:start w:val="1"/>
      <w:numFmt w:val="upperRoman"/>
      <w:lvlText w:val="%1."/>
      <w:lvlJc w:val="left"/>
      <w:pPr>
        <w:ind w:left="-1756" w:hanging="720"/>
      </w:pPr>
      <w:rPr>
        <w:rFonts w:hint="default"/>
      </w:rPr>
    </w:lvl>
    <w:lvl w:ilvl="1" w:tplc="BE9C0D9A">
      <w:numFmt w:val="bullet"/>
      <w:lvlText w:val="•"/>
      <w:lvlJc w:val="left"/>
      <w:pPr>
        <w:ind w:left="-1396" w:hanging="360"/>
      </w:pPr>
      <w:rPr>
        <w:rFonts w:ascii="Times New Roman" w:eastAsia="Times New Roman" w:hAnsi="Times New Roman" w:cs="Times New Roman" w:hint="default"/>
      </w:rPr>
    </w:lvl>
    <w:lvl w:ilvl="2" w:tplc="7404546C">
      <w:numFmt w:val="bullet"/>
      <w:lvlText w:val="-"/>
      <w:lvlJc w:val="left"/>
      <w:pPr>
        <w:ind w:left="-496" w:hanging="360"/>
      </w:pPr>
      <w:rPr>
        <w:rFonts w:ascii="Times New Roman" w:eastAsia="Times New Roman" w:hAnsi="Times New Roman" w:cs="Times New Roman" w:hint="default"/>
      </w:rPr>
    </w:lvl>
    <w:lvl w:ilvl="3" w:tplc="0809000F" w:tentative="1">
      <w:start w:val="1"/>
      <w:numFmt w:val="decimal"/>
      <w:lvlText w:val="%4."/>
      <w:lvlJc w:val="left"/>
      <w:pPr>
        <w:ind w:left="44" w:hanging="360"/>
      </w:pPr>
    </w:lvl>
    <w:lvl w:ilvl="4" w:tplc="08090019" w:tentative="1">
      <w:start w:val="1"/>
      <w:numFmt w:val="lowerLetter"/>
      <w:lvlText w:val="%5."/>
      <w:lvlJc w:val="left"/>
      <w:pPr>
        <w:ind w:left="764" w:hanging="360"/>
      </w:pPr>
    </w:lvl>
    <w:lvl w:ilvl="5" w:tplc="0809001B" w:tentative="1">
      <w:start w:val="1"/>
      <w:numFmt w:val="lowerRoman"/>
      <w:lvlText w:val="%6."/>
      <w:lvlJc w:val="right"/>
      <w:pPr>
        <w:ind w:left="1484" w:hanging="180"/>
      </w:pPr>
    </w:lvl>
    <w:lvl w:ilvl="6" w:tplc="0809000F" w:tentative="1">
      <w:start w:val="1"/>
      <w:numFmt w:val="decimal"/>
      <w:lvlText w:val="%7."/>
      <w:lvlJc w:val="left"/>
      <w:pPr>
        <w:ind w:left="2204" w:hanging="360"/>
      </w:pPr>
    </w:lvl>
    <w:lvl w:ilvl="7" w:tplc="08090019" w:tentative="1">
      <w:start w:val="1"/>
      <w:numFmt w:val="lowerLetter"/>
      <w:lvlText w:val="%8."/>
      <w:lvlJc w:val="left"/>
      <w:pPr>
        <w:ind w:left="2924" w:hanging="360"/>
      </w:pPr>
    </w:lvl>
    <w:lvl w:ilvl="8" w:tplc="0809001B" w:tentative="1">
      <w:start w:val="1"/>
      <w:numFmt w:val="lowerRoman"/>
      <w:lvlText w:val="%9."/>
      <w:lvlJc w:val="right"/>
      <w:pPr>
        <w:ind w:left="3644" w:hanging="180"/>
      </w:pPr>
    </w:lvl>
  </w:abstractNum>
  <w:abstractNum w:abstractNumId="4">
    <w:nsid w:val="31F65C8F"/>
    <w:multiLevelType w:val="hybridMultilevel"/>
    <w:tmpl w:val="62B41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34D45D3"/>
    <w:multiLevelType w:val="hybridMultilevel"/>
    <w:tmpl w:val="8F24D4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A4D5FB6"/>
    <w:multiLevelType w:val="hybridMultilevel"/>
    <w:tmpl w:val="4D32F02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8">
    <w:nsid w:val="3D535A33"/>
    <w:multiLevelType w:val="hybridMultilevel"/>
    <w:tmpl w:val="9286B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3DD432A0"/>
    <w:multiLevelType w:val="hybridMultilevel"/>
    <w:tmpl w:val="D29C6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6F30CD1"/>
    <w:multiLevelType w:val="hybridMultilevel"/>
    <w:tmpl w:val="B4F6E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7F1EBC"/>
    <w:multiLevelType w:val="hybridMultilevel"/>
    <w:tmpl w:val="820470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nsid w:val="68F42A14"/>
    <w:multiLevelType w:val="hybridMultilevel"/>
    <w:tmpl w:val="F6CE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CEB50CB"/>
    <w:multiLevelType w:val="hybridMultilevel"/>
    <w:tmpl w:val="46988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7A4159E7"/>
    <w:multiLevelType w:val="hybridMultilevel"/>
    <w:tmpl w:val="83FE05B8"/>
    <w:lvl w:ilvl="0" w:tplc="7624D8F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C5227C9"/>
    <w:multiLevelType w:val="hybridMultilevel"/>
    <w:tmpl w:val="ED2C41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C7D22C5"/>
    <w:multiLevelType w:val="hybridMultilevel"/>
    <w:tmpl w:val="3FBED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7"/>
  </w:num>
  <w:num w:numId="4">
    <w:abstractNumId w:val="15"/>
  </w:num>
  <w:num w:numId="5">
    <w:abstractNumId w:val="11"/>
  </w:num>
  <w:num w:numId="6">
    <w:abstractNumId w:val="6"/>
  </w:num>
  <w:num w:numId="7">
    <w:abstractNumId w:val="4"/>
  </w:num>
  <w:num w:numId="8">
    <w:abstractNumId w:val="8"/>
  </w:num>
  <w:num w:numId="9">
    <w:abstractNumId w:val="10"/>
  </w:num>
  <w:num w:numId="10">
    <w:abstractNumId w:val="9"/>
  </w:num>
  <w:num w:numId="11">
    <w:abstractNumId w:val="1"/>
  </w:num>
  <w:num w:numId="12">
    <w:abstractNumId w:val="7"/>
  </w:num>
  <w:num w:numId="13">
    <w:abstractNumId w:val="0"/>
  </w:num>
  <w:num w:numId="14">
    <w:abstractNumId w:val="12"/>
  </w:num>
  <w:num w:numId="15">
    <w:abstractNumId w:val="14"/>
  </w:num>
  <w:num w:numId="16">
    <w:abstractNumId w:val="5"/>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577AC89-D601-4E00-AA14-AD35E81CE42D"/>
    <w:docVar w:name="LW_COVERPAGE_TYPE" w:val="1"/>
    <w:docVar w:name="LW_CROSSREFERENCE" w:val="&lt;UNUSED&gt;"/>
    <w:docVar w:name="LW_DocType" w:val="NORMAL"/>
    <w:docVar w:name="LW_EMISSION" w:val="18.10.2017"/>
    <w:docVar w:name="LW_EMISSION_ISODATE" w:val="2017-10-18"/>
    <w:docVar w:name="LW_EMISSION_LOCATION" w:val="BRX"/>
    <w:docVar w:name="LW_EMISSION_PREFIX" w:val="Bruxelles, le "/>
    <w:docVar w:name="LW_EMISSION_SUFFIX" w:val=" "/>
    <w:docVar w:name="LW_ID_DOCTYPE_NONLW" w:val="CP-035"/>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6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zième rapport sur les progrès accomplis dans la mise en place d'une union de la sécurité réelle et effective"/>
    <w:docVar w:name="LW_TYPE.DOC.CP" w:val="COMMUNICATION DE LA COMMISSION AU PARLEMENT EUROPÉEN, AU CONSEIL EUROPÉEN ET AU CONSEIL_x000b__x000b_"/>
  </w:docVars>
  <w:rsids>
    <w:rsidRoot w:val="00A66D64"/>
    <w:rsid w:val="00A66D64"/>
    <w:rsid w:val="00B30B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basedOn w:val="DefaultParagraphFont"/>
    <w:link w:val="FootnoteText"/>
    <w:uiPriority w:val="99"/>
    <w:qFormat/>
    <w:rPr>
      <w:sz w:val="20"/>
      <w:szCs w:val="20"/>
    </w:rPr>
  </w:style>
  <w:style w:type="character" w:styleId="FootnoteReference">
    <w:name w:val="footnote reference"/>
    <w:aliases w:val="BVI fnr,Footnote symbol, BVI fnr,Footnote Reference text,Footnote Reference Superscript,Nota,Footnote,Appel note de bas de p,SUPERS,Odwołanie przypisu,Footnote Reference_LVL6,Footnote Reference_LVL61,Footnote Reference_LVL62,FR,number"/>
    <w:basedOn w:val="DefaultParagraphFont"/>
    <w:link w:val="Odwo0142anieprzypisu"/>
    <w:uiPriority w:val="99"/>
    <w:unhideWhenUsed/>
    <w:qFormat/>
    <w:rPr>
      <w:vertAlign w:val="superscript"/>
    </w:rPr>
  </w:style>
  <w:style w:type="paragraph" w:customStyle="1" w:styleId="CoverTitle">
    <w:name w:val="CoverTitle"/>
    <w:basedOn w:val="Normal"/>
    <w:link w:val="CoverTitleChar"/>
    <w:qFormat/>
    <w:pPr>
      <w:spacing w:before="840" w:after="840"/>
      <w:jc w:val="center"/>
    </w:pPr>
    <w:rPr>
      <w:rFonts w:ascii="Times New Roman" w:eastAsiaTheme="minorEastAsia" w:hAnsi="Times New Roman"/>
      <w:i/>
      <w:sz w:val="32"/>
      <w:szCs w:val="32"/>
    </w:rPr>
  </w:style>
  <w:style w:type="character" w:customStyle="1" w:styleId="CoverTitleChar">
    <w:name w:val="CoverTitle Char"/>
    <w:basedOn w:val="DefaultParagraphFont"/>
    <w:link w:val="CoverTitle"/>
    <w:rPr>
      <w:rFonts w:ascii="Times New Roman" w:eastAsiaTheme="minorEastAsia" w:hAnsi="Times New Roman"/>
      <w:i/>
      <w:sz w:val="32"/>
      <w:szCs w:val="32"/>
      <w:lang w:eastAsia="fr-FR"/>
    </w:rPr>
  </w:style>
  <w:style w:type="paragraph" w:customStyle="1" w:styleId="HeadingThree">
    <w:name w:val="HeadingThree"/>
    <w:basedOn w:val="Heading3"/>
    <w:next w:val="Normal"/>
    <w:link w:val="HeadingThreeChar"/>
    <w:qFormat/>
    <w:pPr>
      <w:spacing w:before="240" w:after="240"/>
      <w:jc w:val="both"/>
    </w:pPr>
    <w:rPr>
      <w:rFonts w:ascii="Times New Roman" w:hAnsi="Times New Roman" w:cs="Times New Roman"/>
      <w:sz w:val="24"/>
      <w:szCs w:val="28"/>
    </w:rPr>
  </w:style>
  <w:style w:type="character" w:customStyle="1" w:styleId="HeadingThreeChar">
    <w:name w:val="HeadingThree Char"/>
    <w:basedOn w:val="Heading3Char"/>
    <w:link w:val="HeadingThree"/>
    <w:rPr>
      <w:rFonts w:ascii="Times New Roman" w:eastAsiaTheme="majorEastAsia" w:hAnsi="Times New Roman" w:cs="Times New Roman"/>
      <w:b/>
      <w:bCs/>
      <w:color w:val="4F81BD" w:themeColor="accent1"/>
      <w:sz w:val="24"/>
      <w:szCs w:val="28"/>
      <w:lang w:eastAsia="fr-FR"/>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uiPriority w:val="99"/>
    <w:pPr>
      <w:numPr>
        <w:numId w:val="13"/>
      </w:numPr>
      <w:tabs>
        <w:tab w:val="clear" w:pos="360"/>
        <w:tab w:val="num" w:pos="283"/>
      </w:tabs>
      <w:spacing w:after="240" w:line="240" w:lineRule="auto"/>
      <w:ind w:left="283" w:hanging="283"/>
      <w:jc w:val="both"/>
    </w:pPr>
    <w:rPr>
      <w:rFonts w:ascii="Times New Roman" w:eastAsia="Times New Roman" w:hAnsi="Times New Roman" w:cs="Times New Roman"/>
      <w:sz w:val="24"/>
      <w:szCs w:val="20"/>
    </w:rPr>
  </w:style>
  <w:style w:type="paragraph" w:customStyle="1" w:styleId="ListDash4">
    <w:name w:val="List Dash 4"/>
    <w:basedOn w:val="Normal"/>
    <w:pPr>
      <w:numPr>
        <w:numId w:val="14"/>
      </w:numPr>
      <w:spacing w:after="240" w:line="240" w:lineRule="auto"/>
      <w:jc w:val="both"/>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basedOn w:val="DefaultParagraphFont"/>
    <w:link w:val="FootnoteText"/>
    <w:uiPriority w:val="99"/>
    <w:qFormat/>
    <w:rPr>
      <w:sz w:val="20"/>
      <w:szCs w:val="20"/>
    </w:rPr>
  </w:style>
  <w:style w:type="character" w:styleId="FootnoteReference">
    <w:name w:val="footnote reference"/>
    <w:aliases w:val="BVI fnr,Footnote symbol, BVI fnr,Footnote Reference text,Footnote Reference Superscript,Nota,Footnote,Appel note de bas de p,SUPERS,Odwołanie przypisu,Footnote Reference_LVL6,Footnote Reference_LVL61,Footnote Reference_LVL62,FR,number"/>
    <w:basedOn w:val="DefaultParagraphFont"/>
    <w:link w:val="Odwo0142anieprzypisu"/>
    <w:uiPriority w:val="99"/>
    <w:unhideWhenUsed/>
    <w:qFormat/>
    <w:rPr>
      <w:vertAlign w:val="superscript"/>
    </w:rPr>
  </w:style>
  <w:style w:type="paragraph" w:customStyle="1" w:styleId="CoverTitle">
    <w:name w:val="CoverTitle"/>
    <w:basedOn w:val="Normal"/>
    <w:link w:val="CoverTitleChar"/>
    <w:qFormat/>
    <w:pPr>
      <w:spacing w:before="840" w:after="840"/>
      <w:jc w:val="center"/>
    </w:pPr>
    <w:rPr>
      <w:rFonts w:ascii="Times New Roman" w:eastAsiaTheme="minorEastAsia" w:hAnsi="Times New Roman"/>
      <w:i/>
      <w:sz w:val="32"/>
      <w:szCs w:val="32"/>
    </w:rPr>
  </w:style>
  <w:style w:type="character" w:customStyle="1" w:styleId="CoverTitleChar">
    <w:name w:val="CoverTitle Char"/>
    <w:basedOn w:val="DefaultParagraphFont"/>
    <w:link w:val="CoverTitle"/>
    <w:rPr>
      <w:rFonts w:ascii="Times New Roman" w:eastAsiaTheme="minorEastAsia" w:hAnsi="Times New Roman"/>
      <w:i/>
      <w:sz w:val="32"/>
      <w:szCs w:val="32"/>
      <w:lang w:eastAsia="fr-FR"/>
    </w:rPr>
  </w:style>
  <w:style w:type="paragraph" w:customStyle="1" w:styleId="HeadingThree">
    <w:name w:val="HeadingThree"/>
    <w:basedOn w:val="Heading3"/>
    <w:next w:val="Normal"/>
    <w:link w:val="HeadingThreeChar"/>
    <w:qFormat/>
    <w:pPr>
      <w:spacing w:before="240" w:after="240"/>
      <w:jc w:val="both"/>
    </w:pPr>
    <w:rPr>
      <w:rFonts w:ascii="Times New Roman" w:hAnsi="Times New Roman" w:cs="Times New Roman"/>
      <w:sz w:val="24"/>
      <w:szCs w:val="28"/>
    </w:rPr>
  </w:style>
  <w:style w:type="character" w:customStyle="1" w:styleId="HeadingThreeChar">
    <w:name w:val="HeadingThree Char"/>
    <w:basedOn w:val="Heading3Char"/>
    <w:link w:val="HeadingThree"/>
    <w:rPr>
      <w:rFonts w:ascii="Times New Roman" w:eastAsiaTheme="majorEastAsia" w:hAnsi="Times New Roman" w:cs="Times New Roman"/>
      <w:b/>
      <w:bCs/>
      <w:color w:val="4F81BD" w:themeColor="accent1"/>
      <w:sz w:val="24"/>
      <w:szCs w:val="28"/>
      <w:lang w:eastAsia="fr-FR"/>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uiPriority w:val="99"/>
    <w:pPr>
      <w:numPr>
        <w:numId w:val="13"/>
      </w:numPr>
      <w:tabs>
        <w:tab w:val="clear" w:pos="360"/>
        <w:tab w:val="num" w:pos="283"/>
      </w:tabs>
      <w:spacing w:after="240" w:line="240" w:lineRule="auto"/>
      <w:ind w:left="283" w:hanging="283"/>
      <w:jc w:val="both"/>
    </w:pPr>
    <w:rPr>
      <w:rFonts w:ascii="Times New Roman" w:eastAsia="Times New Roman" w:hAnsi="Times New Roman" w:cs="Times New Roman"/>
      <w:sz w:val="24"/>
      <w:szCs w:val="20"/>
    </w:rPr>
  </w:style>
  <w:style w:type="paragraph" w:customStyle="1" w:styleId="ListDash4">
    <w:name w:val="List Dash 4"/>
    <w:basedOn w:val="Normal"/>
    <w:pPr>
      <w:numPr>
        <w:numId w:val="14"/>
      </w:numPr>
      <w:spacing w:after="240" w:line="240" w:lineRule="auto"/>
      <w:jc w:val="both"/>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222637">
      <w:bodyDiv w:val="1"/>
      <w:marLeft w:val="0"/>
      <w:marRight w:val="0"/>
      <w:marTop w:val="0"/>
      <w:marBottom w:val="0"/>
      <w:divBdr>
        <w:top w:val="none" w:sz="0" w:space="0" w:color="auto"/>
        <w:left w:val="none" w:sz="0" w:space="0" w:color="auto"/>
        <w:bottom w:val="none" w:sz="0" w:space="0" w:color="auto"/>
        <w:right w:val="none" w:sz="0" w:space="0" w:color="auto"/>
      </w:divBdr>
      <w:divsChild>
        <w:div w:id="1122840610">
          <w:marLeft w:val="0"/>
          <w:marRight w:val="0"/>
          <w:marTop w:val="0"/>
          <w:marBottom w:val="0"/>
          <w:divBdr>
            <w:top w:val="none" w:sz="0" w:space="0" w:color="auto"/>
            <w:left w:val="none" w:sz="0" w:space="0" w:color="auto"/>
            <w:bottom w:val="none" w:sz="0" w:space="0" w:color="auto"/>
            <w:right w:val="none" w:sz="0" w:space="0" w:color="auto"/>
          </w:divBdr>
          <w:divsChild>
            <w:div w:id="346520456">
              <w:marLeft w:val="-225"/>
              <w:marRight w:val="-225"/>
              <w:marTop w:val="0"/>
              <w:marBottom w:val="0"/>
              <w:divBdr>
                <w:top w:val="none" w:sz="0" w:space="0" w:color="auto"/>
                <w:left w:val="none" w:sz="0" w:space="0" w:color="auto"/>
                <w:bottom w:val="none" w:sz="0" w:space="0" w:color="auto"/>
                <w:right w:val="none" w:sz="0" w:space="0" w:color="auto"/>
              </w:divBdr>
              <w:divsChild>
                <w:div w:id="1747991099">
                  <w:marLeft w:val="0"/>
                  <w:marRight w:val="0"/>
                  <w:marTop w:val="0"/>
                  <w:marBottom w:val="0"/>
                  <w:divBdr>
                    <w:top w:val="none" w:sz="0" w:space="0" w:color="auto"/>
                    <w:left w:val="none" w:sz="0" w:space="0" w:color="auto"/>
                    <w:bottom w:val="none" w:sz="0" w:space="0" w:color="auto"/>
                    <w:right w:val="none" w:sz="0" w:space="0" w:color="auto"/>
                  </w:divBdr>
                  <w:divsChild>
                    <w:div w:id="234319739">
                      <w:marLeft w:val="-225"/>
                      <w:marRight w:val="-225"/>
                      <w:marTop w:val="0"/>
                      <w:marBottom w:val="0"/>
                      <w:divBdr>
                        <w:top w:val="none" w:sz="0" w:space="0" w:color="auto"/>
                        <w:left w:val="none" w:sz="0" w:space="0" w:color="auto"/>
                        <w:bottom w:val="none" w:sz="0" w:space="0" w:color="auto"/>
                        <w:right w:val="none" w:sz="0" w:space="0" w:color="auto"/>
                      </w:divBdr>
                      <w:divsChild>
                        <w:div w:id="1127432193">
                          <w:marLeft w:val="0"/>
                          <w:marRight w:val="0"/>
                          <w:marTop w:val="0"/>
                          <w:marBottom w:val="0"/>
                          <w:divBdr>
                            <w:top w:val="none" w:sz="0" w:space="0" w:color="auto"/>
                            <w:left w:val="none" w:sz="0" w:space="0" w:color="auto"/>
                            <w:bottom w:val="none" w:sz="0" w:space="0" w:color="auto"/>
                            <w:right w:val="none" w:sz="0" w:space="0" w:color="auto"/>
                          </w:divBdr>
                          <w:divsChild>
                            <w:div w:id="587277396">
                              <w:marLeft w:val="0"/>
                              <w:marRight w:val="0"/>
                              <w:marTop w:val="0"/>
                              <w:marBottom w:val="0"/>
                              <w:divBdr>
                                <w:top w:val="none" w:sz="0" w:space="0" w:color="auto"/>
                                <w:left w:val="none" w:sz="0" w:space="0" w:color="auto"/>
                                <w:bottom w:val="none" w:sz="0" w:space="0" w:color="auto"/>
                                <w:right w:val="none" w:sz="0" w:space="0" w:color="auto"/>
                              </w:divBdr>
                              <w:divsChild>
                                <w:div w:id="1700541421">
                                  <w:marLeft w:val="0"/>
                                  <w:marRight w:val="0"/>
                                  <w:marTop w:val="0"/>
                                  <w:marBottom w:val="0"/>
                                  <w:divBdr>
                                    <w:top w:val="none" w:sz="0" w:space="0" w:color="auto"/>
                                    <w:left w:val="none" w:sz="0" w:space="0" w:color="auto"/>
                                    <w:bottom w:val="none" w:sz="0" w:space="0" w:color="auto"/>
                                    <w:right w:val="none" w:sz="0" w:space="0" w:color="auto"/>
                                  </w:divBdr>
                                  <w:divsChild>
                                    <w:div w:id="1677227609">
                                      <w:marLeft w:val="0"/>
                                      <w:marRight w:val="0"/>
                                      <w:marTop w:val="0"/>
                                      <w:marBottom w:val="0"/>
                                      <w:divBdr>
                                        <w:top w:val="none" w:sz="0" w:space="0" w:color="auto"/>
                                        <w:left w:val="none" w:sz="0" w:space="0" w:color="auto"/>
                                        <w:bottom w:val="none" w:sz="0" w:space="0" w:color="auto"/>
                                        <w:right w:val="none" w:sz="0" w:space="0" w:color="auto"/>
                                      </w:divBdr>
                                      <w:divsChild>
                                        <w:div w:id="938951150">
                                          <w:marLeft w:val="0"/>
                                          <w:marRight w:val="0"/>
                                          <w:marTop w:val="0"/>
                                          <w:marBottom w:val="0"/>
                                          <w:divBdr>
                                            <w:top w:val="none" w:sz="0" w:space="0" w:color="auto"/>
                                            <w:left w:val="none" w:sz="0" w:space="0" w:color="auto"/>
                                            <w:bottom w:val="none" w:sz="0" w:space="0" w:color="auto"/>
                                            <w:right w:val="none" w:sz="0" w:space="0" w:color="auto"/>
                                          </w:divBdr>
                                          <w:divsChild>
                                            <w:div w:id="584605611">
                                              <w:marLeft w:val="0"/>
                                              <w:marRight w:val="0"/>
                                              <w:marTop w:val="0"/>
                                              <w:marBottom w:val="0"/>
                                              <w:divBdr>
                                                <w:top w:val="none" w:sz="0" w:space="0" w:color="auto"/>
                                                <w:left w:val="none" w:sz="0" w:space="0" w:color="auto"/>
                                                <w:bottom w:val="none" w:sz="0" w:space="0" w:color="auto"/>
                                                <w:right w:val="none" w:sz="0" w:space="0" w:color="auto"/>
                                              </w:divBdr>
                                              <w:divsChild>
                                                <w:div w:id="982467673">
                                                  <w:marLeft w:val="0"/>
                                                  <w:marRight w:val="0"/>
                                                  <w:marTop w:val="0"/>
                                                  <w:marBottom w:val="0"/>
                                                  <w:divBdr>
                                                    <w:top w:val="none" w:sz="0" w:space="0" w:color="auto"/>
                                                    <w:left w:val="none" w:sz="0" w:space="0" w:color="auto"/>
                                                    <w:bottom w:val="none" w:sz="0" w:space="0" w:color="auto"/>
                                                    <w:right w:val="none" w:sz="0" w:space="0" w:color="auto"/>
                                                  </w:divBdr>
                                                  <w:divsChild>
                                                    <w:div w:id="1712533549">
                                                      <w:marLeft w:val="0"/>
                                                      <w:marRight w:val="0"/>
                                                      <w:marTop w:val="0"/>
                                                      <w:marBottom w:val="0"/>
                                                      <w:divBdr>
                                                        <w:top w:val="none" w:sz="0" w:space="0" w:color="auto"/>
                                                        <w:left w:val="none" w:sz="0" w:space="0" w:color="auto"/>
                                                        <w:bottom w:val="none" w:sz="0" w:space="0" w:color="auto"/>
                                                        <w:right w:val="none" w:sz="0" w:space="0" w:color="auto"/>
                                                      </w:divBdr>
                                                      <w:divsChild>
                                                        <w:div w:id="29749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3754278">
      <w:bodyDiv w:val="1"/>
      <w:marLeft w:val="0"/>
      <w:marRight w:val="0"/>
      <w:marTop w:val="0"/>
      <w:marBottom w:val="0"/>
      <w:divBdr>
        <w:top w:val="none" w:sz="0" w:space="0" w:color="auto"/>
        <w:left w:val="none" w:sz="0" w:space="0" w:color="auto"/>
        <w:bottom w:val="none" w:sz="0" w:space="0" w:color="auto"/>
        <w:right w:val="none" w:sz="0" w:space="0" w:color="auto"/>
      </w:divBdr>
    </w:div>
    <w:div w:id="864755364">
      <w:bodyDiv w:val="1"/>
      <w:marLeft w:val="0"/>
      <w:marRight w:val="0"/>
      <w:marTop w:val="0"/>
      <w:marBottom w:val="0"/>
      <w:divBdr>
        <w:top w:val="none" w:sz="0" w:space="0" w:color="auto"/>
        <w:left w:val="none" w:sz="0" w:space="0" w:color="auto"/>
        <w:bottom w:val="none" w:sz="0" w:space="0" w:color="auto"/>
        <w:right w:val="none" w:sz="0" w:space="0" w:color="auto"/>
      </w:divBdr>
    </w:div>
    <w:div w:id="961879892">
      <w:bodyDiv w:val="1"/>
      <w:marLeft w:val="0"/>
      <w:marRight w:val="0"/>
      <w:marTop w:val="0"/>
      <w:marBottom w:val="0"/>
      <w:divBdr>
        <w:top w:val="none" w:sz="0" w:space="0" w:color="auto"/>
        <w:left w:val="none" w:sz="0" w:space="0" w:color="auto"/>
        <w:bottom w:val="none" w:sz="0" w:space="0" w:color="auto"/>
        <w:right w:val="none" w:sz="0" w:space="0" w:color="auto"/>
      </w:divBdr>
    </w:div>
    <w:div w:id="1490559268">
      <w:bodyDiv w:val="1"/>
      <w:marLeft w:val="0"/>
      <w:marRight w:val="0"/>
      <w:marTop w:val="0"/>
      <w:marBottom w:val="0"/>
      <w:divBdr>
        <w:top w:val="none" w:sz="0" w:space="0" w:color="auto"/>
        <w:left w:val="none" w:sz="0" w:space="0" w:color="auto"/>
        <w:bottom w:val="none" w:sz="0" w:space="0" w:color="auto"/>
        <w:right w:val="none" w:sz="0" w:space="0" w:color="auto"/>
      </w:divBdr>
    </w:div>
    <w:div w:id="1550679489">
      <w:bodyDiv w:val="1"/>
      <w:marLeft w:val="0"/>
      <w:marRight w:val="0"/>
      <w:marTop w:val="0"/>
      <w:marBottom w:val="0"/>
      <w:divBdr>
        <w:top w:val="none" w:sz="0" w:space="0" w:color="auto"/>
        <w:left w:val="none" w:sz="0" w:space="0" w:color="auto"/>
        <w:bottom w:val="none" w:sz="0" w:space="0" w:color="auto"/>
        <w:right w:val="none" w:sz="0" w:space="0" w:color="auto"/>
      </w:divBdr>
    </w:div>
    <w:div w:id="1692295485">
      <w:bodyDiv w:val="1"/>
      <w:marLeft w:val="0"/>
      <w:marRight w:val="0"/>
      <w:marTop w:val="0"/>
      <w:marBottom w:val="0"/>
      <w:divBdr>
        <w:top w:val="none" w:sz="0" w:space="0" w:color="auto"/>
        <w:left w:val="none" w:sz="0" w:space="0" w:color="auto"/>
        <w:bottom w:val="none" w:sz="0" w:space="0" w:color="auto"/>
        <w:right w:val="none" w:sz="0" w:space="0" w:color="auto"/>
      </w:divBdr>
    </w:div>
    <w:div w:id="1744529191">
      <w:bodyDiv w:val="1"/>
      <w:marLeft w:val="0"/>
      <w:marRight w:val="0"/>
      <w:marTop w:val="0"/>
      <w:marBottom w:val="0"/>
      <w:divBdr>
        <w:top w:val="none" w:sz="0" w:space="0" w:color="auto"/>
        <w:left w:val="none" w:sz="0" w:space="0" w:color="auto"/>
        <w:bottom w:val="none" w:sz="0" w:space="0" w:color="auto"/>
        <w:right w:val="none" w:sz="0" w:space="0" w:color="auto"/>
      </w:divBdr>
      <w:divsChild>
        <w:div w:id="1597012456">
          <w:marLeft w:val="0"/>
          <w:marRight w:val="0"/>
          <w:marTop w:val="0"/>
          <w:marBottom w:val="0"/>
          <w:divBdr>
            <w:top w:val="none" w:sz="0" w:space="0" w:color="auto"/>
            <w:left w:val="none" w:sz="0" w:space="0" w:color="auto"/>
            <w:bottom w:val="none" w:sz="0" w:space="0" w:color="auto"/>
            <w:right w:val="none" w:sz="0" w:space="0" w:color="auto"/>
          </w:divBdr>
          <w:divsChild>
            <w:div w:id="1772970423">
              <w:marLeft w:val="0"/>
              <w:marRight w:val="0"/>
              <w:marTop w:val="0"/>
              <w:marBottom w:val="0"/>
              <w:divBdr>
                <w:top w:val="none" w:sz="0" w:space="0" w:color="auto"/>
                <w:left w:val="none" w:sz="0" w:space="0" w:color="auto"/>
                <w:bottom w:val="none" w:sz="0" w:space="0" w:color="auto"/>
                <w:right w:val="none" w:sz="0" w:space="0" w:color="auto"/>
              </w:divBdr>
              <w:divsChild>
                <w:div w:id="2101951608">
                  <w:marLeft w:val="0"/>
                  <w:marRight w:val="0"/>
                  <w:marTop w:val="0"/>
                  <w:marBottom w:val="0"/>
                  <w:divBdr>
                    <w:top w:val="none" w:sz="0" w:space="0" w:color="auto"/>
                    <w:left w:val="none" w:sz="0" w:space="0" w:color="auto"/>
                    <w:bottom w:val="none" w:sz="0" w:space="0" w:color="auto"/>
                    <w:right w:val="none" w:sz="0" w:space="0" w:color="auto"/>
                  </w:divBdr>
                  <w:divsChild>
                    <w:div w:id="58943175">
                      <w:marLeft w:val="0"/>
                      <w:marRight w:val="0"/>
                      <w:marTop w:val="45"/>
                      <w:marBottom w:val="0"/>
                      <w:divBdr>
                        <w:top w:val="none" w:sz="0" w:space="0" w:color="auto"/>
                        <w:left w:val="none" w:sz="0" w:space="0" w:color="auto"/>
                        <w:bottom w:val="none" w:sz="0" w:space="0" w:color="auto"/>
                        <w:right w:val="none" w:sz="0" w:space="0" w:color="auto"/>
                      </w:divBdr>
                      <w:divsChild>
                        <w:div w:id="1999531129">
                          <w:marLeft w:val="0"/>
                          <w:marRight w:val="0"/>
                          <w:marTop w:val="0"/>
                          <w:marBottom w:val="0"/>
                          <w:divBdr>
                            <w:top w:val="none" w:sz="0" w:space="0" w:color="auto"/>
                            <w:left w:val="none" w:sz="0" w:space="0" w:color="auto"/>
                            <w:bottom w:val="none" w:sz="0" w:space="0" w:color="auto"/>
                            <w:right w:val="none" w:sz="0" w:space="0" w:color="auto"/>
                          </w:divBdr>
                          <w:divsChild>
                            <w:div w:id="1401095308">
                              <w:marLeft w:val="2070"/>
                              <w:marRight w:val="3960"/>
                              <w:marTop w:val="0"/>
                              <w:marBottom w:val="0"/>
                              <w:divBdr>
                                <w:top w:val="none" w:sz="0" w:space="0" w:color="auto"/>
                                <w:left w:val="none" w:sz="0" w:space="0" w:color="auto"/>
                                <w:bottom w:val="none" w:sz="0" w:space="0" w:color="auto"/>
                                <w:right w:val="none" w:sz="0" w:space="0" w:color="auto"/>
                              </w:divBdr>
                              <w:divsChild>
                                <w:div w:id="1433940891">
                                  <w:marLeft w:val="0"/>
                                  <w:marRight w:val="0"/>
                                  <w:marTop w:val="0"/>
                                  <w:marBottom w:val="0"/>
                                  <w:divBdr>
                                    <w:top w:val="none" w:sz="0" w:space="0" w:color="auto"/>
                                    <w:left w:val="none" w:sz="0" w:space="0" w:color="auto"/>
                                    <w:bottom w:val="none" w:sz="0" w:space="0" w:color="auto"/>
                                    <w:right w:val="none" w:sz="0" w:space="0" w:color="auto"/>
                                  </w:divBdr>
                                  <w:divsChild>
                                    <w:div w:id="690568812">
                                      <w:marLeft w:val="0"/>
                                      <w:marRight w:val="0"/>
                                      <w:marTop w:val="0"/>
                                      <w:marBottom w:val="0"/>
                                      <w:divBdr>
                                        <w:top w:val="none" w:sz="0" w:space="0" w:color="auto"/>
                                        <w:left w:val="none" w:sz="0" w:space="0" w:color="auto"/>
                                        <w:bottom w:val="none" w:sz="0" w:space="0" w:color="auto"/>
                                        <w:right w:val="none" w:sz="0" w:space="0" w:color="auto"/>
                                      </w:divBdr>
                                      <w:divsChild>
                                        <w:div w:id="1462842599">
                                          <w:marLeft w:val="0"/>
                                          <w:marRight w:val="0"/>
                                          <w:marTop w:val="0"/>
                                          <w:marBottom w:val="0"/>
                                          <w:divBdr>
                                            <w:top w:val="none" w:sz="0" w:space="0" w:color="auto"/>
                                            <w:left w:val="none" w:sz="0" w:space="0" w:color="auto"/>
                                            <w:bottom w:val="none" w:sz="0" w:space="0" w:color="auto"/>
                                            <w:right w:val="none" w:sz="0" w:space="0" w:color="auto"/>
                                          </w:divBdr>
                                          <w:divsChild>
                                            <w:div w:id="1972131802">
                                              <w:marLeft w:val="0"/>
                                              <w:marRight w:val="0"/>
                                              <w:marTop w:val="90"/>
                                              <w:marBottom w:val="0"/>
                                              <w:divBdr>
                                                <w:top w:val="none" w:sz="0" w:space="0" w:color="auto"/>
                                                <w:left w:val="none" w:sz="0" w:space="0" w:color="auto"/>
                                                <w:bottom w:val="none" w:sz="0" w:space="0" w:color="auto"/>
                                                <w:right w:val="none" w:sz="0" w:space="0" w:color="auto"/>
                                              </w:divBdr>
                                              <w:divsChild>
                                                <w:div w:id="1184973795">
                                                  <w:marLeft w:val="0"/>
                                                  <w:marRight w:val="0"/>
                                                  <w:marTop w:val="0"/>
                                                  <w:marBottom w:val="0"/>
                                                  <w:divBdr>
                                                    <w:top w:val="none" w:sz="0" w:space="0" w:color="auto"/>
                                                    <w:left w:val="none" w:sz="0" w:space="0" w:color="auto"/>
                                                    <w:bottom w:val="none" w:sz="0" w:space="0" w:color="auto"/>
                                                    <w:right w:val="none" w:sz="0" w:space="0" w:color="auto"/>
                                                  </w:divBdr>
                                                  <w:divsChild>
                                                    <w:div w:id="1580211547">
                                                      <w:marLeft w:val="0"/>
                                                      <w:marRight w:val="0"/>
                                                      <w:marTop w:val="0"/>
                                                      <w:marBottom w:val="0"/>
                                                      <w:divBdr>
                                                        <w:top w:val="none" w:sz="0" w:space="0" w:color="auto"/>
                                                        <w:left w:val="none" w:sz="0" w:space="0" w:color="auto"/>
                                                        <w:bottom w:val="none" w:sz="0" w:space="0" w:color="auto"/>
                                                        <w:right w:val="none" w:sz="0" w:space="0" w:color="auto"/>
                                                      </w:divBdr>
                                                      <w:divsChild>
                                                        <w:div w:id="818814533">
                                                          <w:marLeft w:val="0"/>
                                                          <w:marRight w:val="0"/>
                                                          <w:marTop w:val="0"/>
                                                          <w:marBottom w:val="0"/>
                                                          <w:divBdr>
                                                            <w:top w:val="none" w:sz="0" w:space="0" w:color="auto"/>
                                                            <w:left w:val="none" w:sz="0" w:space="0" w:color="auto"/>
                                                            <w:bottom w:val="none" w:sz="0" w:space="0" w:color="auto"/>
                                                            <w:right w:val="none" w:sz="0" w:space="0" w:color="auto"/>
                                                          </w:divBdr>
                                                          <w:divsChild>
                                                            <w:div w:id="1799303009">
                                                              <w:marLeft w:val="0"/>
                                                              <w:marRight w:val="0"/>
                                                              <w:marTop w:val="0"/>
                                                              <w:marBottom w:val="390"/>
                                                              <w:divBdr>
                                                                <w:top w:val="none" w:sz="0" w:space="0" w:color="auto"/>
                                                                <w:left w:val="none" w:sz="0" w:space="0" w:color="auto"/>
                                                                <w:bottom w:val="none" w:sz="0" w:space="0" w:color="auto"/>
                                                                <w:right w:val="none" w:sz="0" w:space="0" w:color="auto"/>
                                                              </w:divBdr>
                                                              <w:divsChild>
                                                                <w:div w:id="1674726345">
                                                                  <w:marLeft w:val="0"/>
                                                                  <w:marRight w:val="0"/>
                                                                  <w:marTop w:val="0"/>
                                                                  <w:marBottom w:val="0"/>
                                                                  <w:divBdr>
                                                                    <w:top w:val="none" w:sz="0" w:space="0" w:color="auto"/>
                                                                    <w:left w:val="none" w:sz="0" w:space="0" w:color="auto"/>
                                                                    <w:bottom w:val="none" w:sz="0" w:space="0" w:color="auto"/>
                                                                    <w:right w:val="none" w:sz="0" w:space="0" w:color="auto"/>
                                                                  </w:divBdr>
                                                                  <w:divsChild>
                                                                    <w:div w:id="2107266493">
                                                                      <w:marLeft w:val="0"/>
                                                                      <w:marRight w:val="0"/>
                                                                      <w:marTop w:val="0"/>
                                                                      <w:marBottom w:val="0"/>
                                                                      <w:divBdr>
                                                                        <w:top w:val="none" w:sz="0" w:space="0" w:color="auto"/>
                                                                        <w:left w:val="none" w:sz="0" w:space="0" w:color="auto"/>
                                                                        <w:bottom w:val="none" w:sz="0" w:space="0" w:color="auto"/>
                                                                        <w:right w:val="none" w:sz="0" w:space="0" w:color="auto"/>
                                                                      </w:divBdr>
                                                                      <w:divsChild>
                                                                        <w:div w:id="2045132377">
                                                                          <w:marLeft w:val="0"/>
                                                                          <w:marRight w:val="0"/>
                                                                          <w:marTop w:val="0"/>
                                                                          <w:marBottom w:val="0"/>
                                                                          <w:divBdr>
                                                                            <w:top w:val="none" w:sz="0" w:space="0" w:color="auto"/>
                                                                            <w:left w:val="none" w:sz="0" w:space="0" w:color="auto"/>
                                                                            <w:bottom w:val="none" w:sz="0" w:space="0" w:color="auto"/>
                                                                            <w:right w:val="none" w:sz="0" w:space="0" w:color="auto"/>
                                                                          </w:divBdr>
                                                                          <w:divsChild>
                                                                            <w:div w:id="508645084">
                                                                              <w:marLeft w:val="0"/>
                                                                              <w:marRight w:val="0"/>
                                                                              <w:marTop w:val="0"/>
                                                                              <w:marBottom w:val="0"/>
                                                                              <w:divBdr>
                                                                                <w:top w:val="none" w:sz="0" w:space="0" w:color="auto"/>
                                                                                <w:left w:val="none" w:sz="0" w:space="0" w:color="auto"/>
                                                                                <w:bottom w:val="none" w:sz="0" w:space="0" w:color="auto"/>
                                                                                <w:right w:val="none" w:sz="0" w:space="0" w:color="auto"/>
                                                                              </w:divBdr>
                                                                              <w:divsChild>
                                                                                <w:div w:id="40588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786329">
      <w:bodyDiv w:val="1"/>
      <w:marLeft w:val="0"/>
      <w:marRight w:val="0"/>
      <w:marTop w:val="0"/>
      <w:marBottom w:val="0"/>
      <w:divBdr>
        <w:top w:val="none" w:sz="0" w:space="0" w:color="auto"/>
        <w:left w:val="none" w:sz="0" w:space="0" w:color="auto"/>
        <w:bottom w:val="none" w:sz="0" w:space="0" w:color="auto"/>
        <w:right w:val="none" w:sz="0" w:space="0" w:color="auto"/>
      </w:divBdr>
    </w:div>
    <w:div w:id="1860393660">
      <w:bodyDiv w:val="1"/>
      <w:marLeft w:val="0"/>
      <w:marRight w:val="0"/>
      <w:marTop w:val="0"/>
      <w:marBottom w:val="0"/>
      <w:divBdr>
        <w:top w:val="none" w:sz="0" w:space="0" w:color="auto"/>
        <w:left w:val="none" w:sz="0" w:space="0" w:color="auto"/>
        <w:bottom w:val="none" w:sz="0" w:space="0" w:color="auto"/>
        <w:right w:val="none" w:sz="0" w:space="0" w:color="auto"/>
      </w:divBdr>
    </w:div>
    <w:div w:id="1865047836">
      <w:bodyDiv w:val="1"/>
      <w:marLeft w:val="0"/>
      <w:marRight w:val="0"/>
      <w:marTop w:val="0"/>
      <w:marBottom w:val="0"/>
      <w:divBdr>
        <w:top w:val="none" w:sz="0" w:space="0" w:color="auto"/>
        <w:left w:val="none" w:sz="0" w:space="0" w:color="auto"/>
        <w:bottom w:val="none" w:sz="0" w:space="0" w:color="auto"/>
        <w:right w:val="none" w:sz="0" w:space="0" w:color="auto"/>
      </w:divBdr>
    </w:div>
    <w:div w:id="210298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consilium.europa.eu/fr/press/press-releases/2017/06/pdf/Read-the-full-text-of-the-Council-conclusions_pdf(4)/" TargetMode="External"/><Relationship Id="rId3" Type="http://schemas.openxmlformats.org/officeDocument/2006/relationships/hyperlink" Target="http://www.nice.fr/uploads/media/default/0001/15/TERRORISME%20EUROPE%20De%CC%81claration%20-%20der%20version.pdf" TargetMode="External"/><Relationship Id="rId7" Type="http://schemas.openxmlformats.org/officeDocument/2006/relationships/hyperlink" Target="http://www.consilium.europa.eu/fr/press/press-releases/2017/07/07-g20-counter-terrorism/" TargetMode="External"/><Relationship Id="rId12" Type="http://schemas.openxmlformats.org/officeDocument/2006/relationships/hyperlink" Target="http://www.consilium.europa.eu/fr/press/press-releases/2017/06/pdf/Read-the-full-text-of-the-Council-conclusions_pdf(4)/" TargetMode="External"/><Relationship Id="rId2" Type="http://schemas.openxmlformats.org/officeDocument/2006/relationships/hyperlink" Target="https://ec.europa.eu/commission/sites/beta-political/files/letter-of-intent-2017_fr.pdf." TargetMode="External"/><Relationship Id="rId1" Type="http://schemas.openxmlformats.org/officeDocument/2006/relationships/hyperlink" Target="http://europa.eu/rapid/press-release_SPEECH-17-3165_fr.htm" TargetMode="External"/><Relationship Id="rId6" Type="http://schemas.openxmlformats.org/officeDocument/2006/relationships/hyperlink" Target="http://www.consilium.europa.eu/fr/press/press-releases/2017/05/26-statement-fight-against-terrorism/" TargetMode="External"/><Relationship Id="rId11" Type="http://schemas.openxmlformats.org/officeDocument/2006/relationships/hyperlink" Target="http://www.un.org/en/sc/ctc/docs/2015/N1454799_FR.pdf" TargetMode="External"/><Relationship Id="rId5" Type="http://schemas.openxmlformats.org/officeDocument/2006/relationships/hyperlink" Target="http://www.consilium.europa.eu/fr/meetings/european-council/2017/06/22-23-euco-conclusions_pdf/" TargetMode="External"/><Relationship Id="rId10" Type="http://schemas.openxmlformats.org/officeDocument/2006/relationships/hyperlink" Target="https://rm.coe.int/168047c5ea" TargetMode="External"/><Relationship Id="rId4" Type="http://schemas.openxmlformats.org/officeDocument/2006/relationships/hyperlink" Target="https://www.europol.europa.eu/activities-services/main-reports/eu-terrorism-situation-and-trend-report-te-sat-2017" TargetMode="External"/><Relationship Id="rId9" Type="http://schemas.openxmlformats.org/officeDocument/2006/relationships/hyperlink" Target="https://rm.coe.int/16800837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4CDE0-9662-47D4-9952-23FC6C8EF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18</Pages>
  <Words>8001</Words>
  <Characters>45847</Characters>
  <Application>Microsoft Office Word</Application>
  <DocSecurity>0</DocSecurity>
  <Lines>818</Lines>
  <Paragraphs>270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22</cp:revision>
  <cp:lastPrinted>2017-10-11T08:36:00Z</cp:lastPrinted>
  <dcterms:created xsi:type="dcterms:W3CDTF">2017-10-25T14:08:00Z</dcterms:created>
  <dcterms:modified xsi:type="dcterms:W3CDTF">2017-10-26T11:56:00Z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