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4775A963DEB4478A870671237F640AED" style="width:450.75pt;height:361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ПОПРАВКА</w:t>
      </w:r>
    </w:p>
    <w:p>
      <w:pPr>
        <w:pStyle w:val="Titreobjet"/>
        <w:rPr>
          <w:noProof/>
        </w:rPr>
      </w:pPr>
      <w:r>
        <w:rPr>
          <w:noProof/>
        </w:rPr>
        <w:t>на Делегиран регламент (ЕС) 2016/341 на Комисията от 17 декември 2015 година за допълнение на Регламент (ЕС) № 952/2013 на Европейския парламент и на Съвета чрез преходни правила за някои разпоредби от Митническия кодекс на Съюза, за случаите, когато съответните електронни системи все още не са в действие, и за изменение на Делегиран регламент (ЕС) 2015/2446</w:t>
      </w:r>
    </w:p>
    <w:p>
      <w:pPr>
        <w:pStyle w:val="Sous-titreobjet"/>
        <w:rPr>
          <w:noProof/>
        </w:rPr>
      </w:pPr>
      <w:r>
        <w:rPr>
          <w:noProof/>
        </w:rPr>
        <w:t>(</w:t>
      </w:r>
      <w:r>
        <w:rPr>
          <w:i/>
          <w:noProof/>
        </w:rPr>
        <w:t>Официален вестник на Европейския съюз L 69 от 15 март 2016 г.</w:t>
      </w:r>
      <w:r>
        <w:rPr>
          <w:noProof/>
        </w:rPr>
        <w:t>)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На страница 40 от ОВ L 69, 15.3.2016 г., в приложение 2, клетка 10, поправена на страница 208 от OВ L 101, 13.4.2017 г.:</w:t>
      </w:r>
    </w:p>
    <w:p>
      <w:pPr>
        <w:autoSpaceDE w:val="0"/>
        <w:autoSpaceDN w:val="0"/>
        <w:adjustRightInd w:val="0"/>
        <w:rPr>
          <w:rFonts w:ascii="EUAlbertina" w:hAnsi="EUAlbertina"/>
          <w:noProof/>
        </w:rPr>
      </w:pPr>
      <w:r>
        <w:rPr>
          <w:i/>
          <w:noProof/>
        </w:rPr>
        <w:t>вместо:</w:t>
      </w:r>
      <w:r>
        <w:rPr>
          <w:noProof/>
        </w:rPr>
        <w:t xml:space="preserve"> </w:t>
      </w:r>
      <w:r>
        <w:rPr>
          <w:noProof/>
        </w:rPr>
        <w:tab/>
        <w:t>„Описание“,</w:t>
      </w:r>
    </w:p>
    <w:p>
      <w:pPr>
        <w:autoSpaceDE w:val="0"/>
        <w:autoSpaceDN w:val="0"/>
        <w:adjustRightInd w:val="0"/>
        <w:rPr>
          <w:noProof/>
        </w:rPr>
      </w:pPr>
      <w:r>
        <w:rPr>
          <w:i/>
          <w:noProof/>
        </w:rPr>
        <w:t>да се чете:</w:t>
      </w:r>
      <w:r>
        <w:rPr>
          <w:noProof/>
        </w:rPr>
        <w:t xml:space="preserve"> </w:t>
      </w:r>
      <w:r>
        <w:rPr>
          <w:noProof/>
        </w:rPr>
        <w:tab/>
        <w:t>„</w:t>
      </w:r>
      <w:r>
        <w:rPr>
          <w:rFonts w:eastAsia="Times New Roman"/>
          <w:noProof/>
          <w:lang w:eastAsia="en-GB"/>
        </w:rPr>
        <w:t>□</w:t>
      </w:r>
      <w:r>
        <w:rPr>
          <w:rFonts w:eastAsia="Times New Roman"/>
          <w:noProof/>
          <w:lang w:eastAsia="en-GB"/>
        </w:rPr>
        <w:tab/>
        <w:t>Описание“</w:t>
      </w:r>
      <w:r>
        <w:rPr>
          <w:noProof/>
        </w:rPr>
        <w:t>.</w:t>
      </w:r>
    </w:p>
    <w:p>
      <w:pPr>
        <w:rPr>
          <w:noProof/>
        </w:rPr>
      </w:pPr>
    </w:p>
    <w:p>
      <w:pPr>
        <w:rPr>
          <w:rFonts w:ascii="EUAlbertina" w:hAnsi="EUAlbertina"/>
          <w:noProof/>
        </w:rPr>
      </w:pPr>
      <w:r>
        <w:rPr>
          <w:noProof/>
        </w:rPr>
        <w:t>На страница 42 от ОВ L 69, 15.3.2016 г., в приложение 3, в „ЕКЗЕМПЛЯР ЗА ТИТУЛЯРЯ“, в клетка „Важна бележка“, поправена на страница 209 от OВ L 101, 13.4.2017 г.:</w:t>
      </w:r>
    </w:p>
    <w:p>
      <w:pPr>
        <w:autoSpaceDE w:val="0"/>
        <w:autoSpaceDN w:val="0"/>
        <w:adjustRightInd w:val="0"/>
        <w:ind w:left="720" w:hanging="720"/>
        <w:rPr>
          <w:rFonts w:ascii="EUAlbertina" w:hAnsi="EUAlbertina"/>
          <w:noProof/>
        </w:rPr>
      </w:pPr>
      <w:r>
        <w:rPr>
          <w:i/>
          <w:noProof/>
        </w:rPr>
        <w:t>вместо:</w:t>
      </w:r>
      <w:r>
        <w:rPr>
          <w:noProof/>
        </w:rPr>
        <w:t xml:space="preserve"> </w:t>
      </w:r>
      <w:r>
        <w:rPr>
          <w:noProof/>
        </w:rPr>
        <w:tab/>
        <w:t>„Без да се засягат разпоредбите на член 34, параграфи 4 и 5 от Регламент (ЕС) № 952/2013 на Европейския парламент и на Съвета, настоящата ОТИ е валидна за срок от 3 години от началната дата на валидност.“,</w:t>
      </w:r>
    </w:p>
    <w:p>
      <w:pPr>
        <w:autoSpaceDE w:val="0"/>
        <w:autoSpaceDN w:val="0"/>
        <w:adjustRightInd w:val="0"/>
        <w:ind w:left="720" w:hanging="720"/>
        <w:rPr>
          <w:noProof/>
        </w:rPr>
      </w:pPr>
      <w:bookmarkStart w:id="1" w:name="_CopyToNewDocument_"/>
      <w:r>
        <w:rPr>
          <w:i/>
          <w:noProof/>
        </w:rPr>
        <w:t>да се чете:</w:t>
      </w:r>
      <w:r>
        <w:rPr>
          <w:noProof/>
        </w:rPr>
        <w:t xml:space="preserve"> </w:t>
      </w:r>
      <w:r>
        <w:rPr>
          <w:noProof/>
        </w:rPr>
        <w:tab/>
        <w:t>„Без да се засягат разпоредбите на член 34, параграфи 1, 4, 5 и 7 от Регламент (ЕС) № 952/2013 на Европейския парламент и на Съвета, настоящата ОТИ е валидна за срок от 3 години от началната дата на валидност.“.</w:t>
      </w:r>
    </w:p>
    <w:p>
      <w:pPr>
        <w:autoSpaceDE w:val="0"/>
        <w:autoSpaceDN w:val="0"/>
        <w:adjustRightInd w:val="0"/>
        <w:ind w:left="720" w:hanging="720"/>
        <w:rPr>
          <w:noProof/>
        </w:rPr>
      </w:pPr>
    </w:p>
    <w:p>
      <w:pPr>
        <w:autoSpaceDE w:val="0"/>
        <w:autoSpaceDN w:val="0"/>
        <w:adjustRightInd w:val="0"/>
        <w:rPr>
          <w:rFonts w:ascii="EUAlbertina" w:hAnsi="EUAlbertina"/>
          <w:noProof/>
        </w:rPr>
      </w:pPr>
      <w:r>
        <w:rPr>
          <w:noProof/>
        </w:rPr>
        <w:t>На страница 43 от ОВ L 69, 15.3.2016 г., в приложение 3, в „ЕКЗЕМПЛЯР ЗА КОМИСИЯТА“, в клетка „Важна бележка“, поправена на страница 210 от OВ L 101, 13.4.2017 г.:</w:t>
      </w:r>
    </w:p>
    <w:p>
      <w:pPr>
        <w:autoSpaceDE w:val="0"/>
        <w:autoSpaceDN w:val="0"/>
        <w:adjustRightInd w:val="0"/>
        <w:ind w:left="720" w:hanging="720"/>
        <w:rPr>
          <w:rFonts w:ascii="EUAlbertina" w:hAnsi="EUAlbertina"/>
          <w:noProof/>
        </w:rPr>
      </w:pPr>
      <w:r>
        <w:rPr>
          <w:i/>
          <w:noProof/>
        </w:rPr>
        <w:t>вместо:</w:t>
      </w:r>
      <w:r>
        <w:rPr>
          <w:noProof/>
        </w:rPr>
        <w:t xml:space="preserve"> </w:t>
      </w:r>
      <w:r>
        <w:rPr>
          <w:noProof/>
        </w:rPr>
        <w:tab/>
        <w:t>„Без да се засягат разпоредбите на член 34, параграфи 4 и 5 от Регламент (ЕС) № 952/2013 на Европейския парламент и на Съвета, настоящата ОТИ е валидна за срок от 3 години от началната дата на валидност.“,</w:t>
      </w:r>
    </w:p>
    <w:p>
      <w:pPr>
        <w:autoSpaceDE w:val="0"/>
        <w:autoSpaceDN w:val="0"/>
        <w:adjustRightInd w:val="0"/>
        <w:ind w:left="720" w:hanging="720"/>
        <w:rPr>
          <w:noProof/>
        </w:rPr>
      </w:pPr>
      <w:r>
        <w:rPr>
          <w:i/>
          <w:noProof/>
        </w:rPr>
        <w:t>да се чете:</w:t>
      </w:r>
      <w:r>
        <w:rPr>
          <w:noProof/>
        </w:rPr>
        <w:t xml:space="preserve"> </w:t>
      </w:r>
      <w:r>
        <w:rPr>
          <w:noProof/>
        </w:rPr>
        <w:tab/>
        <w:t>„Без да се засягат разпоредбите на член 34, параграфи 1, 4, 5 и 7 от Регламент (ЕС) № 952/2013 на Европейския парламент и на Съвета, настоящата ОТИ е валидна за срок от 3 години от началната дата на валидност.“.</w:t>
      </w:r>
    </w:p>
    <w:p>
      <w:pPr>
        <w:autoSpaceDE w:val="0"/>
        <w:autoSpaceDN w:val="0"/>
        <w:adjustRightInd w:val="0"/>
        <w:ind w:left="720" w:hanging="720"/>
        <w:rPr>
          <w:noProof/>
        </w:rPr>
      </w:pP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На страница 44 от ОВ L 69, 15.3.2016 г., в приложение 3, в „ЕКЗЕМПЛЯР ЗА ДЪРЖАВАТА ЧЛЕНКА“, в клетка „Важна бележка“, поправена на страница 211 от OВ L 101, 13.4.2017 г.:</w:t>
      </w:r>
    </w:p>
    <w:p>
      <w:pPr>
        <w:autoSpaceDE w:val="0"/>
        <w:autoSpaceDN w:val="0"/>
        <w:adjustRightInd w:val="0"/>
        <w:ind w:left="720" w:hanging="720"/>
        <w:rPr>
          <w:rFonts w:ascii="EUAlbertina" w:hAnsi="EUAlbertina"/>
          <w:noProof/>
        </w:rPr>
      </w:pPr>
      <w:r>
        <w:rPr>
          <w:i/>
          <w:noProof/>
        </w:rPr>
        <w:t>вместо:</w:t>
      </w:r>
      <w:r>
        <w:rPr>
          <w:noProof/>
        </w:rPr>
        <w:t xml:space="preserve"> </w:t>
      </w:r>
      <w:r>
        <w:rPr>
          <w:noProof/>
        </w:rPr>
        <w:tab/>
        <w:t>„Без да се засягат разпоредбите на член 34, параграфи 4 и 5 от Регламент (ЕС) № 952/2013 на Европейския парламент и на Съвета, настоящата ОТИ е валидна за срок от 3 години от началната дата на валидност.“,</w:t>
      </w:r>
    </w:p>
    <w:p>
      <w:pPr>
        <w:autoSpaceDE w:val="0"/>
        <w:autoSpaceDN w:val="0"/>
        <w:adjustRightInd w:val="0"/>
        <w:ind w:left="720" w:hanging="720"/>
        <w:rPr>
          <w:noProof/>
        </w:rPr>
      </w:pPr>
      <w:r>
        <w:rPr>
          <w:i/>
          <w:noProof/>
        </w:rPr>
        <w:lastRenderedPageBreak/>
        <w:t>да се чете:</w:t>
      </w:r>
      <w:r>
        <w:rPr>
          <w:noProof/>
        </w:rPr>
        <w:t xml:space="preserve"> </w:t>
      </w:r>
      <w:r>
        <w:rPr>
          <w:noProof/>
        </w:rPr>
        <w:tab/>
        <w:t>„Без да се засягат разпоредбите на член 34, параграфи 1, 4, 5 и 7 от Регламент (ЕС) № 952/2013 на Европейския парламент и на Съвета, настоящата ОТИ е валидна за срок от 3 години от началната дата на валидност.“.</w:t>
      </w:r>
    </w:p>
    <w:p>
      <w:pPr>
        <w:autoSpaceDE w:val="0"/>
        <w:autoSpaceDN w:val="0"/>
        <w:adjustRightInd w:val="0"/>
        <w:ind w:left="720" w:hanging="720"/>
        <w:rPr>
          <w:noProof/>
        </w:rPr>
      </w:pP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На страница 47 от ОВ L 69, 15.3.2016 г., в приложение 4, в клетка 2, поправена на страница 214 от OВ L 101, 13.4.2017 г.:</w:t>
      </w:r>
    </w:p>
    <w:p>
      <w:pPr>
        <w:autoSpaceDE w:val="0"/>
        <w:autoSpaceDN w:val="0"/>
        <w:adjustRightInd w:val="0"/>
        <w:rPr>
          <w:rFonts w:ascii="EUAlbertina" w:hAnsi="EUAlbertina"/>
          <w:noProof/>
        </w:rPr>
      </w:pPr>
      <w:r>
        <w:rPr>
          <w:i/>
          <w:noProof/>
        </w:rPr>
        <w:t>вместо:</w:t>
      </w:r>
      <w:r>
        <w:rPr>
          <w:noProof/>
        </w:rPr>
        <w:t xml:space="preserve"> </w:t>
      </w:r>
      <w:r>
        <w:rPr>
          <w:noProof/>
        </w:rPr>
        <w:tab/>
        <w:t>„(ако е различно от горепосоченото)“,</w:t>
      </w:r>
    </w:p>
    <w:p>
      <w:pPr>
        <w:autoSpaceDE w:val="0"/>
        <w:autoSpaceDN w:val="0"/>
        <w:adjustRightInd w:val="0"/>
        <w:rPr>
          <w:noProof/>
        </w:rPr>
      </w:pPr>
      <w:r>
        <w:rPr>
          <w:i/>
          <w:noProof/>
        </w:rPr>
        <w:t>да се чете:</w:t>
      </w:r>
      <w:r>
        <w:rPr>
          <w:noProof/>
        </w:rPr>
        <w:t xml:space="preserve"> </w:t>
      </w:r>
      <w:r>
        <w:rPr>
          <w:noProof/>
        </w:rPr>
        <w:tab/>
        <w:t>„(ако е различно от горепосочената държава)</w:t>
      </w:r>
      <w:r>
        <w:rPr>
          <w:noProof/>
        </w:rPr>
        <w:tab/>
      </w:r>
      <w:r>
        <w:rPr>
          <w:noProof/>
        </w:rPr>
        <w:tab/>
        <w:t>(поверително)“.</w:t>
      </w:r>
    </w:p>
    <w:p>
      <w:pPr>
        <w:autoSpaceDE w:val="0"/>
        <w:autoSpaceDN w:val="0"/>
        <w:adjustRightInd w:val="0"/>
        <w:rPr>
          <w:noProof/>
        </w:rPr>
      </w:pP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На страница 48 от ОВ L 69, 15.3.2016 г., в приложение 4, в клетка 4, поправена на страница 214 от OВ L 101, 13.4.2017 г.:</w:t>
      </w:r>
    </w:p>
    <w:p>
      <w:pPr>
        <w:autoSpaceDE w:val="0"/>
        <w:autoSpaceDN w:val="0"/>
        <w:adjustRightInd w:val="0"/>
        <w:rPr>
          <w:noProof/>
        </w:rPr>
      </w:pPr>
      <w:r>
        <w:rPr>
          <w:i/>
          <w:noProof/>
        </w:rPr>
        <w:t>вместо:</w:t>
      </w:r>
      <w:r>
        <w:rPr>
          <w:noProof/>
        </w:rPr>
        <w:tab/>
        <w:t>„(задължително)“,</w:t>
      </w:r>
      <w:r>
        <w:rPr>
          <w:noProof/>
        </w:rPr>
        <w:tab/>
      </w:r>
    </w:p>
    <w:p>
      <w:pPr>
        <w:autoSpaceDE w:val="0"/>
        <w:autoSpaceDN w:val="0"/>
        <w:adjustRightInd w:val="0"/>
        <w:rPr>
          <w:i/>
          <w:noProof/>
        </w:rPr>
      </w:pPr>
      <w:r>
        <w:rPr>
          <w:i/>
          <w:noProof/>
        </w:rPr>
        <w:t>да се чете:</w:t>
      </w:r>
      <w:r>
        <w:rPr>
          <w:i/>
          <w:noProof/>
        </w:rPr>
        <w:tab/>
      </w:r>
      <w:r>
        <w:rPr>
          <w:noProof/>
        </w:rPr>
        <w:t>„(задължително)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(поверително)“.</w:t>
      </w:r>
    </w:p>
    <w:p>
      <w:pPr>
        <w:autoSpaceDE w:val="0"/>
        <w:autoSpaceDN w:val="0"/>
        <w:adjustRightInd w:val="0"/>
        <w:rPr>
          <w:noProof/>
        </w:rPr>
      </w:pP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На страница 48 от ОВ L 69, 15.3.2016 г., в приложение 4, в клетка 9, поправена на страница 215 от OВ L 101, 13.4.2017 г.:</w:t>
      </w:r>
    </w:p>
    <w:p>
      <w:pPr>
        <w:autoSpaceDE w:val="0"/>
        <w:autoSpaceDN w:val="0"/>
        <w:adjustRightInd w:val="0"/>
        <w:ind w:left="720" w:hanging="720"/>
        <w:rPr>
          <w:rFonts w:ascii="EUAlbertina" w:hAnsi="EUAlbertina"/>
          <w:noProof/>
        </w:rPr>
      </w:pPr>
      <w:r>
        <w:rPr>
          <w:i/>
          <w:noProof/>
        </w:rPr>
        <w:t>вместо:</w:t>
      </w:r>
      <w:r>
        <w:rPr>
          <w:noProof/>
        </w:rPr>
        <w:t xml:space="preserve"> </w:t>
      </w:r>
      <w:r>
        <w:rPr>
          <w:noProof/>
        </w:rPr>
        <w:tab/>
        <w:t>„Подробно описание на стоките, което позволява те да бъдат идентифицирани и да се определи класирането им по митническата номенклатура. Тук следва да се включат и подробни сведения за състава на стоките и методите за проверка, евентуално използвани за определянето му, в случаите, когато класирането зависи от това. Сведенията, които заявителят счита за поверителни, следва да бъдат въведени в клетка 8. Търговско наименование и допълнителна информация.“,</w:t>
      </w:r>
    </w:p>
    <w:p>
      <w:pPr>
        <w:autoSpaceDE w:val="0"/>
        <w:autoSpaceDN w:val="0"/>
        <w:adjustRightInd w:val="0"/>
        <w:ind w:left="720" w:hanging="720"/>
        <w:rPr>
          <w:noProof/>
        </w:rPr>
      </w:pPr>
      <w:r>
        <w:rPr>
          <w:i/>
          <w:noProof/>
        </w:rPr>
        <w:t>да се чете:</w:t>
      </w:r>
      <w:r>
        <w:rPr>
          <w:noProof/>
        </w:rPr>
        <w:t xml:space="preserve"> </w:t>
      </w:r>
      <w:r>
        <w:rPr>
          <w:noProof/>
        </w:rPr>
        <w:tab/>
        <w:t>„Подробно описание на стоките, което позволява те да бъдат идентифицирани и да се определи класирането им по митническата номенклатура. Тук следва да се включат и подробни сведения за състава на стоките и методите за проверка, евентуално използвани за определянето му, в случаите, когато класирането зависи от това. Сведенията, които заявителят счита за поверителни, следва да бъдат въведени в клетка 10 — Търговско наименование и допълнителна информация.“.</w:t>
      </w:r>
    </w:p>
    <w:p>
      <w:pPr>
        <w:autoSpaceDE w:val="0"/>
        <w:autoSpaceDN w:val="0"/>
        <w:adjustRightInd w:val="0"/>
        <w:rPr>
          <w:noProof/>
        </w:rPr>
      </w:pP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На страница 49 от ОВ L 69, 15.3.2016 г., в приложение 4, в клетка 12, поправена на страница 215 от OВ L 101, 13.4.2017 г.:</w:t>
      </w:r>
    </w:p>
    <w:p>
      <w:pPr>
        <w:autoSpaceDE w:val="0"/>
        <w:autoSpaceDN w:val="0"/>
        <w:adjustRightInd w:val="0"/>
        <w:rPr>
          <w:rFonts w:ascii="EUAlbertina" w:hAnsi="EUAlbertina"/>
          <w:noProof/>
        </w:rPr>
      </w:pPr>
      <w:r>
        <w:rPr>
          <w:i/>
          <w:noProof/>
        </w:rPr>
        <w:t>вместо</w:t>
      </w:r>
      <w:r>
        <w:rPr>
          <w:noProof/>
        </w:rPr>
        <w:t xml:space="preserve">: </w:t>
      </w:r>
      <w:r>
        <w:rPr>
          <w:noProof/>
        </w:rPr>
        <w:tab/>
        <w:t>„</w:t>
      </w:r>
      <w:r>
        <w:rPr>
          <w:b/>
          <w:noProof/>
        </w:rPr>
        <w:t>12. Други заявления за ОТИ и други притежавани ОТИ</w:t>
      </w:r>
      <w:r>
        <w:rPr>
          <w:noProof/>
        </w:rPr>
        <w:t>“,</w:t>
      </w:r>
    </w:p>
    <w:p>
      <w:pPr>
        <w:autoSpaceDE w:val="0"/>
        <w:autoSpaceDN w:val="0"/>
        <w:adjustRightInd w:val="0"/>
        <w:rPr>
          <w:noProof/>
        </w:rPr>
      </w:pPr>
      <w:r>
        <w:rPr>
          <w:i/>
          <w:noProof/>
        </w:rPr>
        <w:t>да се чете:</w:t>
      </w:r>
      <w:r>
        <w:rPr>
          <w:noProof/>
        </w:rPr>
        <w:t xml:space="preserve"> </w:t>
      </w:r>
      <w:r>
        <w:rPr>
          <w:noProof/>
        </w:rPr>
        <w:tab/>
        <w:t>„</w:t>
      </w:r>
      <w:r>
        <w:rPr>
          <w:b/>
          <w:noProof/>
        </w:rPr>
        <w:t xml:space="preserve">12. Други заявления за ОТИ и други притежавани ОТИ           </w:t>
      </w:r>
      <w:r>
        <w:rPr>
          <w:noProof/>
        </w:rPr>
        <w:t>(задължително)“.</w:t>
      </w:r>
    </w:p>
    <w:p>
      <w:pPr>
        <w:autoSpaceDE w:val="0"/>
        <w:autoSpaceDN w:val="0"/>
        <w:adjustRightInd w:val="0"/>
        <w:rPr>
          <w:noProof/>
        </w:rPr>
      </w:pP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На страница 50 от ОВ L 69, 15.3.2016 г., в приложение 4, в клетка 15, текстът под заглавието „Важна бележка“, поправен на страница 216 от OВ L 101, 13.4.2017 г.:</w:t>
      </w:r>
    </w:p>
    <w:p>
      <w:pPr>
        <w:autoSpaceDE w:val="0"/>
        <w:autoSpaceDN w:val="0"/>
        <w:adjustRightInd w:val="0"/>
        <w:ind w:left="720" w:hanging="720"/>
        <w:rPr>
          <w:rFonts w:ascii="EUAlbertina" w:hAnsi="EUAlbertina"/>
          <w:noProof/>
        </w:rPr>
      </w:pPr>
      <w:r>
        <w:rPr>
          <w:i/>
          <w:noProof/>
        </w:rPr>
        <w:lastRenderedPageBreak/>
        <w:t>вместо:</w:t>
      </w:r>
      <w:r>
        <w:rPr>
          <w:noProof/>
        </w:rPr>
        <w:t xml:space="preserve"> </w:t>
      </w:r>
      <w:r>
        <w:rPr>
          <w:noProof/>
        </w:rPr>
        <w:tab/>
        <w:t>„Удостоверявайки истинността на настоящото заявление, заявителят поема отговорност за точността и пълнотата на съдържащите се в него данни и на допълнителната информация, евентуално представена заедно с него. Заявителят приема, че тези данни и всички евентуални снимки, изображения, брошури и т.н. може да се съхраняват в база данни на Европейската комисия, както и че данните, в т.ч. всички снимки, изображения, брошури и т.н., които са представени заедно със заявлението или са получени (или може да бъдат получени) от администрацията и които не са отбелязани като поверителни с отметка в елементи от данни 1, 2 и 8 от заявлението, се оповестяват пред обществеността по интернет.“,</w:t>
      </w:r>
    </w:p>
    <w:p>
      <w:pPr>
        <w:autoSpaceDE w:val="0"/>
        <w:autoSpaceDN w:val="0"/>
        <w:adjustRightInd w:val="0"/>
        <w:ind w:left="720" w:hanging="720"/>
        <w:rPr>
          <w:noProof/>
        </w:rPr>
      </w:pPr>
      <w:r>
        <w:rPr>
          <w:i/>
          <w:noProof/>
        </w:rPr>
        <w:t>да се чете:</w:t>
      </w:r>
      <w:r>
        <w:rPr>
          <w:noProof/>
        </w:rPr>
        <w:t xml:space="preserve"> </w:t>
      </w:r>
      <w:r>
        <w:rPr>
          <w:noProof/>
        </w:rPr>
        <w:tab/>
        <w:t>„Удостоверявайки истинността на настоящото заявление, заявителят поема отговорност за точността и пълнотата на съдържащите се в него данни и на допълнителната информация, евентуално представена заедно с него. Заявителят приема, че тези данни и всички евентуални снимки, изображения, брошури и т.н. може да се съхраняват в база данни на Европейската комисия, както и че данните, в т.ч. всички снимки, изображения, брошури и т.н., които са представени заедно със заявлението или са получени (или може да бъдат получени) от администрацията и които не са отбелязани като поверителни с отметка в елементи от данни 1, 2, 4 и 10 от заявлението, се оповестяват пред обществеността по интернет.“.</w:t>
      </w:r>
    </w:p>
    <w:p>
      <w:pPr>
        <w:autoSpaceDE w:val="0"/>
        <w:autoSpaceDN w:val="0"/>
        <w:adjustRightInd w:val="0"/>
        <w:ind w:left="720" w:hanging="720"/>
        <w:rPr>
          <w:noProof/>
        </w:rPr>
      </w:pPr>
    </w:p>
    <w:p>
      <w:pPr>
        <w:rPr>
          <w:noProof/>
        </w:rPr>
      </w:pPr>
      <w:r>
        <w:rPr>
          <w:noProof/>
        </w:rPr>
        <w:t>На страница 50 от ОВ L 69, 15.3.2016 г., в приложение 4, под клетка 16, поправена на страница 216 от OВ L 101, 13.4.2017 г., се добавя следната бележка под линия:</w:t>
      </w:r>
    </w:p>
    <w:p>
      <w:pPr>
        <w:rPr>
          <w:noProof/>
        </w:rPr>
      </w:pPr>
      <w:r>
        <w:rPr>
          <w:noProof/>
        </w:rPr>
        <w:t>„(*) Използвайте отделен лист, ако имате нужда от повече място.“</w:t>
      </w:r>
    </w:p>
    <w:p>
      <w:pPr>
        <w:rPr>
          <w:noProof/>
        </w:rPr>
      </w:pPr>
    </w:p>
    <w:p>
      <w:pPr>
        <w:rPr>
          <w:rFonts w:ascii="EUAlbertina" w:hAnsi="EUAlbertina"/>
          <w:noProof/>
        </w:rPr>
      </w:pPr>
      <w:r>
        <w:rPr>
          <w:noProof/>
        </w:rPr>
        <w:t>На страница 51 от ОВ L 69, 15.3.2016 г., в приложение 5, в клетка „Важна бележка“, поправена на страница 217 от OВ L 101, 13.4.2017 г.:</w:t>
      </w:r>
    </w:p>
    <w:p>
      <w:pPr>
        <w:autoSpaceDE w:val="0"/>
        <w:autoSpaceDN w:val="0"/>
        <w:adjustRightInd w:val="0"/>
        <w:ind w:left="720" w:hanging="720"/>
        <w:rPr>
          <w:rFonts w:ascii="EUAlbertina" w:hAnsi="EUAlbertina"/>
          <w:noProof/>
        </w:rPr>
      </w:pPr>
      <w:r>
        <w:rPr>
          <w:i/>
          <w:noProof/>
        </w:rPr>
        <w:t>вместо:</w:t>
      </w:r>
      <w:r>
        <w:rPr>
          <w:noProof/>
        </w:rPr>
        <w:t xml:space="preserve"> </w:t>
      </w:r>
      <w:r>
        <w:rPr>
          <w:noProof/>
        </w:rPr>
        <w:tab/>
        <w:t>„Без да се засягат разпоредбите на член 34, параграфи 4 и 5 от Регламент (ЕС) № 952/2013 на Европейския парламент и на Съвета, настоящата ОТИ е валидна за срок от 3 години от началната дата на валидност.“,</w:t>
      </w:r>
    </w:p>
    <w:p>
      <w:pPr>
        <w:autoSpaceDE w:val="0"/>
        <w:autoSpaceDN w:val="0"/>
        <w:adjustRightInd w:val="0"/>
        <w:ind w:left="720" w:hanging="720"/>
        <w:rPr>
          <w:noProof/>
        </w:rPr>
      </w:pPr>
      <w:r>
        <w:rPr>
          <w:i/>
          <w:noProof/>
        </w:rPr>
        <w:t>да се чете:</w:t>
      </w:r>
      <w:r>
        <w:rPr>
          <w:noProof/>
        </w:rPr>
        <w:t xml:space="preserve"> </w:t>
      </w:r>
      <w:r>
        <w:rPr>
          <w:noProof/>
        </w:rPr>
        <w:tab/>
      </w:r>
      <w:bookmarkEnd w:id="1"/>
      <w:r>
        <w:rPr>
          <w:noProof/>
        </w:rPr>
        <w:t>„Без да се засягат разпоредбите на член 34, параграфи 1, 4, 5 и 7 от Регламент (ЕС) № 952/2013 на Европейския парламент и на Съвета, настоящата ОТИ е валидна за срок от 3 години от началната дата на валидност.“.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26E8B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A8808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EF87A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3ACA4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048B8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14003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A5E5B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0EA73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23 09:01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6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VERPAGE_GUID" w:val="4775A963DEB4478A870671237F640AED"/>
    <w:docVar w:name="LW_CROSSREFERENCE" w:val="&lt;UNUSED&gt;"/>
    <w:docVar w:name="LW_DocType" w:val="COM"/>
    <w:docVar w:name="LW_EMISSION" w:val="26.10.2017"/>
    <w:docVar w:name="LW_EMISSION_ISODATE" w:val="2017-10-26"/>
    <w:docVar w:name="LW_EMISSION_LOCATION" w:val="BRX"/>
    <w:docVar w:name="LW_EMISSION_PREFIX" w:val="Брюксел, "/>
    <w:docVar w:name="LW_EMISSION_SUFFIX" w:val=" \u1075?."/>
    <w:docVar w:name="LW_ID_DOCMODEL" w:val="SG-039"/>
    <w:docVar w:name="LW_ID_DOCSTRUCTURE" w:val="COM/PRELIM/CORR"/>
    <w:docVar w:name="LW_ID_DOCTYPE" w:val="SG-039"/>
    <w:docVar w:name="LW_INTERETEEE.CP" w:val="&lt;UNUSED&gt;"/>
    <w:docVar w:name="LW_LANGUE" w:val="BG"/>
    <w:docVar w:name="LW_LANGUESFAISANTFOI.CP" w:val="&lt;UNUSED&gt;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7) 7094"/>
    <w:docVar w:name="LW_REF.INTERNE" w:val="&lt;UNUSED&gt;"/>
    <w:docVar w:name="LW_SOUS.TITRE.OBJ.CP" w:val="(\u1054?\u1092?\u1080?\u1094?\u1080?\u1072?\u1083?\u1077?\u1085? \u1074?\u1077?\u1089?\u1090?\u1085?\u1080?\u1082? \u1085?\u1072? \u1045?\u1074?\u1088?\u1086?\u1087?\u1077?\u1081?\u1089?\u1082?\u1080?\u1103? \u1089?\u1098?\u1102?\u1079? L 69 \u1086?\u1090? 15 \u1084?\u1072?\u1088?\u1090? 2016 \u1075?.)"/>
    <w:docVar w:name="LW_SOUS.TITRE.OBJ_CONTENT_FMTD" w:val="(&lt;FMT:italic&gt;\u1054?\u1092?\u1080?\u1094?\u1080?\u1072?\u1083?\u1077?\u1085? \u1074?\u1077?\u1089?\u1090?\u1085?\u1080?\u1082? \u1085?\u1072? \u1045?\u1074?\u1088?\u1086?\u1087?\u1077?\u1081?\u1089?\u1082?\u1080?\u1103? \u1089?\u1098?\u1102?\u1079? L 69 \u1086?\u1090? 15 \u1084?\u1072?\u1088?\u1090? 2016 \u1075?.&lt;/FMT&gt;)"/>
    <w:docVar w:name="LW_SOUS.TITRE.OBJ_USEMAINTEXTFORCP" w:val="1"/>
    <w:docVar w:name="LW_SUPERTITRE" w:val="&lt;UNUSED&gt;"/>
    <w:docVar w:name="LW_TITRE.OBJ.CP" w:val="\u1085?\u1072? \u1044?\u1077?\u1083?\u1077?\u1075?\u1080?\u1088?\u1072?\u1085? \u1088?\u1077?\u1075?\u1083?\u1072?\u1084?\u1077?\u1085?\u1090? (\u1045?\u1057?) 2016/341 \u1085?\u1072? \u1050?\u1086?\u1084?\u1080?\u1089?\u1080?\u1103?\u1090?\u1072? \u1086?\u1090? 17 \u1076?\u1077?\u1082?\u1077?\u1084?\u1074?\u1088?\u1080? 2015 \u1075?\u1086?\u1076?\u1080?\u1085?\u1072? \u1079?\u1072? \u1076?\u1086?\u1087?\u1098?\u1083?\u1085?\u1077?\u1085?\u1080?\u1077? \u1085?\u1072? \u1056?\u1077?\u1075?\u1083?\u1072?\u1084?\u1077?\u1085?\u1090? (\u1045?\u1057?) \u8470? 952/2013 \u1085?\u1072? \u1045?\u1074?\u1088?\u1086?\u1087?\u1077?\u1081?\u1089?\u1082?\u1080?\u1103? \u1087?\u1072?\u1088?\u1083?\u1072?\u1084?\u1077?\u1085?\u1090? \u1080? \u1085?\u1072? \u1057?\u1098?\u1074?\u1077?\u1090?\u1072? \u1095?\u1088?\u1077?\u1079? \u1087?\u1088?\u1077?\u1093?\u1086?\u1076?\u1085?\u1080? \u1087?\u1088?\u1072?\u1074?\u1080?\u1083?\u1072? \u1079?\u1072? \u1085?\u1103?\u1082?\u1086?\u1080? \u1088?\u1072?\u1079?\u1087?\u1086?\u1088?\u1077?\u1076?\u1073?\u1080? \u1086?\u1090? \u1052?\u1080?\u1090?\u1085?\u1080?\u1095?\u1077?\u1089?\u1082?\u1080?\u1103? \u1082?\u1086?\u1076?\u1077?\u1082?\u1089? \u1085?\u1072? \u1057?\u1098?\u1102?\u1079?\u1072?, \u1079?\u1072? \u1089?\u1083?\u1091?\u1095?\u1072?\u1080?\u1090?\u1077?, \u1082?\u1086?\u1075?\u1072?\u1090?\u1086? \u1089?\u1098?\u1086?\u1090?\u1074?\u1077?\u1090?\u1085?\u1080?\u1090?\u1077? \u1077?\u1083?\u1077?\u1082?\u1090?\u1088?\u1086?\u1085?\u1085?\u1080? \u1089?\u1080?\u1089?\u1090?\u1077?\u1084?\u1080? \u1074?\u1089?\u1077? \u1086?\u1097?\u1077? \u1085?\u1077? \u1089?\u1072? \u1074? \u1076?\u1077?\u1081?\u1089?\u1090?\u1074?\u1080?\u1077?, \u1080? \u1079?\u1072? \u1080?\u1079?\u1084?\u1077?\u1085?\u1077?\u1085?\u1080?\u1077? \u1085?\u1072? \u1044?\u1077?\u1083?\u1077?\u1075?\u1080?\u1088?\u1072?\u1085? \u1088?\u1077?\u1075?\u1083?\u1072?\u1084?\u1077?\u1085?\u1090? (\u1045?\u1057?) 2015/2446"/>
    <w:docVar w:name="LW_TYPE.DOC.CP" w:val="\u1055?\u1054?\u1055?\u1056?\u1040?\u1042?\u1050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E7A3-AF72-4C49-B43A-AB386A9B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4</Pages>
  <Words>1108</Words>
  <Characters>5464</Characters>
  <Application>Microsoft Office Word</Application>
  <DocSecurity>0</DocSecurity>
  <Lines>116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16</cp:revision>
  <cp:lastPrinted>2017-09-21T09:13:00Z</cp:lastPrinted>
  <dcterms:created xsi:type="dcterms:W3CDTF">2017-10-19T14:26:00Z</dcterms:created>
  <dcterms:modified xsi:type="dcterms:W3CDTF">2017-10-23T07:01:00Z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COM/PRELIM/CORR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SG-039</vt:lpwstr>
  </property>
  <property fmtid="{D5CDD505-2E9C-101B-9397-08002B2CF9AE}" pid="10" name="DQCStatus">
    <vt:lpwstr>Green (DQC version 03)</vt:lpwstr>
  </property>
</Properties>
</file>