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2C6CF074D7B4C7386AE45D080323ABF" style="width:451.25pt;height:3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CORRIGENDUM</w:t>
      </w:r>
    </w:p>
    <w:p>
      <w:pPr>
        <w:pStyle w:val="Titreobjet"/>
        <w:rPr>
          <w:noProof/>
        </w:rPr>
      </w:pPr>
      <w:r>
        <w:rPr>
          <w:noProof/>
        </w:rPr>
        <w:t>to Commission Delegated Regulation (EU) 2016/341 of 17 December 2015 supplementing Regulation (EU) No 952/2013 of the European Parliament and of the Council as regards transitional rules for certain provisions of the Union Customs Code where the relevant electronic systems are not yet operational and amending Delegated Regulation (EU) 2015/2446</w:t>
      </w:r>
    </w:p>
    <w:p>
      <w:pPr>
        <w:pStyle w:val="Sous-titreobjet"/>
        <w:rPr>
          <w:noProof/>
        </w:rPr>
      </w:pPr>
      <w:r>
        <w:rPr>
          <w:noProof/>
        </w:rPr>
        <w:t>(Official Journal of the European Union L 69 of 15 March 2016)</w:t>
      </w:r>
    </w:p>
    <w:p>
      <w:pPr>
        <w:rPr>
          <w:noProof/>
        </w:rPr>
      </w:pPr>
    </w:p>
    <w:p>
      <w:pPr>
        <w:rPr>
          <w:noProof/>
        </w:rPr>
      </w:pPr>
      <w:r>
        <w:rPr>
          <w:noProof/>
        </w:rPr>
        <w:t>On page 40, in Annex 2, in Box 10, as corrected on page 35 of OJ L 101 of 16.4.2016:</w:t>
      </w:r>
    </w:p>
    <w:p>
      <w:pPr>
        <w:autoSpaceDE w:val="0"/>
        <w:autoSpaceDN w:val="0"/>
        <w:adjustRightInd w:val="0"/>
        <w:rPr>
          <w:rFonts w:ascii="EUAlbertina" w:hAnsi="EUAlbertina"/>
          <w:noProof/>
        </w:rPr>
      </w:pPr>
      <w:r>
        <w:rPr>
          <w:i/>
          <w:noProof/>
        </w:rPr>
        <w:t>for:</w:t>
      </w:r>
      <w:r>
        <w:rPr>
          <w:noProof/>
        </w:rPr>
        <w:t xml:space="preserve"> </w:t>
      </w:r>
      <w:r>
        <w:rPr>
          <w:noProof/>
        </w:rPr>
        <w:tab/>
        <w:t>‘Description’</w:t>
      </w:r>
    </w:p>
    <w:p>
      <w:pPr>
        <w:autoSpaceDE w:val="0"/>
        <w:autoSpaceDN w:val="0"/>
        <w:adjustRightInd w:val="0"/>
        <w:rPr>
          <w:noProof/>
        </w:rPr>
      </w:pPr>
      <w:r>
        <w:rPr>
          <w:i/>
          <w:noProof/>
        </w:rPr>
        <w:t>read:</w:t>
      </w:r>
      <w:r>
        <w:rPr>
          <w:noProof/>
        </w:rPr>
        <w:t xml:space="preserve"> </w:t>
      </w:r>
      <w:r>
        <w:rPr>
          <w:noProof/>
        </w:rPr>
        <w:tab/>
        <w:t>‘</w:t>
      </w:r>
      <w:r>
        <w:rPr>
          <w:rFonts w:eastAsia="Times New Roman"/>
          <w:noProof/>
          <w:lang w:eastAsia="en-GB"/>
        </w:rPr>
        <w:t>□</w:t>
      </w:r>
      <w:r>
        <w:rPr>
          <w:rFonts w:eastAsia="Times New Roman"/>
          <w:noProof/>
          <w:lang w:eastAsia="en-GB"/>
        </w:rPr>
        <w:tab/>
      </w:r>
      <w:r>
        <w:rPr>
          <w:noProof/>
        </w:rPr>
        <w:t>Description’.</w:t>
      </w:r>
    </w:p>
    <w:p>
      <w:pPr>
        <w:rPr>
          <w:noProof/>
        </w:rPr>
      </w:pPr>
    </w:p>
    <w:p>
      <w:pPr>
        <w:rPr>
          <w:rFonts w:ascii="EUAlbertina" w:hAnsi="EUAlbertina"/>
          <w:noProof/>
        </w:rPr>
      </w:pPr>
      <w:r>
        <w:rPr>
          <w:noProof/>
        </w:rPr>
        <w:t>On page 42, in Annex 3, in "COPY FOR HOLDER", in the Box “Important notice”, as corrected on page 36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‘Without prejudice to the provisions of Article 34 (4) and (5) of Regulation (EC) No 952/2013 of the European Parliament and the Council this BTI remains valid for 3 years as from the date of start of validity.’</w:t>
      </w:r>
    </w:p>
    <w:p>
      <w:pPr>
        <w:autoSpaceDE w:val="0"/>
        <w:autoSpaceDN w:val="0"/>
        <w:adjustRightInd w:val="0"/>
        <w:ind w:left="720" w:hanging="720"/>
        <w:rPr>
          <w:noProof/>
        </w:rPr>
      </w:pPr>
      <w:bookmarkStart w:id="1" w:name="_CopyToNewDocument_"/>
      <w:r>
        <w:rPr>
          <w:i/>
          <w:noProof/>
        </w:rPr>
        <w:t>read:</w:t>
      </w:r>
      <w:r>
        <w:rPr>
          <w:noProof/>
        </w:rPr>
        <w:t xml:space="preserve"> </w:t>
      </w:r>
      <w:r>
        <w:rPr>
          <w:noProof/>
        </w:rPr>
        <w:tab/>
        <w:t>‘Without prejudice to paragraphs 1, 4, 5 and 7 of Article 34 of Regulation (EU) No 952/2013 of the European Parliament and of the Council this BTI remains valid for 3 years as from the date of start of validity.’.</w:t>
      </w:r>
    </w:p>
    <w:p>
      <w:pPr>
        <w:autoSpaceDE w:val="0"/>
        <w:autoSpaceDN w:val="0"/>
        <w:adjustRightInd w:val="0"/>
        <w:ind w:left="720" w:hanging="720"/>
        <w:rPr>
          <w:noProof/>
        </w:rPr>
      </w:pPr>
    </w:p>
    <w:p>
      <w:pPr>
        <w:autoSpaceDE w:val="0"/>
        <w:autoSpaceDN w:val="0"/>
        <w:adjustRightInd w:val="0"/>
        <w:rPr>
          <w:rFonts w:ascii="EUAlbertina" w:hAnsi="EUAlbertina"/>
          <w:noProof/>
        </w:rPr>
      </w:pPr>
      <w:r>
        <w:rPr>
          <w:noProof/>
        </w:rPr>
        <w:t>On page 43, in Annex 3, in "COPY FOR COMMISSION", in the Box “Important notice”, as corrected on page 37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‘Without prejudice to the provisions of Article 34 (4) and (5) of Regulation (EC) No 952/2013 of the European Parliament and the Council this BTI remains valid for 3 years as from the date of start of validity.’</w:t>
      </w:r>
    </w:p>
    <w:p>
      <w:pPr>
        <w:autoSpaceDE w:val="0"/>
        <w:autoSpaceDN w:val="0"/>
        <w:adjustRightInd w:val="0"/>
        <w:ind w:left="720" w:hanging="720"/>
        <w:rPr>
          <w:noProof/>
        </w:rPr>
      </w:pPr>
      <w:r>
        <w:rPr>
          <w:i/>
          <w:noProof/>
        </w:rPr>
        <w:t>read:</w:t>
      </w:r>
      <w:r>
        <w:rPr>
          <w:noProof/>
        </w:rPr>
        <w:t xml:space="preserve"> </w:t>
      </w:r>
      <w:r>
        <w:rPr>
          <w:noProof/>
        </w:rPr>
        <w:tab/>
        <w:t>‘Without prejudice to paragraphs 1, 4, 5 and 7 of Article 34 of Regulation (EU) No 952/2013 of the European Parliament and of the Council this BTI remains valid for 3 years as from the date of start of validity.’.</w:t>
      </w:r>
    </w:p>
    <w:p>
      <w:pPr>
        <w:autoSpaceDE w:val="0"/>
        <w:autoSpaceDN w:val="0"/>
        <w:adjustRightInd w:val="0"/>
        <w:ind w:left="720" w:hanging="720"/>
        <w:rPr>
          <w:noProof/>
        </w:rPr>
      </w:pPr>
    </w:p>
    <w:p>
      <w:pPr>
        <w:autoSpaceDE w:val="0"/>
        <w:autoSpaceDN w:val="0"/>
        <w:adjustRightInd w:val="0"/>
        <w:rPr>
          <w:noProof/>
        </w:rPr>
      </w:pPr>
      <w:r>
        <w:rPr>
          <w:noProof/>
        </w:rPr>
        <w:t>On page 44, in Annex 3, in "COPY FOR MEMBER STATE", in the Box “Important notice”, as corrected on page 38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‘Without prejudice to the provisions of Article 34 (4) and (5) of Regulation (EC) No 952/2013 of the European Parliament and the Council this BTI remains valid for 3 years as from the date of start of validity.’</w:t>
      </w:r>
    </w:p>
    <w:p>
      <w:pPr>
        <w:autoSpaceDE w:val="0"/>
        <w:autoSpaceDN w:val="0"/>
        <w:adjustRightInd w:val="0"/>
        <w:ind w:left="720" w:hanging="720"/>
        <w:rPr>
          <w:noProof/>
        </w:rPr>
      </w:pPr>
      <w:r>
        <w:rPr>
          <w:i/>
          <w:noProof/>
        </w:rPr>
        <w:t>read:</w:t>
      </w:r>
      <w:r>
        <w:rPr>
          <w:noProof/>
        </w:rPr>
        <w:t xml:space="preserve"> </w:t>
      </w:r>
      <w:r>
        <w:rPr>
          <w:noProof/>
        </w:rPr>
        <w:tab/>
        <w:t>‘Without prejudice to paragraphs 1, 4, 5 and 7 of Article 34 of Regulation (EU) No 952/2013 of the European Parliament and of the Council this BTI remains valid for 3 years as from the date of start of validity.’.</w:t>
      </w:r>
    </w:p>
    <w:p>
      <w:pPr>
        <w:autoSpaceDE w:val="0"/>
        <w:autoSpaceDN w:val="0"/>
        <w:adjustRightInd w:val="0"/>
        <w:ind w:left="720" w:hanging="720"/>
        <w:rPr>
          <w:noProof/>
        </w:rPr>
      </w:pPr>
    </w:p>
    <w:p>
      <w:pPr>
        <w:autoSpaceDE w:val="0"/>
        <w:autoSpaceDN w:val="0"/>
        <w:adjustRightInd w:val="0"/>
        <w:rPr>
          <w:noProof/>
        </w:rPr>
      </w:pPr>
      <w:r>
        <w:rPr>
          <w:noProof/>
        </w:rPr>
        <w:t>On page 47, in Annex 4, in Box 2, as corrected on page 41 of OJ L 101 of 16.4.2016:</w:t>
      </w:r>
    </w:p>
    <w:p>
      <w:pPr>
        <w:autoSpaceDE w:val="0"/>
        <w:autoSpaceDN w:val="0"/>
        <w:adjustRightInd w:val="0"/>
        <w:rPr>
          <w:rFonts w:ascii="EUAlbertina" w:hAnsi="EUAlbertina"/>
          <w:noProof/>
        </w:rPr>
      </w:pPr>
      <w:r>
        <w:rPr>
          <w:i/>
          <w:noProof/>
        </w:rPr>
        <w:t>for:</w:t>
      </w:r>
      <w:r>
        <w:rPr>
          <w:noProof/>
        </w:rPr>
        <w:t xml:space="preserve"> </w:t>
      </w:r>
      <w:r>
        <w:rPr>
          <w:noProof/>
        </w:rPr>
        <w:tab/>
        <w:t>‘(if different from above)’</w:t>
      </w:r>
    </w:p>
    <w:p>
      <w:pPr>
        <w:autoSpaceDE w:val="0"/>
        <w:autoSpaceDN w:val="0"/>
        <w:adjustRightInd w:val="0"/>
        <w:rPr>
          <w:noProof/>
        </w:rPr>
      </w:pPr>
      <w:r>
        <w:rPr>
          <w:i/>
          <w:noProof/>
        </w:rPr>
        <w:t>read:</w:t>
      </w:r>
      <w:r>
        <w:rPr>
          <w:noProof/>
        </w:rPr>
        <w:t xml:space="preserve"> </w:t>
      </w:r>
      <w:r>
        <w:rPr>
          <w:noProof/>
        </w:rPr>
        <w:tab/>
        <w:t>‘(if different from the country above)</w:t>
      </w:r>
      <w:r>
        <w:rPr>
          <w:noProof/>
        </w:rPr>
        <w:tab/>
      </w:r>
      <w:r>
        <w:rPr>
          <w:noProof/>
        </w:rPr>
        <w:tab/>
        <w:t>(confidential)’.</w:t>
      </w:r>
    </w:p>
    <w:p>
      <w:pPr>
        <w:autoSpaceDE w:val="0"/>
        <w:autoSpaceDN w:val="0"/>
        <w:adjustRightInd w:val="0"/>
        <w:rPr>
          <w:noProof/>
        </w:rPr>
      </w:pPr>
    </w:p>
    <w:p>
      <w:pPr>
        <w:autoSpaceDE w:val="0"/>
        <w:autoSpaceDN w:val="0"/>
        <w:adjustRightInd w:val="0"/>
        <w:rPr>
          <w:noProof/>
        </w:rPr>
      </w:pPr>
      <w:r>
        <w:rPr>
          <w:noProof/>
        </w:rPr>
        <w:t>On page 48, in Annex 4, in Box 4, as corrected on page 41 of OJ L 101 of 16.4.2016:</w:t>
      </w:r>
    </w:p>
    <w:p>
      <w:pPr>
        <w:autoSpaceDE w:val="0"/>
        <w:autoSpaceDN w:val="0"/>
        <w:adjustRightInd w:val="0"/>
        <w:rPr>
          <w:noProof/>
        </w:rPr>
      </w:pPr>
      <w:r>
        <w:rPr>
          <w:i/>
          <w:noProof/>
        </w:rPr>
        <w:t>for:</w:t>
      </w:r>
      <w:r>
        <w:rPr>
          <w:noProof/>
        </w:rPr>
        <w:tab/>
        <w:t>‘(mandatory)’</w:t>
      </w:r>
      <w:r>
        <w:rPr>
          <w:noProof/>
        </w:rPr>
        <w:tab/>
      </w:r>
    </w:p>
    <w:p>
      <w:pPr>
        <w:autoSpaceDE w:val="0"/>
        <w:autoSpaceDN w:val="0"/>
        <w:adjustRightInd w:val="0"/>
        <w:rPr>
          <w:i/>
          <w:noProof/>
        </w:rPr>
      </w:pPr>
      <w:r>
        <w:rPr>
          <w:i/>
          <w:noProof/>
        </w:rPr>
        <w:t>read:</w:t>
      </w:r>
      <w:r>
        <w:rPr>
          <w:i/>
          <w:noProof/>
        </w:rPr>
        <w:tab/>
      </w:r>
      <w:r>
        <w:rPr>
          <w:noProof/>
        </w:rPr>
        <w:t>‘(mandatory)</w:t>
      </w:r>
      <w:r>
        <w:rPr>
          <w:noProof/>
        </w:rPr>
        <w:tab/>
      </w:r>
      <w:r>
        <w:rPr>
          <w:noProof/>
        </w:rPr>
        <w:tab/>
      </w:r>
      <w:r>
        <w:rPr>
          <w:noProof/>
        </w:rPr>
        <w:tab/>
      </w:r>
      <w:r>
        <w:rPr>
          <w:noProof/>
        </w:rPr>
        <w:tab/>
      </w:r>
      <w:r>
        <w:rPr>
          <w:noProof/>
        </w:rPr>
        <w:tab/>
      </w:r>
      <w:r>
        <w:rPr>
          <w:noProof/>
        </w:rPr>
        <w:tab/>
        <w:t>(confidential)’.</w:t>
      </w:r>
    </w:p>
    <w:p>
      <w:pPr>
        <w:autoSpaceDE w:val="0"/>
        <w:autoSpaceDN w:val="0"/>
        <w:adjustRightInd w:val="0"/>
        <w:rPr>
          <w:noProof/>
        </w:rPr>
      </w:pPr>
    </w:p>
    <w:p>
      <w:pPr>
        <w:autoSpaceDE w:val="0"/>
        <w:autoSpaceDN w:val="0"/>
        <w:adjustRightInd w:val="0"/>
        <w:rPr>
          <w:noProof/>
        </w:rPr>
      </w:pPr>
      <w:r>
        <w:rPr>
          <w:noProof/>
        </w:rPr>
        <w:t>On page 48, in Annex 4, in Box 9, as corrected on page 42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‘Detailed description of the goods permitting their identification and the determination of their classification in the customs nomenclature. This should also include details of the composition of the goods and any methods of examination used for its determination where the classification depends on it. Any details which the applicant considers to be confidential should be entered in 8. Commercial denomination and additional information.’</w:t>
      </w:r>
    </w:p>
    <w:p>
      <w:pPr>
        <w:autoSpaceDE w:val="0"/>
        <w:autoSpaceDN w:val="0"/>
        <w:adjustRightInd w:val="0"/>
        <w:ind w:left="720" w:hanging="720"/>
        <w:rPr>
          <w:noProof/>
        </w:rPr>
      </w:pPr>
      <w:r>
        <w:rPr>
          <w:i/>
          <w:noProof/>
        </w:rPr>
        <w:t>read:</w:t>
      </w:r>
      <w:r>
        <w:rPr>
          <w:noProof/>
        </w:rPr>
        <w:t xml:space="preserve"> </w:t>
      </w:r>
      <w:r>
        <w:rPr>
          <w:noProof/>
        </w:rPr>
        <w:tab/>
        <w:t>‘Detailed description of the goods permitting their identification and the determination of their classification in the customs nomenclature. This should also include details of the composition of the goods and any methods of examination used for its determination where the classification depends on it. Any details which the applicant considers to be confidential should be entered in 10. Commercial denomination and additional information.’.</w:t>
      </w:r>
    </w:p>
    <w:p>
      <w:pPr>
        <w:autoSpaceDE w:val="0"/>
        <w:autoSpaceDN w:val="0"/>
        <w:adjustRightInd w:val="0"/>
        <w:rPr>
          <w:noProof/>
        </w:rPr>
      </w:pPr>
    </w:p>
    <w:p>
      <w:pPr>
        <w:autoSpaceDE w:val="0"/>
        <w:autoSpaceDN w:val="0"/>
        <w:adjustRightInd w:val="0"/>
        <w:rPr>
          <w:noProof/>
        </w:rPr>
      </w:pPr>
      <w:r>
        <w:rPr>
          <w:noProof/>
        </w:rPr>
        <w:t xml:space="preserve">On page 49, in Annex 4, in Box 12, as corrected on page 42 of OJ L 101 of 16.4.2016: </w:t>
      </w:r>
    </w:p>
    <w:p>
      <w:pPr>
        <w:autoSpaceDE w:val="0"/>
        <w:autoSpaceDN w:val="0"/>
        <w:adjustRightInd w:val="0"/>
        <w:rPr>
          <w:rFonts w:ascii="EUAlbertina" w:hAnsi="EUAlbertina"/>
          <w:noProof/>
        </w:rPr>
      </w:pPr>
      <w:r>
        <w:rPr>
          <w:i/>
          <w:noProof/>
        </w:rPr>
        <w:t>for:</w:t>
      </w:r>
      <w:r>
        <w:rPr>
          <w:noProof/>
        </w:rPr>
        <w:t xml:space="preserve"> </w:t>
      </w:r>
      <w:r>
        <w:rPr>
          <w:noProof/>
        </w:rPr>
        <w:tab/>
        <w:t>‘</w:t>
      </w:r>
      <w:r>
        <w:rPr>
          <w:b/>
          <w:noProof/>
        </w:rPr>
        <w:t>12. Other BTI Applications and other BTI held</w:t>
      </w:r>
      <w:r>
        <w:rPr>
          <w:noProof/>
        </w:rPr>
        <w:t>’</w:t>
      </w:r>
    </w:p>
    <w:p>
      <w:pPr>
        <w:autoSpaceDE w:val="0"/>
        <w:autoSpaceDN w:val="0"/>
        <w:adjustRightInd w:val="0"/>
        <w:rPr>
          <w:noProof/>
        </w:rPr>
      </w:pPr>
      <w:r>
        <w:rPr>
          <w:i/>
          <w:noProof/>
        </w:rPr>
        <w:t>read:</w:t>
      </w:r>
      <w:r>
        <w:rPr>
          <w:noProof/>
        </w:rPr>
        <w:t xml:space="preserve"> </w:t>
      </w:r>
      <w:r>
        <w:rPr>
          <w:noProof/>
        </w:rPr>
        <w:tab/>
        <w:t>‘</w:t>
      </w:r>
      <w:r>
        <w:rPr>
          <w:b/>
          <w:noProof/>
        </w:rPr>
        <w:t xml:space="preserve">12. Other BTI Applications and other BTI held           </w:t>
      </w:r>
      <w:r>
        <w:rPr>
          <w:noProof/>
        </w:rPr>
        <w:t>(mandatory)’.</w:t>
      </w:r>
    </w:p>
    <w:p>
      <w:pPr>
        <w:autoSpaceDE w:val="0"/>
        <w:autoSpaceDN w:val="0"/>
        <w:adjustRightInd w:val="0"/>
        <w:rPr>
          <w:noProof/>
        </w:rPr>
      </w:pPr>
    </w:p>
    <w:p>
      <w:pPr>
        <w:autoSpaceDE w:val="0"/>
        <w:autoSpaceDN w:val="0"/>
        <w:adjustRightInd w:val="0"/>
        <w:rPr>
          <w:noProof/>
        </w:rPr>
      </w:pPr>
      <w:r>
        <w:rPr>
          <w:noProof/>
        </w:rPr>
        <w:t>On page 49, in Annex 4, in Box 13, as corrected on page 42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‘Please indicate if you are aware of BTIs for identical or similar goods already issues to other holders.’</w:t>
      </w:r>
    </w:p>
    <w:p>
      <w:pPr>
        <w:autoSpaceDE w:val="0"/>
        <w:autoSpaceDN w:val="0"/>
        <w:adjustRightInd w:val="0"/>
        <w:ind w:left="720" w:hanging="720"/>
        <w:rPr>
          <w:noProof/>
        </w:rPr>
      </w:pPr>
      <w:r>
        <w:rPr>
          <w:i/>
          <w:noProof/>
        </w:rPr>
        <w:t>read:</w:t>
      </w:r>
      <w:r>
        <w:rPr>
          <w:noProof/>
        </w:rPr>
        <w:t xml:space="preserve"> </w:t>
      </w:r>
      <w:r>
        <w:rPr>
          <w:noProof/>
        </w:rPr>
        <w:tab/>
        <w:t>‘Please indicate if you are aware of BTIs for identical or similar goods already issued to other holders.’.</w:t>
      </w:r>
    </w:p>
    <w:p>
      <w:pPr>
        <w:autoSpaceDE w:val="0"/>
        <w:autoSpaceDN w:val="0"/>
        <w:adjustRightInd w:val="0"/>
        <w:rPr>
          <w:noProof/>
        </w:rPr>
      </w:pPr>
    </w:p>
    <w:p>
      <w:pPr>
        <w:autoSpaceDE w:val="0"/>
        <w:autoSpaceDN w:val="0"/>
        <w:adjustRightInd w:val="0"/>
        <w:rPr>
          <w:noProof/>
        </w:rPr>
      </w:pPr>
      <w:r>
        <w:rPr>
          <w:noProof/>
        </w:rPr>
        <w:t>On page 50, in Annex 4, in Box 15, the text under the heading “Important note”, as corrected on page 42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 xml:space="preserve">‘By authenticating this application, the applicant accepts responsibility for the accuracy and completeness of the data contained in it, as well as for any additional information provided with it.  The applicant accepts that these data and any photograph(s), image(s), brochure(s), etc.  can be stored on a database of the European </w:t>
      </w:r>
      <w:r>
        <w:rPr>
          <w:noProof/>
        </w:rPr>
        <w:lastRenderedPageBreak/>
        <w:t>Commission and that the data, including any photograph(s), image(s), brochure(s), etc.,  submitted with this application or obtained (or obtainable) by the administration, and which have not been marked under data elements No 1, 2 and 8 of this application as being confidential shall be disclosed to the public via the Internet.’</w:t>
      </w:r>
    </w:p>
    <w:p>
      <w:pPr>
        <w:autoSpaceDE w:val="0"/>
        <w:autoSpaceDN w:val="0"/>
        <w:adjustRightInd w:val="0"/>
        <w:ind w:left="720" w:hanging="720"/>
        <w:rPr>
          <w:noProof/>
        </w:rPr>
      </w:pPr>
      <w:r>
        <w:rPr>
          <w:i/>
          <w:noProof/>
        </w:rPr>
        <w:t>read:</w:t>
      </w:r>
      <w:r>
        <w:rPr>
          <w:noProof/>
        </w:rPr>
        <w:t xml:space="preserve"> </w:t>
      </w:r>
      <w:r>
        <w:rPr>
          <w:noProof/>
        </w:rPr>
        <w:tab/>
        <w:t>‘By authenticating this application, the applicant accepts responsibility for the accuracy and completeness of the data contained in it, as well as for any additional information provided with it. The applicant accepts that these data and any photograph(s), image(s), brochure(s), etc. can be stored on a database of the European Commission and that the data, including any photograph(s), image(s), brochure(s), etc., submitted with this application or obtained (or obtainable) by the administration, and which have not been marked under data elements No 1, 2, 4 and 10 of this application as being confidential, shall be disclosed to the public via the Internet.’.</w:t>
      </w:r>
    </w:p>
    <w:p>
      <w:pPr>
        <w:autoSpaceDE w:val="0"/>
        <w:autoSpaceDN w:val="0"/>
        <w:adjustRightInd w:val="0"/>
        <w:ind w:left="720" w:hanging="720"/>
        <w:rPr>
          <w:noProof/>
        </w:rPr>
      </w:pPr>
    </w:p>
    <w:p>
      <w:pPr>
        <w:rPr>
          <w:noProof/>
        </w:rPr>
      </w:pPr>
      <w:r>
        <w:rPr>
          <w:noProof/>
        </w:rPr>
        <w:t>On page 50, in Annex 4, as corrected on page 42 of OJ L 101 of 16.4.2016, the following footnote is added below Box 16:</w:t>
      </w:r>
    </w:p>
    <w:p>
      <w:pPr>
        <w:rPr>
          <w:noProof/>
        </w:rPr>
      </w:pPr>
      <w:r>
        <w:rPr>
          <w:i/>
          <w:noProof/>
        </w:rPr>
        <w:t>'</w:t>
      </w:r>
      <w:r>
        <w:rPr>
          <w:noProof/>
        </w:rPr>
        <w:t>(*) Please, use a separate sheet of paper if more space is required.'.</w:t>
      </w:r>
    </w:p>
    <w:p>
      <w:pPr>
        <w:rPr>
          <w:noProof/>
        </w:rPr>
      </w:pPr>
    </w:p>
    <w:p>
      <w:pPr>
        <w:rPr>
          <w:rFonts w:ascii="EUAlbertina" w:hAnsi="EUAlbertina"/>
          <w:noProof/>
        </w:rPr>
      </w:pPr>
      <w:r>
        <w:rPr>
          <w:noProof/>
        </w:rPr>
        <w:t>On page 51, in Annex 5, in the Box “Important note”, as corrected on page 43 of OJ L 101 of 16.4.2016:</w:t>
      </w:r>
    </w:p>
    <w:p>
      <w:pPr>
        <w:autoSpaceDE w:val="0"/>
        <w:autoSpaceDN w:val="0"/>
        <w:adjustRightInd w:val="0"/>
        <w:ind w:left="720" w:hanging="720"/>
        <w:rPr>
          <w:rFonts w:ascii="EUAlbertina" w:hAnsi="EUAlbertina"/>
          <w:noProof/>
        </w:rPr>
      </w:pPr>
      <w:r>
        <w:rPr>
          <w:i/>
          <w:noProof/>
        </w:rPr>
        <w:t>for:</w:t>
      </w:r>
      <w:r>
        <w:rPr>
          <w:noProof/>
        </w:rPr>
        <w:t xml:space="preserve"> </w:t>
      </w:r>
      <w:r>
        <w:rPr>
          <w:noProof/>
        </w:rPr>
        <w:tab/>
        <w:t>‘Without prejudice to the provisions of Article 34 (4) and (5) of Regulation (EC) No 952/2013 of the European Parliament and the Council this BTI remains valid for 3 years as from the date  of start of validity.’</w:t>
      </w:r>
    </w:p>
    <w:p>
      <w:pPr>
        <w:autoSpaceDE w:val="0"/>
        <w:autoSpaceDN w:val="0"/>
        <w:adjustRightInd w:val="0"/>
        <w:ind w:left="720" w:hanging="720"/>
        <w:rPr>
          <w:noProof/>
        </w:rPr>
      </w:pPr>
      <w:r>
        <w:rPr>
          <w:i/>
          <w:noProof/>
        </w:rPr>
        <w:t>read:</w:t>
      </w:r>
      <w:r>
        <w:rPr>
          <w:noProof/>
        </w:rPr>
        <w:t xml:space="preserve"> </w:t>
      </w:r>
      <w:r>
        <w:rPr>
          <w:noProof/>
        </w:rPr>
        <w:tab/>
        <w:t>‘Without prejudice to paragraphs 1, 4, 5 and 7 of Article 34 of Regulation (EU) No 952/2013 of the European Parliament and of the Council this BTI remains valid for 3 years as from the date of start of validity.’</w:t>
      </w:r>
      <w:bookmarkEnd w:id="1"/>
      <w:r>
        <w:rPr>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E8B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880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F87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ACA4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8B8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003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5E5B6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EA73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3 09:0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D2C6CF074D7B4C7386AE45D080323ABF"/>
    <w:docVar w:name="LW_CROSSREFERENCE" w:val="&lt;UNUSED&gt;"/>
    <w:docVar w:name="LW_DocType" w:val="COM"/>
    <w:docVar w:name="LW_EMISSION" w:val="26.10.2017"/>
    <w:docVar w:name="LW_EMISSION_ISODATE" w:val="2017-10-26"/>
    <w:docVar w:name="LW_EMISSION_LOCATION" w:val="BRX"/>
    <w:docVar w:name="LW_EMISSION_PREFIX" w:val="Brussels, "/>
    <w:docVar w:name="LW_EMISSION_SUFFIX" w:val=" "/>
    <w:docVar w:name="LW_ID_DOCMODEL" w:val="SG-039"/>
    <w:docVar w:name="LW_ID_DOCSTRUCTURE" w:val="COM/PRELIM/CORR"/>
    <w:docVar w:name="LW_ID_DOCTYPE" w:val="SG-039"/>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7094"/>
    <w:docVar w:name="LW_REF.INTERNE" w:val="&lt;UNUSED&gt;"/>
    <w:docVar w:name="LW_SOUS.TITRE.OBJ.CP" w:val="(Official Journal of the European Union L 69 of 15 March 2016)"/>
    <w:docVar w:name="LW_SUPERTITRE" w:val="&lt;UNUSED&gt;"/>
    <w:docVar w:name="LW_TITRE.OBJ.CP" w:val="to Commission Delegated Regulation (EU) 2016/341 of 17 December 2015 supplementing Regulation (EU) No 952/2013 of the European Parliament and of the Council as regards transitional rules for certain provisions of the Union Customs Code where the relevant electronic systems are not yet operational and amending Delegated Regulation (EU) 2015/2446"/>
    <w:docVar w:name="LW_TYPE.DOC.CP" w:val="CORRIGENDUM"/>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0E35-46BB-4244-986F-E599E651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1092</Words>
  <Characters>5232</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2017-09-21T09:13:00Z</cp:lastPrinted>
  <dcterms:created xsi:type="dcterms:W3CDTF">2017-10-06T06:42:00Z</dcterms:created>
  <dcterms:modified xsi:type="dcterms:W3CDTF">2017-10-23T07:00:00Z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Green (DQC version 03)</vt:lpwstr>
  </property>
</Properties>
</file>