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E60" w:rsidRDefault="00C4001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4926164-46CB-4391-8D73-8565E8C6535F" style="width:450.35pt;height:307.7pt">
            <v:imagedata r:id="rId9" o:title=""/>
          </v:shape>
        </w:pict>
      </w:r>
    </w:p>
    <w:bookmarkEnd w:id="0"/>
    <w:p w:rsidR="00060E60" w:rsidRDefault="00060E60">
      <w:pPr>
        <w:pStyle w:val="Pagedecouverture"/>
        <w:rPr>
          <w:noProof/>
        </w:rPr>
        <w:sectPr w:rsidR="00060E60">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060E60" w:rsidRDefault="00C4001B">
      <w:pPr>
        <w:jc w:val="both"/>
        <w:rPr>
          <w:rFonts w:ascii="Times New Roman" w:hAnsi="Times New Roman" w:cs="Times New Roman"/>
          <w:b/>
          <w:noProof/>
          <w:sz w:val="28"/>
          <w:szCs w:val="28"/>
        </w:rPr>
      </w:pPr>
      <w:r>
        <w:rPr>
          <w:rFonts w:ascii="Times New Roman" w:hAnsi="Times New Roman"/>
          <w:b/>
          <w:noProof/>
          <w:sz w:val="28"/>
        </w:rPr>
        <w:lastRenderedPageBreak/>
        <w:t>СЪДЪРЖАНИЕ</w:t>
      </w:r>
    </w:p>
    <w:sdt>
      <w:sdtPr>
        <w:rPr>
          <w:rFonts w:asciiTheme="minorHAnsi" w:hAnsiTheme="minorHAnsi" w:cs="Times New Roman"/>
          <w:noProof/>
        </w:rPr>
        <w:id w:val="-1626144639"/>
        <w:docPartObj>
          <w:docPartGallery w:val="Table of Contents"/>
          <w:docPartUnique/>
        </w:docPartObj>
      </w:sdtPr>
      <w:sdtEndPr>
        <w:rPr>
          <w:b/>
          <w:bCs/>
        </w:rPr>
      </w:sdtEndPr>
      <w:sdtContent>
        <w:p w:rsidR="00060E60" w:rsidRDefault="00C4001B">
          <w:pPr>
            <w:pStyle w:val="TOC1"/>
            <w:tabs>
              <w:tab w:val="right" w:leader="dot" w:pos="9062"/>
            </w:tabs>
            <w:rPr>
              <w:rFonts w:asciiTheme="minorHAnsi" w:eastAsiaTheme="minorEastAsia" w:hAnsiTheme="minorHAnsi"/>
              <w:noProof/>
              <w:lang w:val="en-GB" w:eastAsia="en-GB" w:bidi="ar-SA"/>
            </w:rPr>
          </w:pPr>
          <w:r>
            <w:rPr>
              <w:rFonts w:cs="Times New Roman"/>
              <w:noProof/>
            </w:rPr>
            <w:fldChar w:fldCharType="begin"/>
          </w:r>
          <w:r>
            <w:rPr>
              <w:rFonts w:cs="Times New Roman"/>
              <w:noProof/>
            </w:rPr>
            <w:instrText xml:space="preserve"> TOC \o "1-3" \h \z \u </w:instrText>
          </w:r>
          <w:r>
            <w:rPr>
              <w:rFonts w:cs="Times New Roman"/>
              <w:noProof/>
            </w:rPr>
            <w:fldChar w:fldCharType="separate"/>
          </w:r>
          <w:hyperlink w:anchor="_Toc496534028" w:history="1">
            <w:r>
              <w:rPr>
                <w:rStyle w:val="Hyperlink"/>
                <w:noProof/>
              </w:rPr>
              <w:t>1. Въведение</w:t>
            </w:r>
            <w:r>
              <w:rPr>
                <w:noProof/>
                <w:webHidden/>
              </w:rPr>
              <w:tab/>
            </w:r>
            <w:r>
              <w:rPr>
                <w:noProof/>
                <w:webHidden/>
              </w:rPr>
              <w:fldChar w:fldCharType="begin"/>
            </w:r>
            <w:r>
              <w:rPr>
                <w:noProof/>
                <w:webHidden/>
              </w:rPr>
              <w:instrText xml:space="preserve"> PAGEREF _Toc496534028 \h </w:instrText>
            </w:r>
            <w:r>
              <w:rPr>
                <w:noProof/>
                <w:webHidden/>
              </w:rPr>
            </w:r>
            <w:r>
              <w:rPr>
                <w:noProof/>
                <w:webHidden/>
              </w:rPr>
              <w:fldChar w:fldCharType="separate"/>
            </w:r>
            <w:r>
              <w:rPr>
                <w:noProof/>
                <w:webHidden/>
              </w:rPr>
              <w:t>3</w:t>
            </w:r>
            <w:r>
              <w:rPr>
                <w:noProof/>
                <w:webHidden/>
              </w:rPr>
              <w:fldChar w:fldCharType="end"/>
            </w:r>
          </w:hyperlink>
        </w:p>
        <w:p w:rsidR="00060E60" w:rsidRDefault="00C4001B">
          <w:pPr>
            <w:pStyle w:val="TOC1"/>
            <w:tabs>
              <w:tab w:val="right" w:leader="dot" w:pos="9062"/>
            </w:tabs>
            <w:rPr>
              <w:rFonts w:asciiTheme="minorHAnsi" w:eastAsiaTheme="minorEastAsia" w:hAnsiTheme="minorHAnsi"/>
              <w:noProof/>
              <w:lang w:val="en-GB" w:eastAsia="en-GB" w:bidi="ar-SA"/>
            </w:rPr>
          </w:pPr>
          <w:hyperlink w:anchor="_Toc496534029" w:history="1">
            <w:r>
              <w:rPr>
                <w:rStyle w:val="Hyperlink"/>
                <w:noProof/>
              </w:rPr>
              <w:t>2. Преглед на дейностите на ЕФПГ през 2015 и 2016 г.</w:t>
            </w:r>
            <w:r>
              <w:rPr>
                <w:noProof/>
                <w:webHidden/>
              </w:rPr>
              <w:tab/>
            </w:r>
            <w:r>
              <w:rPr>
                <w:noProof/>
                <w:webHidden/>
              </w:rPr>
              <w:fldChar w:fldCharType="begin"/>
            </w:r>
            <w:r>
              <w:rPr>
                <w:noProof/>
                <w:webHidden/>
              </w:rPr>
              <w:instrText xml:space="preserve"> PAGEREF _Toc496534029 \h </w:instrText>
            </w:r>
            <w:r>
              <w:rPr>
                <w:noProof/>
                <w:webHidden/>
              </w:rPr>
            </w:r>
            <w:r>
              <w:rPr>
                <w:noProof/>
                <w:webHidden/>
              </w:rPr>
              <w:fldChar w:fldCharType="separate"/>
            </w:r>
            <w:r>
              <w:rPr>
                <w:noProof/>
                <w:webHidden/>
              </w:rPr>
              <w:t>4</w:t>
            </w:r>
            <w:r>
              <w:rPr>
                <w:noProof/>
                <w:webHidden/>
              </w:rPr>
              <w:fldChar w:fldCharType="end"/>
            </w:r>
          </w:hyperlink>
        </w:p>
        <w:p w:rsidR="00060E60" w:rsidRDefault="00C4001B">
          <w:pPr>
            <w:pStyle w:val="TOC1"/>
            <w:tabs>
              <w:tab w:val="right" w:leader="dot" w:pos="9062"/>
            </w:tabs>
            <w:rPr>
              <w:rFonts w:asciiTheme="minorHAnsi" w:eastAsiaTheme="minorEastAsia" w:hAnsiTheme="minorHAnsi"/>
              <w:noProof/>
              <w:lang w:val="en-GB" w:eastAsia="en-GB" w:bidi="ar-SA"/>
            </w:rPr>
          </w:pPr>
          <w:hyperlink w:anchor="_Toc496534030" w:history="1">
            <w:r>
              <w:rPr>
                <w:rStyle w:val="Hyperlink"/>
                <w:noProof/>
              </w:rPr>
              <w:t>3. Анализ на дейностите на ЕФПГ през 2015 и 2016 г.</w:t>
            </w:r>
            <w:r>
              <w:rPr>
                <w:noProof/>
                <w:webHidden/>
              </w:rPr>
              <w:tab/>
            </w:r>
            <w:r>
              <w:rPr>
                <w:noProof/>
                <w:webHidden/>
              </w:rPr>
              <w:fldChar w:fldCharType="begin"/>
            </w:r>
            <w:r>
              <w:rPr>
                <w:noProof/>
                <w:webHidden/>
              </w:rPr>
              <w:instrText xml:space="preserve"> PAGEREF _Toc496534030 \h </w:instrText>
            </w:r>
            <w:r>
              <w:rPr>
                <w:noProof/>
                <w:webHidden/>
              </w:rPr>
            </w:r>
            <w:r>
              <w:rPr>
                <w:noProof/>
                <w:webHidden/>
              </w:rPr>
              <w:fldChar w:fldCharType="separate"/>
            </w:r>
            <w:r>
              <w:rPr>
                <w:noProof/>
                <w:webHidden/>
              </w:rPr>
              <w:t>5</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31" w:history="1">
            <w:r>
              <w:rPr>
                <w:rStyle w:val="Hyperlink"/>
                <w:noProof/>
              </w:rPr>
              <w:t>3.1. Получени заявления</w:t>
            </w:r>
            <w:bookmarkStart w:id="1" w:name="_GoBack"/>
            <w:bookmarkEnd w:id="1"/>
            <w:r>
              <w:rPr>
                <w:noProof/>
                <w:webHidden/>
              </w:rPr>
              <w:tab/>
            </w:r>
            <w:r>
              <w:rPr>
                <w:noProof/>
                <w:webHidden/>
              </w:rPr>
              <w:fldChar w:fldCharType="begin"/>
            </w:r>
            <w:r>
              <w:rPr>
                <w:noProof/>
                <w:webHidden/>
              </w:rPr>
              <w:instrText xml:space="preserve"> PAGEREF _Toc496534031 \h </w:instrText>
            </w:r>
            <w:r>
              <w:rPr>
                <w:noProof/>
                <w:webHidden/>
              </w:rPr>
            </w:r>
            <w:r>
              <w:rPr>
                <w:noProof/>
                <w:webHidden/>
              </w:rPr>
              <w:fldChar w:fldCharType="separate"/>
            </w:r>
            <w:r>
              <w:rPr>
                <w:noProof/>
                <w:webHidden/>
              </w:rPr>
              <w:t>5</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2" w:history="1">
            <w:r>
              <w:rPr>
                <w:rStyle w:val="Hyperlink"/>
                <w:noProof/>
              </w:rPr>
              <w:t>3.1.1.</w:t>
            </w:r>
            <w:r>
              <w:rPr>
                <w:rStyle w:val="Hyperlink"/>
                <w:noProof/>
              </w:rPr>
              <w:t xml:space="preserve"> Получени заявления според критерия за намеса</w:t>
            </w:r>
            <w:r>
              <w:rPr>
                <w:noProof/>
                <w:webHidden/>
              </w:rPr>
              <w:tab/>
            </w:r>
            <w:r>
              <w:rPr>
                <w:noProof/>
                <w:webHidden/>
              </w:rPr>
              <w:fldChar w:fldCharType="begin"/>
            </w:r>
            <w:r>
              <w:rPr>
                <w:noProof/>
                <w:webHidden/>
              </w:rPr>
              <w:instrText xml:space="preserve"> PAGEREF _Toc496534032 \h </w:instrText>
            </w:r>
            <w:r>
              <w:rPr>
                <w:noProof/>
                <w:webHidden/>
              </w:rPr>
            </w:r>
            <w:r>
              <w:rPr>
                <w:noProof/>
                <w:webHidden/>
              </w:rPr>
              <w:fldChar w:fldCharType="separate"/>
            </w:r>
            <w:r>
              <w:rPr>
                <w:noProof/>
                <w:webHidden/>
              </w:rPr>
              <w:t>5</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3" w:history="1">
            <w:r>
              <w:rPr>
                <w:rStyle w:val="Hyperlink"/>
                <w:noProof/>
              </w:rPr>
              <w:t>3.1.2. Получени заявления по сектори</w:t>
            </w:r>
            <w:r>
              <w:rPr>
                <w:noProof/>
                <w:webHidden/>
              </w:rPr>
              <w:tab/>
            </w:r>
            <w:r>
              <w:rPr>
                <w:noProof/>
                <w:webHidden/>
              </w:rPr>
              <w:fldChar w:fldCharType="begin"/>
            </w:r>
            <w:r>
              <w:rPr>
                <w:noProof/>
                <w:webHidden/>
              </w:rPr>
              <w:instrText xml:space="preserve"> PAGEREF _Toc496534033 \h </w:instrText>
            </w:r>
            <w:r>
              <w:rPr>
                <w:noProof/>
                <w:webHidden/>
              </w:rPr>
            </w:r>
            <w:r>
              <w:rPr>
                <w:noProof/>
                <w:webHidden/>
              </w:rPr>
              <w:fldChar w:fldCharType="separate"/>
            </w:r>
            <w:r>
              <w:rPr>
                <w:noProof/>
                <w:webHidden/>
              </w:rPr>
              <w:t>5</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4" w:history="1">
            <w:r>
              <w:rPr>
                <w:rStyle w:val="Hyperlink"/>
                <w:noProof/>
              </w:rPr>
              <w:t>3.1.3. Получени заявления според размера на исканата сума</w:t>
            </w:r>
            <w:r>
              <w:rPr>
                <w:noProof/>
                <w:webHidden/>
              </w:rPr>
              <w:tab/>
            </w:r>
            <w:r>
              <w:rPr>
                <w:noProof/>
                <w:webHidden/>
              </w:rPr>
              <w:fldChar w:fldCharType="begin"/>
            </w:r>
            <w:r>
              <w:rPr>
                <w:noProof/>
                <w:webHidden/>
              </w:rPr>
              <w:instrText xml:space="preserve"> PAGEREF _Toc496534034 \h </w:instrText>
            </w:r>
            <w:r>
              <w:rPr>
                <w:noProof/>
                <w:webHidden/>
              </w:rPr>
            </w:r>
            <w:r>
              <w:rPr>
                <w:noProof/>
                <w:webHidden/>
              </w:rPr>
              <w:fldChar w:fldCharType="separate"/>
            </w:r>
            <w:r>
              <w:rPr>
                <w:noProof/>
                <w:webHidden/>
              </w:rPr>
              <w:t>8</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5" w:history="1">
            <w:r>
              <w:rPr>
                <w:rStyle w:val="Hyperlink"/>
                <w:noProof/>
              </w:rPr>
              <w:t>3.1.4. Получени заявления според броя на бенефициерите от целевата група за помощ</w:t>
            </w:r>
            <w:r>
              <w:rPr>
                <w:noProof/>
                <w:webHidden/>
              </w:rPr>
              <w:tab/>
            </w:r>
            <w:r>
              <w:rPr>
                <w:noProof/>
                <w:webHidden/>
              </w:rPr>
              <w:fldChar w:fldCharType="begin"/>
            </w:r>
            <w:r>
              <w:rPr>
                <w:noProof/>
                <w:webHidden/>
              </w:rPr>
              <w:instrText xml:space="preserve"> PAGEREF _Toc496534035 \h </w:instrText>
            </w:r>
            <w:r>
              <w:rPr>
                <w:noProof/>
                <w:webHidden/>
              </w:rPr>
            </w:r>
            <w:r>
              <w:rPr>
                <w:noProof/>
                <w:webHidden/>
              </w:rPr>
              <w:fldChar w:fldCharType="separate"/>
            </w:r>
            <w:r>
              <w:rPr>
                <w:noProof/>
                <w:webHidden/>
              </w:rPr>
              <w:t>9</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6" w:history="1">
            <w:r>
              <w:rPr>
                <w:rStyle w:val="Hyperlink"/>
                <w:noProof/>
              </w:rPr>
              <w:t xml:space="preserve">3.1.5. </w:t>
            </w:r>
            <w:r>
              <w:rPr>
                <w:rStyle w:val="Hyperlink"/>
                <w:noProof/>
              </w:rPr>
              <w:t>Получени заявления според броя на работниците от целевата група по сектори</w:t>
            </w:r>
            <w:r>
              <w:rPr>
                <w:noProof/>
                <w:webHidden/>
              </w:rPr>
              <w:tab/>
            </w:r>
            <w:r>
              <w:rPr>
                <w:noProof/>
                <w:webHidden/>
              </w:rPr>
              <w:fldChar w:fldCharType="begin"/>
            </w:r>
            <w:r>
              <w:rPr>
                <w:noProof/>
                <w:webHidden/>
              </w:rPr>
              <w:instrText xml:space="preserve"> PAGEREF _Toc496534036 \h </w:instrText>
            </w:r>
            <w:r>
              <w:rPr>
                <w:noProof/>
                <w:webHidden/>
              </w:rPr>
            </w:r>
            <w:r>
              <w:rPr>
                <w:noProof/>
                <w:webHidden/>
              </w:rPr>
              <w:fldChar w:fldCharType="separate"/>
            </w:r>
            <w:r>
              <w:rPr>
                <w:noProof/>
                <w:webHidden/>
              </w:rPr>
              <w:t>10</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7" w:history="1">
            <w:r>
              <w:rPr>
                <w:rStyle w:val="Hyperlink"/>
                <w:noProof/>
                <w:spacing w:val="-4"/>
              </w:rPr>
              <w:t>3.1.6. Получени заявления според размера на исканата</w:t>
            </w:r>
            <w:r>
              <w:rPr>
                <w:rStyle w:val="Hyperlink"/>
                <w:noProof/>
                <w:spacing w:val="-4"/>
              </w:rPr>
              <w:t xml:space="preserve"> сума за отделен бенефициер</w:t>
            </w:r>
            <w:r>
              <w:rPr>
                <w:noProof/>
                <w:webHidden/>
              </w:rPr>
              <w:tab/>
            </w:r>
            <w:r>
              <w:rPr>
                <w:noProof/>
                <w:webHidden/>
              </w:rPr>
              <w:fldChar w:fldCharType="begin"/>
            </w:r>
            <w:r>
              <w:rPr>
                <w:noProof/>
                <w:webHidden/>
              </w:rPr>
              <w:instrText xml:space="preserve"> PAGEREF _Toc496534037 \h </w:instrText>
            </w:r>
            <w:r>
              <w:rPr>
                <w:noProof/>
                <w:webHidden/>
              </w:rPr>
            </w:r>
            <w:r>
              <w:rPr>
                <w:noProof/>
                <w:webHidden/>
              </w:rPr>
              <w:fldChar w:fldCharType="separate"/>
            </w:r>
            <w:r>
              <w:rPr>
                <w:noProof/>
                <w:webHidden/>
              </w:rPr>
              <w:t>11</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38" w:history="1">
            <w:r>
              <w:rPr>
                <w:rStyle w:val="Hyperlink"/>
                <w:noProof/>
              </w:rPr>
              <w:t>3.2. Средства, предоставени под формата на финансово участие</w:t>
            </w:r>
            <w:r>
              <w:rPr>
                <w:noProof/>
                <w:webHidden/>
              </w:rPr>
              <w:tab/>
            </w:r>
            <w:r>
              <w:rPr>
                <w:noProof/>
                <w:webHidden/>
              </w:rPr>
              <w:fldChar w:fldCharType="begin"/>
            </w:r>
            <w:r>
              <w:rPr>
                <w:noProof/>
                <w:webHidden/>
              </w:rPr>
              <w:instrText xml:space="preserve"> PAGEREF _Toc496534038 \h </w:instrText>
            </w:r>
            <w:r>
              <w:rPr>
                <w:noProof/>
                <w:webHidden/>
              </w:rPr>
            </w:r>
            <w:r>
              <w:rPr>
                <w:noProof/>
                <w:webHidden/>
              </w:rPr>
              <w:fldChar w:fldCharType="separate"/>
            </w:r>
            <w:r>
              <w:rPr>
                <w:noProof/>
                <w:webHidden/>
              </w:rPr>
              <w:t>12</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39" w:history="1">
            <w:r>
              <w:rPr>
                <w:rStyle w:val="Hyperlink"/>
                <w:noProof/>
              </w:rPr>
              <w:t>3.2.1. Действия, финансирани с помощта на ЕФПГ</w:t>
            </w:r>
            <w:r>
              <w:rPr>
                <w:noProof/>
                <w:webHidden/>
              </w:rPr>
              <w:tab/>
            </w:r>
            <w:r>
              <w:rPr>
                <w:noProof/>
                <w:webHidden/>
              </w:rPr>
              <w:fldChar w:fldCharType="begin"/>
            </w:r>
            <w:r>
              <w:rPr>
                <w:noProof/>
                <w:webHidden/>
              </w:rPr>
              <w:instrText xml:space="preserve"> PAGEREF _Toc496534039 \h </w:instrText>
            </w:r>
            <w:r>
              <w:rPr>
                <w:noProof/>
                <w:webHidden/>
              </w:rPr>
            </w:r>
            <w:r>
              <w:rPr>
                <w:noProof/>
                <w:webHidden/>
              </w:rPr>
              <w:fldChar w:fldCharType="separate"/>
            </w:r>
            <w:r>
              <w:rPr>
                <w:noProof/>
                <w:webHidden/>
              </w:rPr>
              <w:t>12</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40" w:history="1">
            <w:r>
              <w:rPr>
                <w:rStyle w:val="Hyperlink"/>
                <w:noProof/>
                <w:spacing w:val="-6"/>
              </w:rPr>
              <w:t>3.2.2. Допълняемост с действия, финансирани от Европейския социален фонд (ЕСФ)</w:t>
            </w:r>
            <w:r>
              <w:rPr>
                <w:noProof/>
                <w:webHidden/>
              </w:rPr>
              <w:tab/>
            </w:r>
            <w:r>
              <w:rPr>
                <w:noProof/>
                <w:webHidden/>
              </w:rPr>
              <w:fldChar w:fldCharType="begin"/>
            </w:r>
            <w:r>
              <w:rPr>
                <w:noProof/>
                <w:webHidden/>
              </w:rPr>
              <w:instrText xml:space="preserve"> PAGEREF _Toc496534040 \h </w:instrText>
            </w:r>
            <w:r>
              <w:rPr>
                <w:noProof/>
                <w:webHidden/>
              </w:rPr>
            </w:r>
            <w:r>
              <w:rPr>
                <w:noProof/>
                <w:webHidden/>
              </w:rPr>
              <w:fldChar w:fldCharType="separate"/>
            </w:r>
            <w:r>
              <w:rPr>
                <w:noProof/>
                <w:webHidden/>
              </w:rPr>
              <w:t>13</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41" w:history="1">
            <w:r>
              <w:rPr>
                <w:rStyle w:val="Hyperlink"/>
                <w:noProof/>
              </w:rPr>
              <w:t>3.3. Отхвърлени или оттеглени заявлени</w:t>
            </w:r>
            <w:r>
              <w:rPr>
                <w:rStyle w:val="Hyperlink"/>
                <w:noProof/>
              </w:rPr>
              <w:t>я</w:t>
            </w:r>
            <w:r>
              <w:rPr>
                <w:noProof/>
                <w:webHidden/>
              </w:rPr>
              <w:tab/>
            </w:r>
            <w:r>
              <w:rPr>
                <w:noProof/>
                <w:webHidden/>
              </w:rPr>
              <w:fldChar w:fldCharType="begin"/>
            </w:r>
            <w:r>
              <w:rPr>
                <w:noProof/>
                <w:webHidden/>
              </w:rPr>
              <w:instrText xml:space="preserve"> PAGEREF _Toc496534041 \h </w:instrText>
            </w:r>
            <w:r>
              <w:rPr>
                <w:noProof/>
                <w:webHidden/>
              </w:rPr>
            </w:r>
            <w:r>
              <w:rPr>
                <w:noProof/>
                <w:webHidden/>
              </w:rPr>
              <w:fldChar w:fldCharType="separate"/>
            </w:r>
            <w:r>
              <w:rPr>
                <w:noProof/>
                <w:webHidden/>
              </w:rPr>
              <w:t>14</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42" w:history="1">
            <w:r>
              <w:rPr>
                <w:rStyle w:val="Hyperlink"/>
                <w:noProof/>
              </w:rPr>
              <w:t>3.4. Резултати, постигнати от ЕФПГ</w:t>
            </w:r>
            <w:r>
              <w:rPr>
                <w:noProof/>
                <w:webHidden/>
              </w:rPr>
              <w:tab/>
            </w:r>
            <w:r>
              <w:rPr>
                <w:noProof/>
                <w:webHidden/>
              </w:rPr>
              <w:fldChar w:fldCharType="begin"/>
            </w:r>
            <w:r>
              <w:rPr>
                <w:noProof/>
                <w:webHidden/>
              </w:rPr>
              <w:instrText xml:space="preserve"> PAGEREF _Toc496534042 \h </w:instrText>
            </w:r>
            <w:r>
              <w:rPr>
                <w:noProof/>
                <w:webHidden/>
              </w:rPr>
            </w:r>
            <w:r>
              <w:rPr>
                <w:noProof/>
                <w:webHidden/>
              </w:rPr>
              <w:fldChar w:fldCharType="separate"/>
            </w:r>
            <w:r>
              <w:rPr>
                <w:noProof/>
                <w:webHidden/>
              </w:rPr>
              <w:t>18</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43" w:history="1">
            <w:r>
              <w:rPr>
                <w:rStyle w:val="Hyperlink"/>
                <w:noProof/>
              </w:rPr>
              <w:t>3.4.1. Обобщение на отчетените през 2015 и 2016 г. резултати</w:t>
            </w:r>
            <w:r>
              <w:rPr>
                <w:noProof/>
                <w:webHidden/>
              </w:rPr>
              <w:tab/>
            </w:r>
            <w:r>
              <w:rPr>
                <w:noProof/>
                <w:webHidden/>
              </w:rPr>
              <w:fldChar w:fldCharType="begin"/>
            </w:r>
            <w:r>
              <w:rPr>
                <w:noProof/>
                <w:webHidden/>
              </w:rPr>
              <w:instrText xml:space="preserve"> PAGEREF _Toc496534043 \h </w:instrText>
            </w:r>
            <w:r>
              <w:rPr>
                <w:noProof/>
                <w:webHidden/>
              </w:rPr>
            </w:r>
            <w:r>
              <w:rPr>
                <w:noProof/>
                <w:webHidden/>
              </w:rPr>
              <w:fldChar w:fldCharType="separate"/>
            </w:r>
            <w:r>
              <w:rPr>
                <w:noProof/>
                <w:webHidden/>
              </w:rPr>
              <w:t>18</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44" w:history="1">
            <w:r>
              <w:rPr>
                <w:rStyle w:val="Hyperlink"/>
                <w:noProof/>
              </w:rPr>
              <w:t>3.4.2. Качествена оценка на окончателните доклади, подадени през 2015 и 2016 г.</w:t>
            </w:r>
            <w:r>
              <w:rPr>
                <w:noProof/>
                <w:webHidden/>
              </w:rPr>
              <w:tab/>
            </w:r>
            <w:r>
              <w:rPr>
                <w:noProof/>
                <w:webHidden/>
              </w:rPr>
              <w:fldChar w:fldCharType="begin"/>
            </w:r>
            <w:r>
              <w:rPr>
                <w:noProof/>
                <w:webHidden/>
              </w:rPr>
              <w:instrText xml:space="preserve"> PAGEREF _Toc496534044 \h </w:instrText>
            </w:r>
            <w:r>
              <w:rPr>
                <w:noProof/>
                <w:webHidden/>
              </w:rPr>
            </w:r>
            <w:r>
              <w:rPr>
                <w:noProof/>
                <w:webHidden/>
              </w:rPr>
              <w:fldChar w:fldCharType="separate"/>
            </w:r>
            <w:r>
              <w:rPr>
                <w:noProof/>
                <w:webHidden/>
              </w:rPr>
              <w:t>19</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45" w:history="1">
            <w:r>
              <w:rPr>
                <w:rStyle w:val="Hyperlink"/>
                <w:noProof/>
              </w:rPr>
              <w:t>3.5. Преглед н</w:t>
            </w:r>
            <w:r>
              <w:rPr>
                <w:rStyle w:val="Hyperlink"/>
                <w:noProof/>
              </w:rPr>
              <w:t>а МФР — Регламент (ЕС) № 1309/2013</w:t>
            </w:r>
            <w:r>
              <w:rPr>
                <w:noProof/>
                <w:webHidden/>
              </w:rPr>
              <w:tab/>
            </w:r>
            <w:r>
              <w:rPr>
                <w:noProof/>
                <w:webHidden/>
              </w:rPr>
              <w:fldChar w:fldCharType="begin"/>
            </w:r>
            <w:r>
              <w:rPr>
                <w:noProof/>
                <w:webHidden/>
              </w:rPr>
              <w:instrText xml:space="preserve"> PAGEREF _Toc496534045 \h </w:instrText>
            </w:r>
            <w:r>
              <w:rPr>
                <w:noProof/>
                <w:webHidden/>
              </w:rPr>
            </w:r>
            <w:r>
              <w:rPr>
                <w:noProof/>
                <w:webHidden/>
              </w:rPr>
              <w:fldChar w:fldCharType="separate"/>
            </w:r>
            <w:r>
              <w:rPr>
                <w:noProof/>
                <w:webHidden/>
              </w:rPr>
              <w:t>20</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46" w:history="1">
            <w:r>
              <w:rPr>
                <w:rStyle w:val="Hyperlink"/>
                <w:noProof/>
              </w:rPr>
              <w:t>3.6. Финансово изпълнение</w:t>
            </w:r>
            <w:r>
              <w:rPr>
                <w:noProof/>
                <w:webHidden/>
              </w:rPr>
              <w:tab/>
            </w:r>
            <w:r>
              <w:rPr>
                <w:noProof/>
                <w:webHidden/>
              </w:rPr>
              <w:fldChar w:fldCharType="begin"/>
            </w:r>
            <w:r>
              <w:rPr>
                <w:noProof/>
                <w:webHidden/>
              </w:rPr>
              <w:instrText xml:space="preserve"> PAGEREF _Toc496534046 \h </w:instrText>
            </w:r>
            <w:r>
              <w:rPr>
                <w:noProof/>
                <w:webHidden/>
              </w:rPr>
            </w:r>
            <w:r>
              <w:rPr>
                <w:noProof/>
                <w:webHidden/>
              </w:rPr>
              <w:fldChar w:fldCharType="separate"/>
            </w:r>
            <w:r>
              <w:rPr>
                <w:noProof/>
                <w:webHidden/>
              </w:rPr>
              <w:t>25</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47" w:history="1">
            <w:r>
              <w:rPr>
                <w:rStyle w:val="Hyperlink"/>
                <w:noProof/>
              </w:rPr>
              <w:t>3.6.1. Финансово участие на ЕФПГ</w:t>
            </w:r>
            <w:r>
              <w:rPr>
                <w:noProof/>
                <w:webHidden/>
              </w:rPr>
              <w:tab/>
            </w:r>
            <w:r>
              <w:rPr>
                <w:noProof/>
                <w:webHidden/>
              </w:rPr>
              <w:fldChar w:fldCharType="begin"/>
            </w:r>
            <w:r>
              <w:rPr>
                <w:noProof/>
                <w:webHidden/>
              </w:rPr>
              <w:instrText xml:space="preserve"> PAGEREF _Toc496534047 \h </w:instrText>
            </w:r>
            <w:r>
              <w:rPr>
                <w:noProof/>
                <w:webHidden/>
              </w:rPr>
            </w:r>
            <w:r>
              <w:rPr>
                <w:noProof/>
                <w:webHidden/>
              </w:rPr>
              <w:fldChar w:fldCharType="separate"/>
            </w:r>
            <w:r>
              <w:rPr>
                <w:noProof/>
                <w:webHidden/>
              </w:rPr>
              <w:t>25</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48" w:history="1">
            <w:r>
              <w:rPr>
                <w:rStyle w:val="Hyperlink"/>
                <w:noProof/>
              </w:rPr>
              <w:t xml:space="preserve">3.6.2. Разходи за техническа </w:t>
            </w:r>
            <w:r>
              <w:rPr>
                <w:rStyle w:val="Hyperlink"/>
                <w:noProof/>
              </w:rPr>
              <w:t>помощ</w:t>
            </w:r>
            <w:r>
              <w:rPr>
                <w:noProof/>
                <w:webHidden/>
              </w:rPr>
              <w:tab/>
            </w:r>
            <w:r>
              <w:rPr>
                <w:noProof/>
                <w:webHidden/>
              </w:rPr>
              <w:fldChar w:fldCharType="begin"/>
            </w:r>
            <w:r>
              <w:rPr>
                <w:noProof/>
                <w:webHidden/>
              </w:rPr>
              <w:instrText xml:space="preserve"> PAGEREF _Toc496534048 \h </w:instrText>
            </w:r>
            <w:r>
              <w:rPr>
                <w:noProof/>
                <w:webHidden/>
              </w:rPr>
            </w:r>
            <w:r>
              <w:rPr>
                <w:noProof/>
                <w:webHidden/>
              </w:rPr>
              <w:fldChar w:fldCharType="separate"/>
            </w:r>
            <w:r>
              <w:rPr>
                <w:noProof/>
                <w:webHidden/>
              </w:rPr>
              <w:t>25</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49" w:history="1">
            <w:r>
              <w:rPr>
                <w:rStyle w:val="Hyperlink"/>
                <w:noProof/>
              </w:rPr>
              <w:t>3.6.3. Докладвани нередности</w:t>
            </w:r>
            <w:r>
              <w:rPr>
                <w:noProof/>
                <w:webHidden/>
              </w:rPr>
              <w:tab/>
            </w:r>
            <w:r>
              <w:rPr>
                <w:noProof/>
                <w:webHidden/>
              </w:rPr>
              <w:fldChar w:fldCharType="begin"/>
            </w:r>
            <w:r>
              <w:rPr>
                <w:noProof/>
                <w:webHidden/>
              </w:rPr>
              <w:instrText xml:space="preserve"> PAGEREF _Toc496534049 \h </w:instrText>
            </w:r>
            <w:r>
              <w:rPr>
                <w:noProof/>
                <w:webHidden/>
              </w:rPr>
            </w:r>
            <w:r>
              <w:rPr>
                <w:noProof/>
                <w:webHidden/>
              </w:rPr>
              <w:fldChar w:fldCharType="separate"/>
            </w:r>
            <w:r>
              <w:rPr>
                <w:noProof/>
                <w:webHidden/>
              </w:rPr>
              <w:t>27</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50" w:history="1">
            <w:r>
              <w:rPr>
                <w:rStyle w:val="Hyperlink"/>
                <w:noProof/>
              </w:rPr>
              <w:t>3.6.4. Прекратяване на финансовото участие от ЕФПГ</w:t>
            </w:r>
            <w:r>
              <w:rPr>
                <w:noProof/>
                <w:webHidden/>
              </w:rPr>
              <w:tab/>
            </w:r>
            <w:r>
              <w:rPr>
                <w:noProof/>
                <w:webHidden/>
              </w:rPr>
              <w:fldChar w:fldCharType="begin"/>
            </w:r>
            <w:r>
              <w:rPr>
                <w:noProof/>
                <w:webHidden/>
              </w:rPr>
              <w:instrText xml:space="preserve"> PAGEREF _Toc496534050 \h </w:instrText>
            </w:r>
            <w:r>
              <w:rPr>
                <w:noProof/>
                <w:webHidden/>
              </w:rPr>
            </w:r>
            <w:r>
              <w:rPr>
                <w:noProof/>
                <w:webHidden/>
              </w:rPr>
              <w:fldChar w:fldCharType="separate"/>
            </w:r>
            <w:r>
              <w:rPr>
                <w:noProof/>
                <w:webHidden/>
              </w:rPr>
              <w:t>27</w:t>
            </w:r>
            <w:r>
              <w:rPr>
                <w:noProof/>
                <w:webHidden/>
              </w:rPr>
              <w:fldChar w:fldCharType="end"/>
            </w:r>
          </w:hyperlink>
        </w:p>
        <w:p w:rsidR="00060E60" w:rsidRDefault="00C4001B">
          <w:pPr>
            <w:pStyle w:val="TOC2"/>
            <w:tabs>
              <w:tab w:val="right" w:leader="dot" w:pos="9062"/>
            </w:tabs>
            <w:rPr>
              <w:rFonts w:asciiTheme="minorHAnsi" w:hAnsiTheme="minorHAnsi"/>
              <w:noProof/>
              <w:lang w:val="en-GB" w:eastAsia="en-GB" w:bidi="ar-SA"/>
            </w:rPr>
          </w:pPr>
          <w:hyperlink w:anchor="_Toc496534051" w:history="1">
            <w:r>
              <w:rPr>
                <w:rStyle w:val="Hyperlink"/>
                <w:noProof/>
              </w:rPr>
              <w:t>3.7. Дейности по предоставяне на техни</w:t>
            </w:r>
            <w:r>
              <w:rPr>
                <w:rStyle w:val="Hyperlink"/>
                <w:noProof/>
              </w:rPr>
              <w:t>ческа помощ, предприети от Комисията</w:t>
            </w:r>
            <w:r>
              <w:rPr>
                <w:noProof/>
                <w:webHidden/>
              </w:rPr>
              <w:tab/>
            </w:r>
            <w:r>
              <w:rPr>
                <w:noProof/>
                <w:webHidden/>
              </w:rPr>
              <w:fldChar w:fldCharType="begin"/>
            </w:r>
            <w:r>
              <w:rPr>
                <w:noProof/>
                <w:webHidden/>
              </w:rPr>
              <w:instrText xml:space="preserve"> PAGEREF _Toc496534051 \h </w:instrText>
            </w:r>
            <w:r>
              <w:rPr>
                <w:noProof/>
                <w:webHidden/>
              </w:rPr>
            </w:r>
            <w:r>
              <w:rPr>
                <w:noProof/>
                <w:webHidden/>
              </w:rPr>
              <w:fldChar w:fldCharType="separate"/>
            </w:r>
            <w:r>
              <w:rPr>
                <w:noProof/>
                <w:webHidden/>
              </w:rPr>
              <w:t>28</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52" w:history="1">
            <w:r>
              <w:rPr>
                <w:rStyle w:val="Hyperlink"/>
                <w:noProof/>
              </w:rPr>
              <w:t>3.7.1. Информация и публичност: Интернет сайт</w:t>
            </w:r>
            <w:r>
              <w:rPr>
                <w:noProof/>
                <w:webHidden/>
              </w:rPr>
              <w:tab/>
            </w:r>
            <w:r>
              <w:rPr>
                <w:noProof/>
                <w:webHidden/>
              </w:rPr>
              <w:fldChar w:fldCharType="begin"/>
            </w:r>
            <w:r>
              <w:rPr>
                <w:noProof/>
                <w:webHidden/>
              </w:rPr>
              <w:instrText xml:space="preserve"> PAGEREF _Toc496534052 \h </w:instrText>
            </w:r>
            <w:r>
              <w:rPr>
                <w:noProof/>
                <w:webHidden/>
              </w:rPr>
            </w:r>
            <w:r>
              <w:rPr>
                <w:noProof/>
                <w:webHidden/>
              </w:rPr>
              <w:fldChar w:fldCharType="separate"/>
            </w:r>
            <w:r>
              <w:rPr>
                <w:noProof/>
                <w:webHidden/>
              </w:rPr>
              <w:t>28</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53" w:history="1">
            <w:r>
              <w:rPr>
                <w:rStyle w:val="Hyperlink"/>
                <w:noProof/>
              </w:rPr>
              <w:t>3.7.2. Срещи с националните органи и заинтересовани страни във връзка с прилагането на ЕФПГ</w:t>
            </w:r>
            <w:r>
              <w:rPr>
                <w:noProof/>
                <w:webHidden/>
              </w:rPr>
              <w:tab/>
            </w:r>
            <w:r>
              <w:rPr>
                <w:noProof/>
                <w:webHidden/>
              </w:rPr>
              <w:fldChar w:fldCharType="begin"/>
            </w:r>
            <w:r>
              <w:rPr>
                <w:noProof/>
                <w:webHidden/>
              </w:rPr>
              <w:instrText xml:space="preserve"> PAGEREF _Toc496534053 \h </w:instrText>
            </w:r>
            <w:r>
              <w:rPr>
                <w:noProof/>
                <w:webHidden/>
              </w:rPr>
            </w:r>
            <w:r>
              <w:rPr>
                <w:noProof/>
                <w:webHidden/>
              </w:rPr>
              <w:fldChar w:fldCharType="separate"/>
            </w:r>
            <w:r>
              <w:rPr>
                <w:noProof/>
                <w:webHidden/>
              </w:rPr>
              <w:t>29</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54" w:history="1">
            <w:r>
              <w:rPr>
                <w:rStyle w:val="Hyperlink"/>
                <w:noProof/>
              </w:rPr>
              <w:t>3.7.3. Създаване на база от знания</w:t>
            </w:r>
            <w:r>
              <w:rPr>
                <w:noProof/>
                <w:webHidden/>
              </w:rPr>
              <w:tab/>
            </w:r>
            <w:r>
              <w:rPr>
                <w:noProof/>
                <w:webHidden/>
              </w:rPr>
              <w:fldChar w:fldCharType="begin"/>
            </w:r>
            <w:r>
              <w:rPr>
                <w:noProof/>
                <w:webHidden/>
              </w:rPr>
              <w:instrText xml:space="preserve"> PAGEREF _Toc496534054 \h </w:instrText>
            </w:r>
            <w:r>
              <w:rPr>
                <w:noProof/>
                <w:webHidden/>
              </w:rPr>
            </w:r>
            <w:r>
              <w:rPr>
                <w:noProof/>
                <w:webHidden/>
              </w:rPr>
              <w:fldChar w:fldCharType="separate"/>
            </w:r>
            <w:r>
              <w:rPr>
                <w:noProof/>
                <w:webHidden/>
              </w:rPr>
              <w:t>29</w:t>
            </w:r>
            <w:r>
              <w:rPr>
                <w:noProof/>
                <w:webHidden/>
              </w:rPr>
              <w:fldChar w:fldCharType="end"/>
            </w:r>
          </w:hyperlink>
        </w:p>
        <w:p w:rsidR="00060E60" w:rsidRDefault="00C4001B">
          <w:pPr>
            <w:pStyle w:val="TOC3"/>
            <w:tabs>
              <w:tab w:val="right" w:leader="dot" w:pos="9062"/>
            </w:tabs>
            <w:rPr>
              <w:rFonts w:asciiTheme="minorHAnsi" w:hAnsiTheme="minorHAnsi"/>
              <w:noProof/>
              <w:lang w:val="en-GB" w:eastAsia="en-GB" w:bidi="ar-SA"/>
            </w:rPr>
          </w:pPr>
          <w:hyperlink w:anchor="_Toc496534055" w:history="1">
            <w:r>
              <w:rPr>
                <w:rStyle w:val="Hyperlink"/>
                <w:noProof/>
              </w:rPr>
              <w:t>3.7.4. Средносрочна оценка на ЕФПГ за периода 2014—2020 г.</w:t>
            </w:r>
            <w:r>
              <w:rPr>
                <w:noProof/>
                <w:webHidden/>
              </w:rPr>
              <w:tab/>
            </w:r>
            <w:r>
              <w:rPr>
                <w:noProof/>
                <w:webHidden/>
              </w:rPr>
              <w:fldChar w:fldCharType="begin"/>
            </w:r>
            <w:r>
              <w:rPr>
                <w:noProof/>
                <w:webHidden/>
              </w:rPr>
              <w:instrText xml:space="preserve"> PAGEREF _Toc496534055 \h </w:instrText>
            </w:r>
            <w:r>
              <w:rPr>
                <w:noProof/>
                <w:webHidden/>
              </w:rPr>
            </w:r>
            <w:r>
              <w:rPr>
                <w:noProof/>
                <w:webHidden/>
              </w:rPr>
              <w:fldChar w:fldCharType="separate"/>
            </w:r>
            <w:r>
              <w:rPr>
                <w:noProof/>
                <w:webHidden/>
              </w:rPr>
              <w:t>30</w:t>
            </w:r>
            <w:r>
              <w:rPr>
                <w:noProof/>
                <w:webHidden/>
              </w:rPr>
              <w:fldChar w:fldCharType="end"/>
            </w:r>
          </w:hyperlink>
        </w:p>
        <w:p w:rsidR="00060E60" w:rsidRDefault="00C4001B">
          <w:pPr>
            <w:pStyle w:val="TOC1"/>
            <w:tabs>
              <w:tab w:val="right" w:leader="dot" w:pos="9062"/>
            </w:tabs>
            <w:rPr>
              <w:rFonts w:asciiTheme="minorHAnsi" w:eastAsiaTheme="minorEastAsia" w:hAnsiTheme="minorHAnsi"/>
              <w:noProof/>
              <w:lang w:val="en-GB" w:eastAsia="en-GB" w:bidi="ar-SA"/>
            </w:rPr>
          </w:pPr>
          <w:hyperlink w:anchor="_Toc496534056" w:history="1">
            <w:r>
              <w:rPr>
                <w:rStyle w:val="Hyperlink"/>
                <w:noProof/>
              </w:rPr>
              <w:t>4. Кумулативни данни за периода 2007—2016 г.</w:t>
            </w:r>
            <w:r>
              <w:rPr>
                <w:noProof/>
                <w:webHidden/>
              </w:rPr>
              <w:tab/>
            </w:r>
            <w:r>
              <w:rPr>
                <w:noProof/>
                <w:webHidden/>
              </w:rPr>
              <w:fldChar w:fldCharType="begin"/>
            </w:r>
            <w:r>
              <w:rPr>
                <w:noProof/>
                <w:webHidden/>
              </w:rPr>
              <w:instrText xml:space="preserve"> PAGEREF _Toc4965</w:instrText>
            </w:r>
            <w:r>
              <w:rPr>
                <w:noProof/>
                <w:webHidden/>
              </w:rPr>
              <w:instrText xml:space="preserve">34056 \h </w:instrText>
            </w:r>
            <w:r>
              <w:rPr>
                <w:noProof/>
                <w:webHidden/>
              </w:rPr>
            </w:r>
            <w:r>
              <w:rPr>
                <w:noProof/>
                <w:webHidden/>
              </w:rPr>
              <w:fldChar w:fldCharType="separate"/>
            </w:r>
            <w:r>
              <w:rPr>
                <w:noProof/>
                <w:webHidden/>
              </w:rPr>
              <w:t>30</w:t>
            </w:r>
            <w:r>
              <w:rPr>
                <w:noProof/>
                <w:webHidden/>
              </w:rPr>
              <w:fldChar w:fldCharType="end"/>
            </w:r>
          </w:hyperlink>
        </w:p>
        <w:p w:rsidR="00060E60" w:rsidRDefault="00C4001B">
          <w:pPr>
            <w:pStyle w:val="TOC1"/>
            <w:tabs>
              <w:tab w:val="right" w:leader="dot" w:pos="9062"/>
            </w:tabs>
            <w:rPr>
              <w:rFonts w:asciiTheme="minorHAnsi" w:eastAsiaTheme="minorEastAsia" w:hAnsiTheme="minorHAnsi"/>
              <w:noProof/>
            </w:rPr>
          </w:pPr>
          <w:r>
            <w:rPr>
              <w:rFonts w:cs="Times New Roman"/>
              <w:b/>
              <w:bCs/>
              <w:noProof/>
            </w:rPr>
            <w:fldChar w:fldCharType="end"/>
          </w:r>
        </w:p>
      </w:sdtContent>
    </w:sdt>
    <w:p w:rsidR="00060E60" w:rsidRDefault="00C4001B">
      <w:pPr>
        <w:rPr>
          <w:rFonts w:ascii="Times New Roman" w:eastAsiaTheme="majorEastAsia" w:hAnsi="Times New Roman" w:cs="Times New Roman"/>
          <w:b/>
          <w:bCs/>
          <w:noProof/>
          <w:color w:val="000000" w:themeColor="text1"/>
          <w:sz w:val="28"/>
          <w:szCs w:val="24"/>
        </w:rPr>
      </w:pPr>
      <w:r>
        <w:rPr>
          <w:noProof/>
        </w:rPr>
        <w:br w:type="page"/>
      </w:r>
    </w:p>
    <w:p w:rsidR="00060E60" w:rsidRDefault="00C4001B">
      <w:pPr>
        <w:pStyle w:val="Heading1"/>
        <w:rPr>
          <w:noProof/>
        </w:rPr>
      </w:pPr>
      <w:bookmarkStart w:id="2" w:name="_Toc494803804"/>
      <w:bookmarkStart w:id="3" w:name="_Toc496534028"/>
      <w:r>
        <w:rPr>
          <w:noProof/>
        </w:rPr>
        <w:lastRenderedPageBreak/>
        <w:t>1. Въведение</w:t>
      </w:r>
      <w:bookmarkEnd w:id="2"/>
      <w:bookmarkEnd w:id="3"/>
    </w:p>
    <w:p w:rsidR="00060E60" w:rsidRDefault="00C4001B">
      <w:pPr>
        <w:jc w:val="both"/>
        <w:rPr>
          <w:rFonts w:ascii="Times New Roman" w:hAnsi="Times New Roman" w:cs="Times New Roman"/>
          <w:noProof/>
        </w:rPr>
      </w:pPr>
      <w:r>
        <w:rPr>
          <w:rFonts w:ascii="Times New Roman" w:hAnsi="Times New Roman"/>
          <w:noProof/>
        </w:rPr>
        <w:t>Европейският фонд за приспособяване към глобализацията (ЕФПГ) има за цел да оказва подкрепа на работниците, съкратени в резултат на големи структурни промени в моделите на световната търговия, настъпили вследствие на глобализацията и на отрицателните после</w:t>
      </w:r>
      <w:r>
        <w:rPr>
          <w:rFonts w:ascii="Times New Roman" w:hAnsi="Times New Roman"/>
          <w:noProof/>
        </w:rPr>
        <w:t xml:space="preserve">дици от световната икономическа и финансова криза върху заетостта. </w:t>
      </w:r>
    </w:p>
    <w:p w:rsidR="00060E60" w:rsidRDefault="00C4001B">
      <w:pPr>
        <w:jc w:val="both"/>
        <w:rPr>
          <w:rFonts w:ascii="Times New Roman" w:hAnsi="Times New Roman" w:cs="Times New Roman"/>
          <w:noProof/>
        </w:rPr>
      </w:pPr>
      <w:r>
        <w:rPr>
          <w:rFonts w:ascii="Times New Roman" w:hAnsi="Times New Roman"/>
          <w:noProof/>
        </w:rPr>
        <w:t>ЕФПГ, създаден с Регламент (ЕО) № 1927/2006</w:t>
      </w:r>
      <w:r>
        <w:rPr>
          <w:rFonts w:ascii="Times New Roman" w:hAnsi="Times New Roman"/>
          <w:noProof/>
          <w:vertAlign w:val="superscript"/>
        </w:rPr>
        <w:footnoteReference w:id="1"/>
      </w:r>
      <w:r>
        <w:rPr>
          <w:rFonts w:ascii="Times New Roman" w:hAnsi="Times New Roman"/>
          <w:noProof/>
        </w:rPr>
        <w:t>, е замислен като средство за постигане на баланс между съвкупните дългосрочни ползи от отворената търговия от гледна точка на растежа и заетостта и евентуалното неблагоприятно въздействие, което глобализацията може да окаже в краткосрочен план, по-специал</w:t>
      </w:r>
      <w:r>
        <w:rPr>
          <w:rFonts w:ascii="Times New Roman" w:hAnsi="Times New Roman"/>
          <w:noProof/>
        </w:rPr>
        <w:t xml:space="preserve">но върху заетостта на най-уязвимите и най-слабо квалифицираните работници. </w:t>
      </w:r>
    </w:p>
    <w:p w:rsidR="00060E60" w:rsidRDefault="00C4001B">
      <w:pPr>
        <w:autoSpaceDE w:val="0"/>
        <w:autoSpaceDN w:val="0"/>
        <w:adjustRightInd w:val="0"/>
        <w:spacing w:after="0"/>
        <w:jc w:val="both"/>
        <w:rPr>
          <w:rFonts w:ascii="Times New Roman" w:hAnsi="Times New Roman" w:cs="Times New Roman"/>
          <w:noProof/>
        </w:rPr>
      </w:pPr>
      <w:r>
        <w:rPr>
          <w:rFonts w:ascii="Times New Roman" w:hAnsi="Times New Roman"/>
          <w:noProof/>
        </w:rPr>
        <w:t>С цел да се отговори на световната икономическа и финансова криза правилата, уреждащи ЕФПГ, бяха променени най-напред през 2009 г. с Регламент (ЕО) № 546/2009</w:t>
      </w:r>
      <w:r>
        <w:rPr>
          <w:rFonts w:ascii="Times New Roman" w:hAnsi="Times New Roman"/>
          <w:noProof/>
          <w:vertAlign w:val="superscript"/>
        </w:rPr>
        <w:footnoteReference w:id="2"/>
      </w:r>
      <w:r>
        <w:rPr>
          <w:rFonts w:ascii="Times New Roman" w:hAnsi="Times New Roman"/>
          <w:noProof/>
        </w:rPr>
        <w:t>, а от януари 2014 г.</w:t>
      </w:r>
      <w:r>
        <w:rPr>
          <w:rFonts w:ascii="Times New Roman" w:hAnsi="Times New Roman"/>
          <w:noProof/>
        </w:rPr>
        <w:t xml:space="preserve"> — с Регламент (ЕС) № 1309/2013</w:t>
      </w:r>
      <w:r>
        <w:rPr>
          <w:rFonts w:ascii="Times New Roman" w:hAnsi="Times New Roman"/>
          <w:noProof/>
          <w:vertAlign w:val="superscript"/>
        </w:rPr>
        <w:footnoteReference w:id="3"/>
      </w:r>
      <w:r>
        <w:rPr>
          <w:rFonts w:ascii="Times New Roman" w:hAnsi="Times New Roman"/>
          <w:noProof/>
        </w:rPr>
        <w:t xml:space="preserve">. По силата на Регламент (ЕС) № 1309/2013 за заявленията до ЕФПГ отново беше въведен критерий, свързан с финансовата и икономическа криза. Друга важна промяна е включването на нови категории бенефициери, например наети чрез </w:t>
      </w:r>
      <w:r>
        <w:rPr>
          <w:rFonts w:ascii="Times New Roman" w:hAnsi="Times New Roman"/>
          <w:noProof/>
        </w:rPr>
        <w:t>агенции за временна заетост работници, самостоятелно заети работници и — до края на 2017 г. — неактивни, неангажирани с образование или обучение (ННОО) млади хора</w:t>
      </w:r>
      <w:r>
        <w:rPr>
          <w:rStyle w:val="FootnoteReference"/>
          <w:rFonts w:ascii="Times New Roman" w:hAnsi="Times New Roman"/>
          <w:noProof/>
        </w:rPr>
        <w:footnoteReference w:id="4"/>
      </w:r>
      <w:r>
        <w:rPr>
          <w:rFonts w:ascii="Times New Roman" w:hAnsi="Times New Roman"/>
          <w:noProof/>
        </w:rPr>
        <w:t>.</w:t>
      </w:r>
    </w:p>
    <w:p w:rsidR="00060E60" w:rsidRDefault="00060E60">
      <w:pPr>
        <w:autoSpaceDE w:val="0"/>
        <w:autoSpaceDN w:val="0"/>
        <w:adjustRightInd w:val="0"/>
        <w:spacing w:after="0"/>
        <w:jc w:val="both"/>
        <w:rPr>
          <w:rFonts w:ascii="Times New Roman" w:hAnsi="Times New Roman" w:cs="Times New Roman"/>
          <w:noProof/>
        </w:rPr>
      </w:pPr>
    </w:p>
    <w:p w:rsidR="00060E60" w:rsidRDefault="00C4001B">
      <w:pPr>
        <w:jc w:val="both"/>
        <w:rPr>
          <w:rFonts w:ascii="Times New Roman" w:hAnsi="Times New Roman" w:cs="Times New Roman"/>
          <w:noProof/>
        </w:rPr>
      </w:pPr>
      <w:r>
        <w:rPr>
          <w:rFonts w:ascii="Times New Roman" w:hAnsi="Times New Roman"/>
          <w:noProof/>
        </w:rPr>
        <w:t>ЕФПГ съфинансира мерки на активната политика на пазара на труда, които държавите членки пр</w:t>
      </w:r>
      <w:r>
        <w:rPr>
          <w:rFonts w:ascii="Times New Roman" w:hAnsi="Times New Roman"/>
          <w:noProof/>
        </w:rPr>
        <w:t xml:space="preserve">едприемат, за да помогнат на съкратените работници да намерят нова работа. Той допълва националните мерки на пазара на труда в случаите, когато внезапни колективни съкращения подлагат държавните служби по заетостта на прекомерно напрежение, и следователно </w:t>
      </w:r>
      <w:r>
        <w:rPr>
          <w:rFonts w:ascii="Times New Roman" w:hAnsi="Times New Roman"/>
          <w:noProof/>
        </w:rPr>
        <w:t xml:space="preserve">може да осигури по-персонализиран и целенасочен подход към най-уязвимите съкратени работници. </w:t>
      </w:r>
    </w:p>
    <w:p w:rsidR="00060E60" w:rsidRDefault="00C4001B">
      <w:pPr>
        <w:jc w:val="both"/>
        <w:rPr>
          <w:rFonts w:ascii="Times New Roman" w:hAnsi="Times New Roman" w:cs="Times New Roman"/>
          <w:noProof/>
        </w:rPr>
      </w:pPr>
      <w:r>
        <w:rPr>
          <w:rFonts w:ascii="Times New Roman" w:hAnsi="Times New Roman"/>
          <w:noProof/>
        </w:rPr>
        <w:t>В член 19 от Регламент (ЕС) № 1309/2013 е залегнало изискването на всеки две години Комисията да представя на Европейския парламент и на Съвета количествен и кач</w:t>
      </w:r>
      <w:r>
        <w:rPr>
          <w:rFonts w:ascii="Times New Roman" w:hAnsi="Times New Roman"/>
          <w:noProof/>
        </w:rPr>
        <w:t>ествен доклад за дейностите на ЕФПГ през предходните две години. В докладите трябва да се поставя акцент предимно върху постигнатите от ЕФПГ резултати, включително по-специално върху информацията относно:</w:t>
      </w:r>
    </w:p>
    <w:p w:rsidR="00060E60" w:rsidRDefault="00C4001B">
      <w:pPr>
        <w:numPr>
          <w:ilvl w:val="0"/>
          <w:numId w:val="1"/>
        </w:numPr>
        <w:contextualSpacing/>
        <w:jc w:val="both"/>
        <w:rPr>
          <w:rFonts w:ascii="Times New Roman" w:hAnsi="Times New Roman" w:cs="Times New Roman"/>
          <w:noProof/>
        </w:rPr>
      </w:pPr>
      <w:r>
        <w:rPr>
          <w:rFonts w:ascii="Times New Roman" w:hAnsi="Times New Roman"/>
          <w:noProof/>
        </w:rPr>
        <w:t>подадени заявления;</w:t>
      </w:r>
    </w:p>
    <w:p w:rsidR="00060E60" w:rsidRDefault="00C4001B">
      <w:pPr>
        <w:numPr>
          <w:ilvl w:val="0"/>
          <w:numId w:val="1"/>
        </w:numPr>
        <w:contextualSpacing/>
        <w:jc w:val="both"/>
        <w:rPr>
          <w:rFonts w:ascii="Times New Roman" w:hAnsi="Times New Roman" w:cs="Times New Roman"/>
          <w:noProof/>
        </w:rPr>
      </w:pPr>
      <w:r>
        <w:rPr>
          <w:rFonts w:ascii="Times New Roman" w:hAnsi="Times New Roman"/>
          <w:noProof/>
        </w:rPr>
        <w:t>приети решения;</w:t>
      </w:r>
    </w:p>
    <w:p w:rsidR="00060E60" w:rsidRDefault="00C4001B">
      <w:pPr>
        <w:numPr>
          <w:ilvl w:val="0"/>
          <w:numId w:val="1"/>
        </w:numPr>
        <w:contextualSpacing/>
        <w:jc w:val="both"/>
        <w:rPr>
          <w:rFonts w:ascii="Times New Roman" w:hAnsi="Times New Roman" w:cs="Times New Roman"/>
          <w:noProof/>
        </w:rPr>
      </w:pPr>
      <w:r>
        <w:rPr>
          <w:rFonts w:ascii="Times New Roman" w:hAnsi="Times New Roman"/>
          <w:noProof/>
        </w:rPr>
        <w:lastRenderedPageBreak/>
        <w:t>финансирани дей</w:t>
      </w:r>
      <w:r>
        <w:rPr>
          <w:rFonts w:ascii="Times New Roman" w:hAnsi="Times New Roman"/>
          <w:noProof/>
        </w:rPr>
        <w:t>ствия, включително тяхната допълняемост с действия, финансирани от други инструменти на Съюза, и по-специално Европейския социален фонд (ЕСФ);</w:t>
      </w:r>
    </w:p>
    <w:p w:rsidR="00060E60" w:rsidRDefault="00C4001B">
      <w:pPr>
        <w:numPr>
          <w:ilvl w:val="0"/>
          <w:numId w:val="1"/>
        </w:numPr>
        <w:contextualSpacing/>
        <w:jc w:val="both"/>
        <w:rPr>
          <w:rFonts w:ascii="Times New Roman" w:hAnsi="Times New Roman" w:cs="Times New Roman"/>
          <w:noProof/>
        </w:rPr>
      </w:pPr>
      <w:r>
        <w:rPr>
          <w:rFonts w:ascii="Times New Roman" w:hAnsi="Times New Roman"/>
          <w:noProof/>
        </w:rPr>
        <w:t xml:space="preserve">прекратяване на предоставени финансови участия. </w:t>
      </w:r>
    </w:p>
    <w:p w:rsidR="00060E60" w:rsidRDefault="00C4001B">
      <w:pPr>
        <w:jc w:val="both"/>
        <w:rPr>
          <w:rFonts w:ascii="Times New Roman" w:hAnsi="Times New Roman" w:cs="Times New Roman"/>
          <w:noProof/>
          <w:spacing w:val="-2"/>
        </w:rPr>
      </w:pPr>
      <w:r>
        <w:rPr>
          <w:rFonts w:ascii="Times New Roman" w:hAnsi="Times New Roman"/>
          <w:noProof/>
          <w:spacing w:val="-2"/>
        </w:rPr>
        <w:t>В докладите също така следва да се документира информация за зая</w:t>
      </w:r>
      <w:r>
        <w:rPr>
          <w:rFonts w:ascii="Times New Roman" w:hAnsi="Times New Roman"/>
          <w:noProof/>
          <w:spacing w:val="-2"/>
        </w:rPr>
        <w:t>вленията, които са били отхвърлени поради недостиг на средства или поради недопустимост, и да се разглеждат действия, осъществени през референтния период, вместо да се проследяват случаи в рамките на техния жизнен цикъл. Така във всеки раздел на доклада ще</w:t>
      </w:r>
      <w:r>
        <w:rPr>
          <w:rFonts w:ascii="Times New Roman" w:hAnsi="Times New Roman"/>
          <w:noProof/>
          <w:spacing w:val="-2"/>
        </w:rPr>
        <w:t xml:space="preserve"> бъдат разглеждани различни случаи. </w:t>
      </w:r>
    </w:p>
    <w:p w:rsidR="00060E60" w:rsidRDefault="00C4001B">
      <w:pPr>
        <w:pStyle w:val="Heading1"/>
        <w:spacing w:after="360"/>
        <w:rPr>
          <w:noProof/>
        </w:rPr>
      </w:pPr>
      <w:bookmarkStart w:id="4" w:name="_Toc494803805"/>
      <w:bookmarkStart w:id="5" w:name="_Toc496534029"/>
      <w:r>
        <w:rPr>
          <w:noProof/>
        </w:rPr>
        <w:t>2. Преглед на дейностите на ЕФПГ през 2015 и 2016 г.</w:t>
      </w:r>
      <w:bookmarkEnd w:id="4"/>
      <w:bookmarkEnd w:id="5"/>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През 2015 и 2016 г. Комисията получи 20 заявления (12 през 2015 г., 8 през 2016 г.) за финансово участие от страна на ЕФПГ</w:t>
      </w:r>
      <w:r>
        <w:rPr>
          <w:rStyle w:val="FootnoteReference"/>
          <w:rFonts w:ascii="Times New Roman" w:hAnsi="Times New Roman"/>
          <w:noProof/>
          <w:color w:val="000000" w:themeColor="text1"/>
        </w:rPr>
        <w:footnoteReference w:id="5"/>
      </w:r>
      <w:r>
        <w:rPr>
          <w:rFonts w:ascii="Times New Roman" w:hAnsi="Times New Roman"/>
          <w:noProof/>
          <w:color w:val="000000" w:themeColor="text1"/>
        </w:rPr>
        <w:t xml:space="preserve">. Бюджетният орган взе решения за </w:t>
      </w:r>
      <w:r>
        <w:rPr>
          <w:rFonts w:ascii="Times New Roman" w:hAnsi="Times New Roman"/>
          <w:noProof/>
          <w:color w:val="000000" w:themeColor="text1"/>
        </w:rPr>
        <w:t>мобилизиране на ЕФПГ в 17 случая, а три заявления бяха оттеглени от държавите членки</w:t>
      </w:r>
      <w:r>
        <w:rPr>
          <w:rFonts w:ascii="Times New Roman" w:hAnsi="Times New Roman"/>
          <w:noProof/>
          <w:color w:val="000000" w:themeColor="text1"/>
          <w:vertAlign w:val="superscript"/>
        </w:rPr>
        <w:footnoteReference w:id="6"/>
      </w:r>
      <w:r>
        <w:rPr>
          <w:rFonts w:ascii="Times New Roman" w:hAnsi="Times New Roman"/>
          <w:noProof/>
          <w:color w:val="000000" w:themeColor="text1"/>
        </w:rPr>
        <w:t>. Общият размер на сумите, заявени пред ЕФПГ от държавите членки във връзка с тези 17 заявления, възлезе на 51 171 249 EUR (35 400 623 EUR през 2015 г., 15 770 626 EUR пре</w:t>
      </w:r>
      <w:r>
        <w:rPr>
          <w:rFonts w:ascii="Times New Roman" w:hAnsi="Times New Roman"/>
          <w:noProof/>
          <w:color w:val="000000" w:themeColor="text1"/>
        </w:rPr>
        <w:t xml:space="preserve">з 2016 г.). Подробна информация относно получените заявления е предоставена в раздел 3.1 и в таблици 1 и 2. </w:t>
      </w:r>
    </w:p>
    <w:p w:rsidR="00060E60" w:rsidRDefault="00C4001B">
      <w:pPr>
        <w:jc w:val="both"/>
        <w:rPr>
          <w:rFonts w:ascii="Times New Roman" w:hAnsi="Times New Roman" w:cs="Times New Roman"/>
          <w:noProof/>
        </w:rPr>
      </w:pPr>
      <w:r>
        <w:rPr>
          <w:rFonts w:ascii="Times New Roman" w:hAnsi="Times New Roman"/>
          <w:noProof/>
        </w:rPr>
        <w:t xml:space="preserve">Бюджетният орган взе 25 решения за мобилизиране на средства от ЕФПГ (включително във връзка с десет заявления, получени преди 1 януари 2015 г.) на </w:t>
      </w:r>
      <w:r>
        <w:rPr>
          <w:rFonts w:ascii="Times New Roman" w:hAnsi="Times New Roman"/>
          <w:noProof/>
        </w:rPr>
        <w:t>обща стойност 70 392 546 </w:t>
      </w:r>
      <w:r>
        <w:rPr>
          <w:rFonts w:ascii="Times New Roman" w:hAnsi="Times New Roman"/>
          <w:noProof/>
          <w:color w:val="000000" w:themeColor="text1"/>
        </w:rPr>
        <w:t>EUR</w:t>
      </w:r>
      <w:r>
        <w:rPr>
          <w:rStyle w:val="FootnoteReference"/>
          <w:rFonts w:ascii="Times New Roman" w:hAnsi="Times New Roman"/>
          <w:noProof/>
          <w:color w:val="000000" w:themeColor="text1"/>
        </w:rPr>
        <w:footnoteReference w:id="7"/>
      </w:r>
      <w:r>
        <w:rPr>
          <w:rFonts w:ascii="Times New Roman" w:hAnsi="Times New Roman"/>
          <w:noProof/>
          <w:color w:val="000000" w:themeColor="text1"/>
        </w:rPr>
        <w:t xml:space="preserve"> от бюджета на фонда за 2015 и 2016 г.</w:t>
      </w:r>
      <w:r>
        <w:rPr>
          <w:rFonts w:ascii="Times New Roman" w:hAnsi="Times New Roman"/>
          <w:noProof/>
        </w:rPr>
        <w:t xml:space="preserve"> Подробна информация относно финансовото участие, което беше предоставено през 2015 и 2016 г., е представена в раздел 3.2 и в таблици 3 и 4.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Комисията получи 26 окончателни доклада за изпъ</w:t>
      </w:r>
      <w:r>
        <w:rPr>
          <w:rFonts w:ascii="Times New Roman" w:hAnsi="Times New Roman"/>
          <w:noProof/>
          <w:color w:val="000000" w:themeColor="text1"/>
        </w:rPr>
        <w:t>лнението на участията от страна на ЕФПГ през 2015 и 2016 г. Резултатите са описани в раздел 3.4 и в таблица 5. През 2015 и 2016 г. 34 случая на мерки за подпомагане по линия на ЕФПГ бяха прекратени. Подробна информация относно прекратените случаи е предста</w:t>
      </w:r>
      <w:r>
        <w:rPr>
          <w:rFonts w:ascii="Times New Roman" w:hAnsi="Times New Roman"/>
          <w:noProof/>
          <w:color w:val="000000" w:themeColor="text1"/>
        </w:rPr>
        <w:t xml:space="preserve">вена в таблица 3 от приложението.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 xml:space="preserve">Техническата помощ, предоставена по инициатива на Комисията (член 11 от Регламент (ЕС) № 1309/2013), е описана в раздели 3.6.2, 3.7 и в таблици 6 и 6.1.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Резултатите от средносрочната оценка на ЕФПГ за периода 2014—2020 г</w:t>
      </w:r>
      <w:r>
        <w:rPr>
          <w:rFonts w:ascii="Times New Roman" w:hAnsi="Times New Roman"/>
          <w:noProof/>
          <w:color w:val="000000" w:themeColor="text1"/>
        </w:rPr>
        <w:t>. се очаква да бъдат публикувани в средата на 2017 г. (вж. раздел 3.7.4).</w:t>
      </w:r>
    </w:p>
    <w:p w:rsidR="00060E60" w:rsidRDefault="00C4001B">
      <w:pPr>
        <w:jc w:val="both"/>
        <w:rPr>
          <w:rFonts w:ascii="Times New Roman" w:hAnsi="Times New Roman" w:cs="Times New Roman"/>
          <w:noProof/>
        </w:rPr>
      </w:pPr>
      <w:r>
        <w:rPr>
          <w:rFonts w:ascii="Times New Roman" w:hAnsi="Times New Roman"/>
          <w:noProof/>
        </w:rPr>
        <w:t>В своето предложение за Регламент на Европейския парламент и на Съвета относно финансовите правила, приложими за общия бюджет на Съюза, и за изменение на регламенти (ЕО) № 2012/2002,</w:t>
      </w:r>
      <w:r>
        <w:rPr>
          <w:rFonts w:ascii="Times New Roman" w:hAnsi="Times New Roman"/>
          <w:noProof/>
        </w:rPr>
        <w:t xml:space="preserve"> (ЕС) № 1296/2013, (ЕС) 1301/2013, (ЕС) № 1303/2013, (ЕС) № 1304/2013, (ЕС) № 1305/2013, (ЕС) № 1306/2013, (ЕС) № 1307/2013, (ЕС) № 1308/2013, (ЕС) № 1309/2013, (ЕС) № 1316/2013, (ЕС) № 223/2014, (ЕС) № 283/2014, (ЕС) № 652/2014 на Европейския парламент и </w:t>
      </w:r>
      <w:r>
        <w:rPr>
          <w:rFonts w:ascii="Times New Roman" w:hAnsi="Times New Roman"/>
          <w:noProof/>
        </w:rPr>
        <w:t>на Съвета и на Решение № 541/2014/ЕС на Европейския парламент и на Съвета</w:t>
      </w:r>
      <w:r>
        <w:rPr>
          <w:rStyle w:val="FootnoteReference"/>
          <w:rFonts w:ascii="Times New Roman" w:hAnsi="Times New Roman"/>
          <w:noProof/>
        </w:rPr>
        <w:footnoteReference w:id="8"/>
      </w:r>
      <w:r>
        <w:rPr>
          <w:rFonts w:ascii="Times New Roman" w:hAnsi="Times New Roman"/>
          <w:noProof/>
        </w:rPr>
        <w:t xml:space="preserve"> Комисията включи изменения на Регламент (ЕС) № 1309/2013 във връзка с удължаването на дерогацията за неактивни, неангажиран с образование или обучение млади хора (в сила до 31 декем</w:t>
      </w:r>
      <w:r>
        <w:rPr>
          <w:rFonts w:ascii="Times New Roman" w:hAnsi="Times New Roman"/>
          <w:noProof/>
        </w:rPr>
        <w:t xml:space="preserve">ври 2017 г.), и с вътрешните процедури с цел ускоряване на процеса на вземане на решения. Тези изменения понастоящем се обсъждат в рамките на процеса на преглед на многогодишната финансова рамка (МФР). </w:t>
      </w:r>
    </w:p>
    <w:p w:rsidR="00060E60" w:rsidRDefault="00C4001B">
      <w:pPr>
        <w:pStyle w:val="Heading1"/>
        <w:spacing w:before="360" w:after="240"/>
        <w:rPr>
          <w:noProof/>
        </w:rPr>
      </w:pPr>
      <w:bookmarkStart w:id="6" w:name="_Toc494803806"/>
      <w:bookmarkStart w:id="7" w:name="_Toc496534030"/>
      <w:r>
        <w:rPr>
          <w:noProof/>
        </w:rPr>
        <w:t>3. Анализ на дейностите на ЕФПГ през 2015 и 2016 г.</w:t>
      </w:r>
      <w:bookmarkEnd w:id="6"/>
      <w:bookmarkEnd w:id="7"/>
    </w:p>
    <w:p w:rsidR="00060E60" w:rsidRDefault="00C4001B">
      <w:pPr>
        <w:pStyle w:val="Heading2"/>
        <w:spacing w:after="120"/>
        <w:rPr>
          <w:noProof/>
        </w:rPr>
      </w:pPr>
      <w:bookmarkStart w:id="8" w:name="_Toc494803807"/>
      <w:bookmarkStart w:id="9" w:name="_Toc496534031"/>
      <w:r>
        <w:rPr>
          <w:noProof/>
        </w:rPr>
        <w:t>3</w:t>
      </w:r>
      <w:r>
        <w:rPr>
          <w:noProof/>
        </w:rPr>
        <w:t>.1. Получени заявления</w:t>
      </w:r>
      <w:bookmarkEnd w:id="8"/>
      <w:bookmarkEnd w:id="9"/>
    </w:p>
    <w:p w:rsidR="00060E60" w:rsidRDefault="00C4001B">
      <w:pPr>
        <w:spacing w:before="120" w:after="120"/>
        <w:jc w:val="both"/>
        <w:rPr>
          <w:rFonts w:ascii="Times New Roman" w:hAnsi="Times New Roman" w:cs="Times New Roman"/>
          <w:noProof/>
          <w:color w:val="000000" w:themeColor="text1"/>
        </w:rPr>
      </w:pPr>
      <w:r>
        <w:rPr>
          <w:rFonts w:ascii="Times New Roman" w:hAnsi="Times New Roman"/>
          <w:noProof/>
          <w:color w:val="000000" w:themeColor="text1"/>
        </w:rPr>
        <w:t>През 2015 и 2016 г. Комисията получи 20 заявления от следните 11 държави членки: Белгия, Германия, Гърция, Естония, Ирландия, Испания, Италия, Финландия, Франция и Швеция.</w:t>
      </w:r>
      <w:r>
        <w:rPr>
          <w:rFonts w:ascii="Times New Roman" w:hAnsi="Times New Roman"/>
          <w:noProof/>
        </w:rPr>
        <w:t xml:space="preserve"> </w:t>
      </w:r>
      <w:r>
        <w:rPr>
          <w:rFonts w:ascii="Times New Roman" w:hAnsi="Times New Roman"/>
          <w:noProof/>
          <w:color w:val="000000" w:themeColor="text1"/>
        </w:rPr>
        <w:t xml:space="preserve">Естония подава заявление за отпускане на средства от ЕФПГ за </w:t>
      </w:r>
      <w:r>
        <w:rPr>
          <w:rFonts w:ascii="Times New Roman" w:hAnsi="Times New Roman"/>
          <w:noProof/>
          <w:color w:val="000000" w:themeColor="text1"/>
        </w:rPr>
        <w:t>първи път, докато останалите десет държави членки са кандидатствали за финансиране от ЕФПГ и преди това. Подробна информация относно тези заявления е представена в таблица 1.</w:t>
      </w:r>
    </w:p>
    <w:p w:rsidR="00060E60" w:rsidRDefault="00C4001B">
      <w:pPr>
        <w:spacing w:after="120"/>
        <w:rPr>
          <w:rFonts w:ascii="Times New Roman" w:eastAsia="Times New Roman" w:hAnsi="Times New Roman" w:cs="Times New Roman"/>
          <w:bCs/>
          <w:noProof/>
          <w:color w:val="000000"/>
        </w:rPr>
      </w:pPr>
      <w:r>
        <w:rPr>
          <w:rFonts w:ascii="Times New Roman" w:hAnsi="Times New Roman"/>
          <w:noProof/>
          <w:color w:val="000000"/>
        </w:rPr>
        <w:t>Информацията в раздели 3.1.1 до 3.1.6 не взема предвид данните за оттеглените зая</w:t>
      </w:r>
      <w:r>
        <w:rPr>
          <w:rFonts w:ascii="Times New Roman" w:hAnsi="Times New Roman"/>
          <w:noProof/>
          <w:color w:val="000000"/>
        </w:rPr>
        <w:t>вления.</w:t>
      </w:r>
    </w:p>
    <w:p w:rsidR="00060E60" w:rsidRDefault="00C4001B">
      <w:pPr>
        <w:pStyle w:val="Heading3"/>
        <w:spacing w:before="240"/>
        <w:rPr>
          <w:noProof/>
        </w:rPr>
      </w:pPr>
      <w:bookmarkStart w:id="10" w:name="_Toc494803808"/>
      <w:bookmarkStart w:id="11" w:name="_Toc496534032"/>
      <w:r>
        <w:rPr>
          <w:noProof/>
        </w:rPr>
        <w:t>3.1.1. Получени заявления според критерия за намеса</w:t>
      </w:r>
      <w:bookmarkEnd w:id="10"/>
      <w:bookmarkEnd w:id="11"/>
    </w:p>
    <w:p w:rsidR="00060E60" w:rsidRDefault="00C4001B">
      <w:pPr>
        <w:spacing w:before="120" w:after="120"/>
        <w:jc w:val="both"/>
        <w:rPr>
          <w:rFonts w:ascii="Times New Roman" w:hAnsi="Times New Roman" w:cs="Times New Roman"/>
          <w:noProof/>
          <w:color w:val="000000" w:themeColor="text1"/>
        </w:rPr>
      </w:pPr>
      <w:r>
        <w:rPr>
          <w:rFonts w:ascii="Times New Roman" w:hAnsi="Times New Roman"/>
          <w:noProof/>
          <w:color w:val="000000" w:themeColor="text1"/>
        </w:rPr>
        <w:t>Заявленията за 2015 и 2016 г. бяха обхванати от Регламент (ЕС) № 1309/2013, в който са предвидени два критерия за намеса:</w:t>
      </w:r>
    </w:p>
    <w:p w:rsidR="00060E60" w:rsidRDefault="00C4001B">
      <w:pPr>
        <w:pStyle w:val="ListParagraph"/>
        <w:numPr>
          <w:ilvl w:val="0"/>
          <w:numId w:val="12"/>
        </w:numPr>
        <w:spacing w:before="120" w:after="0"/>
        <w:ind w:left="714" w:hanging="357"/>
        <w:jc w:val="both"/>
        <w:rPr>
          <w:rFonts w:ascii="Calibri" w:hAnsi="Calibri"/>
          <w:noProof/>
        </w:rPr>
      </w:pPr>
      <w:r>
        <w:rPr>
          <w:noProof/>
        </w:rPr>
        <w:t xml:space="preserve">Големи структурни промени в моделите на световната търговия, настъпили вследствие на глобализацията. </w:t>
      </w:r>
    </w:p>
    <w:p w:rsidR="00060E60" w:rsidRDefault="00C4001B">
      <w:pPr>
        <w:pStyle w:val="ListParagraph"/>
        <w:spacing w:before="240" w:after="0"/>
        <w:jc w:val="both"/>
        <w:rPr>
          <w:rFonts w:ascii="Calibri" w:hAnsi="Calibri"/>
          <w:noProof/>
        </w:rPr>
      </w:pPr>
      <w:r>
        <w:rPr>
          <w:noProof/>
        </w:rPr>
        <w:t>Тринадесет заявления бяха подадени с позоваване на критерия „търговия“, като три от тях бяха обосновани с изключителни обстоятелства.</w:t>
      </w:r>
    </w:p>
    <w:p w:rsidR="00060E60" w:rsidRDefault="00C4001B">
      <w:pPr>
        <w:pStyle w:val="ListParagraph"/>
        <w:numPr>
          <w:ilvl w:val="0"/>
          <w:numId w:val="12"/>
        </w:numPr>
        <w:spacing w:before="240" w:after="0"/>
        <w:jc w:val="both"/>
        <w:rPr>
          <w:noProof/>
        </w:rPr>
      </w:pPr>
      <w:r>
        <w:rPr>
          <w:noProof/>
        </w:rPr>
        <w:t>Икономическата и фин</w:t>
      </w:r>
      <w:r>
        <w:rPr>
          <w:noProof/>
        </w:rPr>
        <w:t xml:space="preserve">ансова криза. </w:t>
      </w:r>
    </w:p>
    <w:p w:rsidR="00060E60" w:rsidRDefault="00C4001B">
      <w:pPr>
        <w:pStyle w:val="ListParagraph"/>
        <w:spacing w:before="240" w:after="0"/>
        <w:jc w:val="both"/>
        <w:rPr>
          <w:rFonts w:cs="Times New Roman"/>
          <w:noProof/>
          <w:color w:val="000000" w:themeColor="text1"/>
        </w:rPr>
      </w:pPr>
      <w:r>
        <w:rPr>
          <w:noProof/>
        </w:rPr>
        <w:t>Четири заявления бяха подадени във връзка с последиците от световната икономическа и финансова криза.</w:t>
      </w:r>
    </w:p>
    <w:p w:rsidR="00060E60" w:rsidRDefault="00C4001B">
      <w:pPr>
        <w:pStyle w:val="Heading3"/>
        <w:spacing w:before="240"/>
        <w:rPr>
          <w:noProof/>
        </w:rPr>
      </w:pPr>
      <w:bookmarkStart w:id="12" w:name="_Toc494803809"/>
      <w:bookmarkStart w:id="13" w:name="_Toc496534033"/>
      <w:r>
        <w:rPr>
          <w:noProof/>
        </w:rPr>
        <w:t>3.1.2. Получени заявления по сектори</w:t>
      </w:r>
      <w:bookmarkEnd w:id="12"/>
      <w:bookmarkEnd w:id="13"/>
    </w:p>
    <w:p w:rsidR="00060E60" w:rsidRDefault="00C4001B">
      <w:pPr>
        <w:spacing w:after="0"/>
        <w:jc w:val="both"/>
        <w:rPr>
          <w:rFonts w:ascii="Times New Roman" w:hAnsi="Times New Roman" w:cs="Times New Roman"/>
          <w:noProof/>
          <w:color w:val="000000" w:themeColor="text1"/>
          <w:spacing w:val="-4"/>
        </w:rPr>
      </w:pPr>
      <w:r>
        <w:rPr>
          <w:rFonts w:ascii="Times New Roman" w:hAnsi="Times New Roman"/>
          <w:noProof/>
          <w:color w:val="000000" w:themeColor="text1"/>
          <w:spacing w:val="-4"/>
        </w:rPr>
        <w:t xml:space="preserve">Получените и приети 17 заявления бяха свързани със съкращения в 12 различни сектора. </w:t>
      </w:r>
      <w:r>
        <w:rPr>
          <w:rFonts w:ascii="Times New Roman" w:hAnsi="Times New Roman"/>
          <w:noProof/>
          <w:spacing w:val="-4"/>
        </w:rPr>
        <w:t>Най-голям брой от</w:t>
      </w:r>
      <w:r>
        <w:rPr>
          <w:rFonts w:ascii="Times New Roman" w:hAnsi="Times New Roman"/>
          <w:noProof/>
          <w:spacing w:val="-4"/>
        </w:rPr>
        <w:t xml:space="preserve"> получените заявления засягаха автомобилния сектор (четири заявления), следвани от „компютърно програмиране“, „търговия на дребно“ и „компютърна техника, електронни и оптични продукти“ (по две заявления за всеки). За първи път беше подадено заявление във в</w:t>
      </w:r>
      <w:r>
        <w:rPr>
          <w:rFonts w:ascii="Times New Roman" w:hAnsi="Times New Roman"/>
          <w:noProof/>
          <w:spacing w:val="-4"/>
        </w:rPr>
        <w:t>ръзка със съкращения в сектор „производство на кокс и рафинирани петролни продукти“.</w:t>
      </w:r>
    </w:p>
    <w:p w:rsidR="00060E60" w:rsidRDefault="00060E60">
      <w:pPr>
        <w:spacing w:after="0" w:line="240" w:lineRule="auto"/>
        <w:rPr>
          <w:rFonts w:ascii="Times New Roman" w:hAnsi="Times New Roman"/>
          <w:b/>
          <w:i/>
          <w:noProof/>
        </w:rPr>
      </w:pPr>
    </w:p>
    <w:p w:rsidR="00060E60" w:rsidRDefault="00C4001B">
      <w:pPr>
        <w:spacing w:after="0"/>
        <w:rPr>
          <w:rFonts w:ascii="Times New Roman" w:hAnsi="Times New Roman"/>
          <w:i/>
          <w:noProof/>
          <w:sz w:val="18"/>
          <w:szCs w:val="18"/>
        </w:rPr>
      </w:pPr>
      <w:r>
        <w:rPr>
          <w:rFonts w:ascii="Times New Roman" w:hAnsi="Times New Roman"/>
          <w:b/>
          <w:i/>
          <w:noProof/>
        </w:rPr>
        <w:t xml:space="preserve">Графика 1: </w:t>
      </w:r>
      <w:r>
        <w:rPr>
          <w:b/>
          <w:i/>
          <w:noProof/>
        </w:rPr>
        <w:t>Брой заявления по сектори (NACE Rev. 2) за периода 2015—2016 г.</w:t>
      </w:r>
      <w:r>
        <w:rPr>
          <w:rFonts w:ascii="Times New Roman" w:hAnsi="Times New Roman"/>
          <w:b/>
          <w:i/>
          <w:noProof/>
        </w:rPr>
        <w:t xml:space="preserve">* </w:t>
      </w:r>
      <w:r>
        <w:rPr>
          <w:noProof/>
          <w:lang w:val="en-GB" w:eastAsia="en-GB" w:bidi="ar-SA"/>
        </w:rPr>
        <w:drawing>
          <wp:inline distT="0" distB="0" distL="0" distR="0">
            <wp:extent cx="5600700" cy="27061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05040" cy="2708234"/>
                    </a:xfrm>
                    <a:prstGeom prst="rect">
                      <a:avLst/>
                    </a:prstGeom>
                  </pic:spPr>
                </pic:pic>
              </a:graphicData>
            </a:graphic>
          </wp:inline>
        </w:drawing>
      </w:r>
    </w:p>
    <w:p w:rsidR="00060E60" w:rsidRDefault="00060E60">
      <w:pPr>
        <w:spacing w:after="0"/>
        <w:rPr>
          <w:rFonts w:ascii="Times New Roman" w:hAnsi="Times New Roman"/>
          <w:i/>
          <w:noProof/>
          <w:sz w:val="16"/>
          <w:szCs w:val="16"/>
        </w:rPr>
      </w:pPr>
    </w:p>
    <w:p w:rsidR="00060E60" w:rsidRDefault="00C4001B">
      <w:pPr>
        <w:spacing w:after="0"/>
        <w:rPr>
          <w:rFonts w:ascii="Times New Roman" w:hAnsi="Times New Roman"/>
          <w:b/>
          <w:i/>
          <w:noProof/>
        </w:rPr>
      </w:pPr>
      <w:r>
        <w:rPr>
          <w:rFonts w:ascii="Times New Roman" w:hAnsi="Times New Roman"/>
          <w:i/>
          <w:noProof/>
          <w:sz w:val="18"/>
        </w:rPr>
        <w:t>* Случай EGF/2016/003 EE/Petroleum and chemicals е свързан с два различни сектора (19 и 20)</w:t>
      </w:r>
      <w:r>
        <w:rPr>
          <w:rFonts w:ascii="Times New Roman" w:hAnsi="Times New Roman"/>
          <w:i/>
          <w:noProof/>
          <w:sz w:val="18"/>
        </w:rPr>
        <w:t xml:space="preserve"> и затова е отчетен два пъти в графиката по-горе.</w:t>
      </w:r>
    </w:p>
    <w:p w:rsidR="00060E60" w:rsidRDefault="00060E60">
      <w:pPr>
        <w:rPr>
          <w:rFonts w:ascii="Times New Roman" w:eastAsia="Times New Roman" w:hAnsi="Times New Roman" w:cs="Times New Roman"/>
          <w:bCs/>
          <w:noProof/>
          <w:color w:val="000000"/>
        </w:rPr>
        <w:sectPr w:rsidR="00060E60" w:rsidSect="002573A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2"/>
          <w:cols w:space="708"/>
          <w:docGrid w:linePitch="360"/>
        </w:sectPr>
      </w:pPr>
    </w:p>
    <w:p w:rsidR="00060E60" w:rsidRDefault="00C4001B">
      <w:pPr>
        <w:jc w:val="center"/>
        <w:rPr>
          <w:rFonts w:ascii="Times New Roman" w:hAnsi="Times New Roman" w:cs="Times New Roman"/>
          <w:b/>
          <w:i/>
          <w:noProof/>
          <w:sz w:val="28"/>
          <w:szCs w:val="28"/>
        </w:rPr>
      </w:pPr>
      <w:r>
        <w:rPr>
          <w:rFonts w:ascii="Times New Roman" w:hAnsi="Times New Roman"/>
          <w:b/>
          <w:i/>
          <w:noProof/>
          <w:sz w:val="28"/>
        </w:rPr>
        <w:t>Таблица 1: Заявления, получени през 2015 и 2016 г., по държави членки</w:t>
      </w:r>
    </w:p>
    <w:p w:rsidR="00060E60" w:rsidRDefault="00060E60">
      <w:pPr>
        <w:jc w:val="center"/>
        <w:rPr>
          <w:rFonts w:ascii="Times New Roman" w:hAnsi="Times New Roman" w:cs="Times New Roman"/>
          <w:b/>
          <w:i/>
          <w:noProof/>
          <w:sz w:val="28"/>
          <w:szCs w:val="28"/>
        </w:rPr>
      </w:pPr>
    </w:p>
    <w:p w:rsidR="00060E60" w:rsidRDefault="00C4001B">
      <w:pPr>
        <w:rPr>
          <w:noProof/>
        </w:rPr>
        <w:sectPr w:rsidR="00060E60">
          <w:headerReference w:type="even" r:id="rId23"/>
          <w:headerReference w:type="default" r:id="rId24"/>
          <w:footerReference w:type="even" r:id="rId25"/>
          <w:footerReference w:type="default" r:id="rId26"/>
          <w:headerReference w:type="first" r:id="rId27"/>
          <w:footerReference w:type="first" r:id="rId28"/>
          <w:pgSz w:w="16838" w:h="11906" w:orient="landscape"/>
          <w:pgMar w:top="1417" w:right="1417" w:bottom="1417" w:left="1417" w:header="708" w:footer="708" w:gutter="0"/>
          <w:cols w:space="708"/>
          <w:docGrid w:linePitch="360"/>
        </w:sectPr>
      </w:pPr>
      <w:r>
        <w:rPr>
          <w:noProof/>
          <w:lang w:val="en-GB" w:eastAsia="en-GB" w:bidi="ar-SA"/>
        </w:rPr>
        <w:drawing>
          <wp:inline distT="0" distB="0" distL="0" distR="0">
            <wp:extent cx="8892540" cy="416304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4163045"/>
                    </a:xfrm>
                    <a:prstGeom prst="rect">
                      <a:avLst/>
                    </a:prstGeom>
                    <a:noFill/>
                    <a:ln>
                      <a:noFill/>
                    </a:ln>
                  </pic:spPr>
                </pic:pic>
              </a:graphicData>
            </a:graphic>
          </wp:inline>
        </w:drawing>
      </w:r>
    </w:p>
    <w:p w:rsidR="00060E60" w:rsidRDefault="00C4001B">
      <w:pPr>
        <w:pStyle w:val="Heading3"/>
        <w:rPr>
          <w:bCs w:val="0"/>
          <w:i w:val="0"/>
          <w:noProof/>
        </w:rPr>
      </w:pPr>
      <w:bookmarkStart w:id="14" w:name="_Toc494803810"/>
      <w:bookmarkStart w:id="15" w:name="_Toc496534034"/>
      <w:r>
        <w:rPr>
          <w:noProof/>
        </w:rPr>
        <w:t>3.1.3. Получени заявления според</w:t>
      </w:r>
      <w:r>
        <w:rPr>
          <w:noProof/>
        </w:rPr>
        <w:t xml:space="preserve"> размера на исканата сума</w:t>
      </w:r>
      <w:bookmarkEnd w:id="14"/>
      <w:bookmarkEnd w:id="15"/>
    </w:p>
    <w:p w:rsidR="00060E60" w:rsidRDefault="00C4001B">
      <w:pPr>
        <w:jc w:val="both"/>
        <w:rPr>
          <w:rFonts w:ascii="Times New Roman" w:eastAsia="Times New Roman" w:hAnsi="Times New Roman" w:cs="Times New Roman"/>
          <w:bCs/>
          <w:noProof/>
          <w:color w:val="000000"/>
        </w:rPr>
      </w:pPr>
      <w:r>
        <w:rPr>
          <w:rFonts w:ascii="Times New Roman" w:hAnsi="Times New Roman"/>
          <w:noProof/>
          <w:color w:val="000000"/>
        </w:rPr>
        <w:t>За периода 2015—2016 г. единадесет държави членки поискаха от ЕФПГ сума в размер на 51 171 249 EUR. Финландия поиска най-голяма сума (11 994 000 EUR за четири заявления), следвана от Белгия (9 188 149 EUR за три заявления) и Герма</w:t>
      </w:r>
      <w:r>
        <w:rPr>
          <w:rFonts w:ascii="Times New Roman" w:hAnsi="Times New Roman"/>
          <w:noProof/>
          <w:color w:val="000000"/>
        </w:rPr>
        <w:t xml:space="preserve">ния (6 958 623 EUR за едно заявление). </w:t>
      </w:r>
      <w:r>
        <w:rPr>
          <w:rFonts w:ascii="Times New Roman" w:hAnsi="Times New Roman"/>
          <w:noProof/>
        </w:rPr>
        <w:t xml:space="preserve">Поисканите от ЕФПГ финансови участия варираха от 442 293 EUR до 6 958 623 EUR, или средно 3 010 073 EUR на заявление и 4 651 932 EUR на държава членка. </w:t>
      </w:r>
    </w:p>
    <w:p w:rsidR="00060E60" w:rsidRDefault="00C4001B">
      <w:pPr>
        <w:jc w:val="both"/>
        <w:rPr>
          <w:rFonts w:ascii="Times New Roman" w:hAnsi="Times New Roman" w:cs="Times New Roman"/>
          <w:noProof/>
        </w:rPr>
      </w:pPr>
      <w:r>
        <w:rPr>
          <w:rFonts w:ascii="Times New Roman" w:hAnsi="Times New Roman"/>
          <w:noProof/>
        </w:rPr>
        <w:t>Всяка държава членка, подала заявление за подпомагане от ЕФПГ, т</w:t>
      </w:r>
      <w:r>
        <w:rPr>
          <w:rFonts w:ascii="Times New Roman" w:hAnsi="Times New Roman"/>
          <w:noProof/>
        </w:rPr>
        <w:t>рябва да изготви съгласуван пакет от мерки, който в най-голяма степен отговоря на профила на целевата група бенефициери, и да вземе решение за размера на помощта, която иска да ѝ бъде предоставена. В Регламент (ЕС) № 1309/2013 максималният процент на съфин</w:t>
      </w:r>
      <w:r>
        <w:rPr>
          <w:rFonts w:ascii="Times New Roman" w:hAnsi="Times New Roman"/>
          <w:noProof/>
        </w:rPr>
        <w:t xml:space="preserve">ансиране от Комисията е определен на 60 %. </w:t>
      </w:r>
    </w:p>
    <w:p w:rsidR="00060E60" w:rsidRDefault="00C4001B">
      <w:pPr>
        <w:spacing w:before="720" w:after="0"/>
        <w:rPr>
          <w:rFonts w:ascii="Times New Roman" w:hAnsi="Times New Roman"/>
          <w:b/>
          <w:i/>
          <w:noProof/>
        </w:rPr>
      </w:pPr>
      <w:r>
        <w:rPr>
          <w:rFonts w:ascii="Times New Roman" w:hAnsi="Times New Roman"/>
          <w:b/>
          <w:i/>
          <w:noProof/>
        </w:rPr>
        <w:t>Графика 2: Общ размер на заявените пред ЕФПГ суми по държави членки за периода 2015—2016 г.</w:t>
      </w:r>
    </w:p>
    <w:p w:rsidR="00060E60" w:rsidRDefault="00060E60">
      <w:pPr>
        <w:spacing w:after="0"/>
        <w:rPr>
          <w:rFonts w:ascii="Times New Roman" w:hAnsi="Times New Roman"/>
          <w:b/>
          <w:i/>
          <w:noProof/>
        </w:rPr>
      </w:pPr>
    </w:p>
    <w:p w:rsidR="00060E60" w:rsidRDefault="00C4001B">
      <w:pPr>
        <w:spacing w:after="0"/>
        <w:jc w:val="center"/>
        <w:rPr>
          <w:rFonts w:ascii="Times New Roman" w:hAnsi="Times New Roman"/>
          <w:noProof/>
        </w:rPr>
      </w:pPr>
      <w:r>
        <w:rPr>
          <w:noProof/>
          <w:lang w:val="en-GB" w:eastAsia="en-GB" w:bidi="ar-SA"/>
        </w:rPr>
        <w:drawing>
          <wp:inline distT="0" distB="0" distL="0" distR="0">
            <wp:extent cx="6002931" cy="3964727"/>
            <wp:effectExtent l="0" t="0" r="1714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0E60" w:rsidRDefault="00060E60">
      <w:pPr>
        <w:spacing w:after="0"/>
        <w:jc w:val="center"/>
        <w:rPr>
          <w:rFonts w:ascii="Times New Roman" w:hAnsi="Times New Roman"/>
          <w:noProof/>
        </w:rPr>
      </w:pPr>
    </w:p>
    <w:p w:rsidR="00060E60" w:rsidRDefault="00060E60">
      <w:pPr>
        <w:spacing w:after="0" w:line="240" w:lineRule="auto"/>
        <w:rPr>
          <w:rFonts w:ascii="Times New Roman" w:eastAsia="Times New Roman" w:hAnsi="Times New Roman" w:cs="Times New Roman"/>
          <w:b/>
          <w:bCs/>
          <w:noProof/>
          <w:color w:val="000000"/>
        </w:rPr>
      </w:pPr>
    </w:p>
    <w:p w:rsidR="00060E60" w:rsidRDefault="00C4001B">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Общ размер на заявените пред ЕФПГ суми за 11-те държави членки за периода 2015—2016 г.:   51 171 249 EUR</w:t>
      </w:r>
    </w:p>
    <w:p w:rsidR="00060E60" w:rsidRDefault="00C4001B">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 xml:space="preserve">Усреднен </w:t>
      </w:r>
      <w:r>
        <w:rPr>
          <w:rFonts w:ascii="Times New Roman" w:hAnsi="Times New Roman"/>
          <w:b/>
          <w:noProof/>
          <w:color w:val="000000"/>
        </w:rPr>
        <w:t>размер на заявените пред ЕФПГ суми по държави членки за периода 2015—2016 г.:   4 651 932 EUR</w:t>
      </w:r>
    </w:p>
    <w:p w:rsidR="00060E60" w:rsidRDefault="00060E60">
      <w:pPr>
        <w:jc w:val="both"/>
        <w:rPr>
          <w:rFonts w:ascii="Times New Roman" w:eastAsia="Times New Roman" w:hAnsi="Times New Roman"/>
          <w:noProof/>
          <w:color w:val="000000"/>
        </w:rPr>
      </w:pPr>
    </w:p>
    <w:p w:rsidR="00060E60" w:rsidRDefault="00C4001B">
      <w:pPr>
        <w:pStyle w:val="Heading3"/>
        <w:rPr>
          <w:noProof/>
        </w:rPr>
      </w:pPr>
      <w:bookmarkStart w:id="16" w:name="_Toc494803811"/>
      <w:bookmarkStart w:id="17" w:name="_Toc496534035"/>
      <w:r>
        <w:rPr>
          <w:noProof/>
        </w:rPr>
        <w:t>3.1.4. Получени заявления според броя на бенефициерите от целевата група за помощ</w:t>
      </w:r>
      <w:bookmarkEnd w:id="16"/>
      <w:bookmarkEnd w:id="17"/>
    </w:p>
    <w:p w:rsidR="00060E60" w:rsidRDefault="00C4001B">
      <w:pPr>
        <w:jc w:val="both"/>
        <w:rPr>
          <w:rFonts w:ascii="Times New Roman" w:hAnsi="Times New Roman" w:cs="Times New Roman"/>
          <w:noProof/>
          <w:color w:val="000000" w:themeColor="text1"/>
          <w:spacing w:val="-2"/>
        </w:rPr>
      </w:pPr>
      <w:r>
        <w:rPr>
          <w:rFonts w:ascii="Times New Roman" w:hAnsi="Times New Roman"/>
          <w:noProof/>
          <w:color w:val="000000" w:themeColor="text1"/>
          <w:spacing w:val="-2"/>
        </w:rPr>
        <w:t>Общият брой на бенефициерите</w:t>
      </w:r>
      <w:r>
        <w:rPr>
          <w:rStyle w:val="FootnoteReference"/>
          <w:rFonts w:ascii="Times New Roman" w:hAnsi="Times New Roman"/>
          <w:noProof/>
          <w:color w:val="000000"/>
          <w:spacing w:val="-2"/>
        </w:rPr>
        <w:footnoteReference w:id="9"/>
      </w:r>
      <w:r>
        <w:rPr>
          <w:rFonts w:ascii="Times New Roman" w:hAnsi="Times New Roman"/>
          <w:noProof/>
          <w:color w:val="000000" w:themeColor="text1"/>
          <w:spacing w:val="-2"/>
        </w:rPr>
        <w:t xml:space="preserve">, към които е била насочена подкрепата от ЕФПГ, е </w:t>
      </w:r>
      <w:r>
        <w:rPr>
          <w:rFonts w:ascii="Times New Roman" w:hAnsi="Times New Roman"/>
          <w:noProof/>
          <w:color w:val="000000" w:themeColor="text1"/>
          <w:spacing w:val="-2"/>
        </w:rPr>
        <w:t xml:space="preserve">19 354. </w:t>
      </w:r>
      <w:r>
        <w:rPr>
          <w:rFonts w:ascii="Times New Roman" w:hAnsi="Times New Roman"/>
          <w:noProof/>
          <w:spacing w:val="-2"/>
        </w:rPr>
        <w:t>Броят на бенефициерите от целевата група за всяко отделно заявление варира от 184 до 4 500, като шест от заявленията се отнасят до повече от 1 000 бенефициери, а три — до по-малко от 500. Всяко от 17-те заявленията, получени през 2015 и 2016 г., за</w:t>
      </w:r>
      <w:r>
        <w:rPr>
          <w:rFonts w:ascii="Times New Roman" w:hAnsi="Times New Roman"/>
          <w:noProof/>
          <w:spacing w:val="-2"/>
        </w:rPr>
        <w:t xml:space="preserve">сяга средно 1 138 бенефициери. </w:t>
      </w:r>
    </w:p>
    <w:p w:rsidR="00060E60" w:rsidRDefault="00C4001B">
      <w:pPr>
        <w:jc w:val="both"/>
        <w:rPr>
          <w:rFonts w:ascii="Times New Roman" w:eastAsia="Times New Roman" w:hAnsi="Times New Roman"/>
          <w:noProof/>
          <w:color w:val="000000"/>
        </w:rPr>
      </w:pPr>
      <w:r>
        <w:rPr>
          <w:rFonts w:ascii="Times New Roman" w:hAnsi="Times New Roman"/>
          <w:noProof/>
          <w:color w:val="000000" w:themeColor="text1"/>
        </w:rPr>
        <w:t>От общо 19 354 целеви бенефициери 18 303 са били съкратени работници и 1 051 – неактивни, неангажирани с образование или обучение (ННОО) млади хора. Белгия е поискала от ЕФПГ подкрепа за най-голям брой работници (5 400), сле</w:t>
      </w:r>
      <w:r>
        <w:rPr>
          <w:rFonts w:ascii="Times New Roman" w:hAnsi="Times New Roman"/>
          <w:noProof/>
          <w:color w:val="000000" w:themeColor="text1"/>
        </w:rPr>
        <w:t>двана от Финландия (3 962) и Германия (2 692). Средният брой работници от целевата група по държави членки е 1 664. Четирите заявления, в които в целевата група за помощ са били включени също и ННОО млади хора, са подадени от Белгия (2 заявления с общо 400</w:t>
      </w:r>
      <w:r>
        <w:rPr>
          <w:rFonts w:ascii="Times New Roman" w:hAnsi="Times New Roman"/>
          <w:noProof/>
          <w:color w:val="000000" w:themeColor="text1"/>
        </w:rPr>
        <w:t xml:space="preserve"> ННОО млади хора), Гърция (543 ННОО млади хора) и Ирландия (108 ННОО млади хора).</w:t>
      </w:r>
    </w:p>
    <w:p w:rsidR="00060E60" w:rsidRDefault="00C4001B">
      <w:pPr>
        <w:jc w:val="both"/>
        <w:rPr>
          <w:rFonts w:ascii="Times New Roman" w:eastAsia="Times New Roman" w:hAnsi="Times New Roman" w:cs="Times New Roman"/>
          <w:bCs/>
          <w:noProof/>
          <w:color w:val="000000"/>
        </w:rPr>
      </w:pPr>
      <w:r>
        <w:rPr>
          <w:rFonts w:ascii="Times New Roman" w:hAnsi="Times New Roman"/>
          <w:noProof/>
          <w:color w:val="000000"/>
        </w:rPr>
        <w:t xml:space="preserve">В графика 3 е показано разпределението на работниците от целевата група по държави членки. </w:t>
      </w:r>
    </w:p>
    <w:p w:rsidR="00060E60" w:rsidRDefault="00C4001B">
      <w:pPr>
        <w:spacing w:before="720"/>
        <w:jc w:val="both"/>
        <w:rPr>
          <w:rFonts w:ascii="Times New Roman" w:hAnsi="Times New Roman"/>
          <w:b/>
          <w:i/>
          <w:noProof/>
        </w:rPr>
      </w:pPr>
      <w:r>
        <w:rPr>
          <w:rFonts w:ascii="Times New Roman" w:hAnsi="Times New Roman"/>
          <w:b/>
          <w:i/>
          <w:noProof/>
        </w:rPr>
        <w:t xml:space="preserve">Графика 3: Брой работници от целевата група по държави членки за периода </w:t>
      </w:r>
      <w:r>
        <w:rPr>
          <w:rFonts w:ascii="Times New Roman" w:hAnsi="Times New Roman"/>
          <w:b/>
          <w:i/>
          <w:noProof/>
        </w:rPr>
        <w:t>2015—2016 г.</w:t>
      </w:r>
    </w:p>
    <w:p w:rsidR="00060E60" w:rsidRDefault="00C4001B">
      <w:pPr>
        <w:jc w:val="center"/>
        <w:rPr>
          <w:rFonts w:ascii="Times New Roman" w:hAnsi="Times New Roman"/>
          <w:noProof/>
        </w:rPr>
      </w:pPr>
      <w:r>
        <w:rPr>
          <w:noProof/>
          <w:lang w:val="en-GB" w:eastAsia="en-GB" w:bidi="ar-SA"/>
        </w:rPr>
        <w:drawing>
          <wp:inline distT="0" distB="0" distL="0" distR="0">
            <wp:extent cx="5758626" cy="3504036"/>
            <wp:effectExtent l="0" t="0" r="1397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0E60" w:rsidRDefault="00060E60">
      <w:pPr>
        <w:spacing w:after="0"/>
        <w:rPr>
          <w:rFonts w:ascii="Times New Roman" w:eastAsia="Times New Roman" w:hAnsi="Times New Roman" w:cs="Times New Roman"/>
          <w:b/>
          <w:bCs/>
          <w:noProof/>
          <w:color w:val="000000"/>
        </w:rPr>
      </w:pPr>
    </w:p>
    <w:p w:rsidR="00060E60" w:rsidRDefault="00C4001B">
      <w:pPr>
        <w:spacing w:after="0"/>
        <w:rPr>
          <w:rFonts w:ascii="Times New Roman Bold" w:eastAsia="Times New Roman" w:hAnsi="Times New Roman Bold" w:cs="Times New Roman"/>
          <w:b/>
          <w:bCs/>
          <w:noProof/>
          <w:color w:val="000000"/>
          <w:spacing w:val="-6"/>
        </w:rPr>
      </w:pPr>
      <w:r>
        <w:rPr>
          <w:rFonts w:ascii="Times New Roman Bold" w:hAnsi="Times New Roman Bold"/>
          <w:b/>
          <w:noProof/>
          <w:color w:val="000000"/>
          <w:spacing w:val="-6"/>
        </w:rPr>
        <w:t xml:space="preserve">Общ брой работници от целевата група по държави членки за периода 2015—2016 г.: </w:t>
      </w:r>
      <w:r>
        <w:rPr>
          <w:rFonts w:ascii="Times New Roman Bold" w:hAnsi="Times New Roman Bold"/>
          <w:b/>
          <w:noProof/>
          <w:color w:val="000000"/>
          <w:spacing w:val="-6"/>
        </w:rPr>
        <w:tab/>
        <w:t>18 303</w:t>
      </w:r>
    </w:p>
    <w:p w:rsidR="00060E60" w:rsidRDefault="00C4001B">
      <w:pPr>
        <w:spacing w:after="0"/>
        <w:rPr>
          <w:rFonts w:ascii="Times New Roman Bold" w:eastAsia="Times New Roman" w:hAnsi="Times New Roman Bold" w:cs="Times New Roman"/>
          <w:b/>
          <w:bCs/>
          <w:noProof/>
          <w:color w:val="000000"/>
          <w:spacing w:val="-6"/>
        </w:rPr>
      </w:pPr>
      <w:r>
        <w:rPr>
          <w:rFonts w:ascii="Times New Roman Bold" w:hAnsi="Times New Roman Bold"/>
          <w:b/>
          <w:noProof/>
          <w:color w:val="000000"/>
          <w:spacing w:val="-6"/>
        </w:rPr>
        <w:t>Усреднен брой работници от целевата група по държави членки за периода 2015—2016 г.: 1 664</w:t>
      </w:r>
    </w:p>
    <w:p w:rsidR="00060E60" w:rsidRDefault="00060E60">
      <w:pPr>
        <w:ind w:left="708"/>
        <w:jc w:val="both"/>
        <w:rPr>
          <w:rFonts w:ascii="Times New Roman" w:hAnsi="Times New Roman"/>
          <w:noProof/>
        </w:rPr>
      </w:pPr>
    </w:p>
    <w:p w:rsidR="00060E60" w:rsidRDefault="00C4001B">
      <w:pPr>
        <w:spacing w:after="0"/>
        <w:jc w:val="both"/>
        <w:rPr>
          <w:rFonts w:ascii="Times New Roman" w:hAnsi="Times New Roman"/>
          <w:noProof/>
        </w:rPr>
      </w:pPr>
      <w:r>
        <w:rPr>
          <w:rFonts w:ascii="Times New Roman" w:hAnsi="Times New Roman"/>
          <w:noProof/>
        </w:rPr>
        <w:t xml:space="preserve">В повечето от получените заявления общият брой на </w:t>
      </w:r>
      <w:r>
        <w:rPr>
          <w:rFonts w:ascii="Times New Roman" w:hAnsi="Times New Roman"/>
          <w:noProof/>
        </w:rPr>
        <w:t>работниците, към които са били насочени мерките, предложени за съфинансиране от ЕФПГ, представлява средно 78 % от общия брой на съкратените работници. Това е така, защото държавата членка може да реши да насочи помощта от ЕФПГ само към определени групи лиц</w:t>
      </w:r>
      <w:r>
        <w:rPr>
          <w:rFonts w:ascii="Times New Roman" w:hAnsi="Times New Roman"/>
          <w:noProof/>
        </w:rPr>
        <w:t xml:space="preserve">а, като най-уязвимите работници, такива, които са изправени пред изключителни трудности да останат на пазара на труда и/или такива, които имат най-голяма потребност от помощ. В някои случаи стандартната подкрепа за съкратените работници в държавите членки </w:t>
      </w:r>
      <w:r>
        <w:rPr>
          <w:rFonts w:ascii="Times New Roman" w:hAnsi="Times New Roman"/>
          <w:noProof/>
        </w:rPr>
        <w:t>може да бъде достатъчна за бързото им връщане на работа или работниците може да изберат ранно пенсиониране.</w:t>
      </w:r>
    </w:p>
    <w:p w:rsidR="00060E60" w:rsidRDefault="00C4001B">
      <w:pPr>
        <w:pStyle w:val="Heading3"/>
        <w:rPr>
          <w:bCs w:val="0"/>
          <w:i w:val="0"/>
          <w:noProof/>
        </w:rPr>
      </w:pPr>
      <w:bookmarkStart w:id="18" w:name="_Toc494803812"/>
      <w:bookmarkStart w:id="19" w:name="_Toc496534036"/>
      <w:r>
        <w:rPr>
          <w:noProof/>
        </w:rPr>
        <w:t>3.1.5. Получени заявления според броя на работниците от целевата група по сектори</w:t>
      </w:r>
      <w:bookmarkEnd w:id="18"/>
      <w:bookmarkEnd w:id="19"/>
    </w:p>
    <w:p w:rsidR="00060E60" w:rsidRDefault="00C4001B">
      <w:pPr>
        <w:spacing w:after="0"/>
        <w:jc w:val="both"/>
        <w:rPr>
          <w:rFonts w:ascii="Times New Roman" w:hAnsi="Times New Roman"/>
          <w:b/>
          <w:i/>
          <w:noProof/>
          <w:sz w:val="24"/>
          <w:szCs w:val="24"/>
        </w:rPr>
      </w:pPr>
      <w:r>
        <w:rPr>
          <w:rFonts w:ascii="Times New Roman" w:hAnsi="Times New Roman"/>
          <w:noProof/>
        </w:rPr>
        <w:t xml:space="preserve">Одобрените през разглеждания период 17 заявления са свързани с 12 </w:t>
      </w:r>
      <w:r>
        <w:rPr>
          <w:rFonts w:ascii="Times New Roman" w:hAnsi="Times New Roman"/>
          <w:noProof/>
        </w:rPr>
        <w:t>различни сектора. Най-голям брой обхванати от мерките работници има в сектор „автомобили, ремаркета и полуремаркета“ (7 942), следван от сектор „компютърно програмиране, консултантски и свързани услуги“ (2 641), „сухопътен транспорт и тръбопроводен транспо</w:t>
      </w:r>
      <w:r>
        <w:rPr>
          <w:rFonts w:ascii="Times New Roman" w:hAnsi="Times New Roman"/>
          <w:noProof/>
        </w:rPr>
        <w:t xml:space="preserve">рт“ (2 132). </w:t>
      </w:r>
    </w:p>
    <w:p w:rsidR="00060E60" w:rsidRDefault="00C4001B">
      <w:pPr>
        <w:spacing w:before="720"/>
        <w:rPr>
          <w:rFonts w:ascii="Times New Roman" w:hAnsi="Times New Roman"/>
          <w:b/>
          <w:i/>
          <w:noProof/>
        </w:rPr>
      </w:pPr>
      <w:r>
        <w:rPr>
          <w:rFonts w:ascii="Times New Roman" w:hAnsi="Times New Roman"/>
          <w:b/>
          <w:i/>
          <w:noProof/>
        </w:rPr>
        <w:t>Графика 4: Брой работници от целевата група по сектори (NACE Rev. 2) за периода 2015—2016 г.</w:t>
      </w:r>
    </w:p>
    <w:p w:rsidR="00060E60" w:rsidRDefault="00C4001B">
      <w:pPr>
        <w:rPr>
          <w:rFonts w:ascii="Times New Roman" w:hAnsi="Times New Roman"/>
          <w:noProof/>
        </w:rPr>
      </w:pPr>
      <w:r>
        <w:rPr>
          <w:noProof/>
          <w:lang w:val="en-GB" w:eastAsia="en-GB" w:bidi="ar-SA"/>
        </w:rPr>
        <w:drawing>
          <wp:inline distT="0" distB="0" distL="0" distR="0">
            <wp:extent cx="5760720" cy="35248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524885"/>
                    </a:xfrm>
                    <a:prstGeom prst="rect">
                      <a:avLst/>
                    </a:prstGeom>
                  </pic:spPr>
                </pic:pic>
              </a:graphicData>
            </a:graphic>
          </wp:inline>
        </w:drawing>
      </w:r>
    </w:p>
    <w:p w:rsidR="00060E60" w:rsidRDefault="00C4001B">
      <w:pPr>
        <w:jc w:val="both"/>
        <w:rPr>
          <w:rFonts w:ascii="Times New Roman" w:hAnsi="Times New Roman"/>
          <w:i/>
          <w:noProof/>
          <w:sz w:val="18"/>
          <w:szCs w:val="18"/>
        </w:rPr>
      </w:pPr>
      <w:r>
        <w:rPr>
          <w:rFonts w:ascii="Times New Roman" w:hAnsi="Times New Roman"/>
          <w:i/>
          <w:noProof/>
          <w:sz w:val="18"/>
        </w:rPr>
        <w:t>* Случай EGF/2016/003 EE/Petroleum and chemicals е свързан с два различни сектора (19 и 20) и затова 800-те работници от целевата група по този слу</w:t>
      </w:r>
      <w:r>
        <w:rPr>
          <w:rFonts w:ascii="Times New Roman" w:hAnsi="Times New Roman"/>
          <w:i/>
          <w:noProof/>
          <w:sz w:val="18"/>
        </w:rPr>
        <w:t>чай присъстват два пъти в графиката.</w:t>
      </w:r>
    </w:p>
    <w:p w:rsidR="00060E60" w:rsidRDefault="00C4001B">
      <w:pPr>
        <w:pStyle w:val="Heading3"/>
        <w:rPr>
          <w:noProof/>
          <w:spacing w:val="-4"/>
        </w:rPr>
      </w:pPr>
      <w:bookmarkStart w:id="20" w:name="_Toc494803813"/>
      <w:bookmarkStart w:id="21" w:name="_Toc496534037"/>
      <w:r>
        <w:rPr>
          <w:noProof/>
          <w:spacing w:val="-4"/>
        </w:rPr>
        <w:t>3.1.6. Получени заявления според размера на исканата сума за отделен бенефициер</w:t>
      </w:r>
      <w:bookmarkEnd w:id="20"/>
      <w:bookmarkEnd w:id="21"/>
    </w:p>
    <w:p w:rsidR="00060E60" w:rsidRDefault="00C4001B">
      <w:pPr>
        <w:jc w:val="both"/>
        <w:rPr>
          <w:rFonts w:ascii="Times New Roman" w:hAnsi="Times New Roman" w:cs="Times New Roman"/>
          <w:noProof/>
        </w:rPr>
      </w:pPr>
      <w:r>
        <w:rPr>
          <w:rFonts w:ascii="Times New Roman" w:hAnsi="Times New Roman"/>
          <w:noProof/>
        </w:rPr>
        <w:t xml:space="preserve">Всяка държава членка, подаваща заявление за помощ от ЕФПГ, трябва да изготви съгласуван пакет от мерки, който в най-голяма степен отговоря на профила на целевата група работници, и да вземе решение за размера на помощта, която иска да ѝ бъде предоставена. </w:t>
      </w:r>
      <w:r>
        <w:rPr>
          <w:rFonts w:ascii="Times New Roman" w:hAnsi="Times New Roman"/>
          <w:noProof/>
        </w:rPr>
        <w:t>Регламентът за ЕФПГ не поставя ограничение за размера на исканата сума. Поради това поисканата сума за отделен бенефициер от целевата група може да варира в зависимост от мащаба на уволненията, ситуацията на съответния пазар на труда, конкретните обстоятел</w:t>
      </w:r>
      <w:r>
        <w:rPr>
          <w:rFonts w:ascii="Times New Roman" w:hAnsi="Times New Roman"/>
          <w:noProof/>
        </w:rPr>
        <w:t xml:space="preserve">ства при бенефициерите от целевата група, вече предвидените от държавата членка мерки и разходите за предоставянето на услугите в съответната държава членка или регион. </w:t>
      </w:r>
    </w:p>
    <w:p w:rsidR="00060E60" w:rsidRDefault="00C4001B">
      <w:pPr>
        <w:jc w:val="both"/>
        <w:rPr>
          <w:rFonts w:ascii="Times New Roman" w:hAnsi="Times New Roman" w:cs="Times New Roman"/>
          <w:noProof/>
        </w:rPr>
      </w:pPr>
      <w:r>
        <w:rPr>
          <w:rFonts w:ascii="Times New Roman" w:hAnsi="Times New Roman"/>
          <w:noProof/>
        </w:rPr>
        <w:t>Това обяснява защо през 2015 и 2016 г. размерът на подкрепата от ЕФПГ за отделен бенеф</w:t>
      </w:r>
      <w:r>
        <w:rPr>
          <w:rFonts w:ascii="Times New Roman" w:hAnsi="Times New Roman"/>
          <w:noProof/>
        </w:rPr>
        <w:t>ициер варира от 1 393 EUR до 7 689 EUR (вж. таблица 1). Всяка от държавите членки, подала заявление за подкрепа от ЕФПГ през 2015 и 2016 г., е поискала средно по 2 644 EUR на бенефициер от целевата група. Най-голямата сума за бенефициер е била заявена от И</w:t>
      </w:r>
      <w:r>
        <w:rPr>
          <w:rFonts w:ascii="Times New Roman" w:hAnsi="Times New Roman"/>
          <w:noProof/>
        </w:rPr>
        <w:t>талия (7 689 EUR), следвана от Гърция (5 880 EUR) и Швеция (4 311 EUR).</w:t>
      </w:r>
    </w:p>
    <w:p w:rsidR="00060E60" w:rsidRDefault="00C4001B">
      <w:pPr>
        <w:spacing w:before="720"/>
        <w:jc w:val="both"/>
        <w:rPr>
          <w:rFonts w:ascii="Times New Roman" w:hAnsi="Times New Roman"/>
          <w:b/>
          <w:i/>
          <w:noProof/>
        </w:rPr>
      </w:pPr>
      <w:r>
        <w:rPr>
          <w:rFonts w:ascii="Times New Roman" w:hAnsi="Times New Roman"/>
          <w:b/>
          <w:i/>
          <w:noProof/>
        </w:rPr>
        <w:t>Графика 5: Максимален размер на заявените пред ЕФПГ суми за отделен бенефициер и по държави членки за периода 2015—2016 г.</w:t>
      </w:r>
    </w:p>
    <w:p w:rsidR="00060E60" w:rsidRDefault="00C4001B">
      <w:pPr>
        <w:jc w:val="both"/>
        <w:rPr>
          <w:noProof/>
          <w:sz w:val="20"/>
          <w:szCs w:val="20"/>
        </w:rPr>
      </w:pPr>
      <w:r>
        <w:rPr>
          <w:noProof/>
          <w:lang w:val="en-GB" w:eastAsia="en-GB" w:bidi="ar-SA"/>
        </w:rPr>
        <w:drawing>
          <wp:inline distT="0" distB="0" distL="0" distR="0">
            <wp:extent cx="5761529" cy="3188262"/>
            <wp:effectExtent l="0" t="0" r="10795"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0E60" w:rsidRDefault="00C4001B">
      <w:pPr>
        <w:spacing w:after="240"/>
        <w:rPr>
          <w:rFonts w:ascii="Times New Roman" w:hAnsi="Times New Roman"/>
          <w:b/>
          <w:noProof/>
        </w:rPr>
      </w:pPr>
      <w:r>
        <w:rPr>
          <w:rFonts w:ascii="Times New Roman" w:hAnsi="Times New Roman"/>
          <w:b/>
          <w:noProof/>
        </w:rPr>
        <w:t>Усреднен размер на заявените пред ЕФПГ суми за отделен бене</w:t>
      </w:r>
      <w:r>
        <w:rPr>
          <w:rFonts w:ascii="Times New Roman" w:hAnsi="Times New Roman"/>
          <w:b/>
          <w:noProof/>
        </w:rPr>
        <w:t>фициер за 11 държави членки за периода 2015—2016 г. 2 644 EUR</w:t>
      </w:r>
    </w:p>
    <w:p w:rsidR="00060E60" w:rsidRDefault="00C4001B">
      <w:pPr>
        <w:pStyle w:val="Heading2"/>
        <w:spacing w:before="360"/>
        <w:rPr>
          <w:noProof/>
        </w:rPr>
      </w:pPr>
      <w:bookmarkStart w:id="22" w:name="_Toc494803814"/>
      <w:bookmarkStart w:id="23" w:name="_Toc496534038"/>
      <w:r>
        <w:rPr>
          <w:noProof/>
        </w:rPr>
        <w:t>3.2. Средства, предоставени под формата на финансово участие</w:t>
      </w:r>
      <w:bookmarkEnd w:id="22"/>
      <w:bookmarkEnd w:id="23"/>
    </w:p>
    <w:p w:rsidR="00060E60" w:rsidRDefault="00C4001B">
      <w:pPr>
        <w:jc w:val="both"/>
        <w:rPr>
          <w:rFonts w:ascii="Times New Roman" w:hAnsi="Times New Roman" w:cs="Times New Roman"/>
          <w:noProof/>
          <w:color w:val="000000" w:themeColor="text1"/>
        </w:rPr>
      </w:pPr>
      <w:r>
        <w:rPr>
          <w:rFonts w:ascii="Times New Roman" w:hAnsi="Times New Roman"/>
          <w:noProof/>
        </w:rPr>
        <w:t>През 2015 и 2016 г. бюджетният орган взе 25 решения (включително десет заявления, получени преди 1 януари 2015 г.) за мобилизиране на</w:t>
      </w:r>
      <w:r>
        <w:rPr>
          <w:rFonts w:ascii="Times New Roman" w:hAnsi="Times New Roman"/>
          <w:noProof/>
        </w:rPr>
        <w:t xml:space="preserve"> средства от ЕФПГ. Вж. таблици 3 и 4 за преглед на средствата, предоставени под формата на финансово участие, както и за профила на съответните работници</w:t>
      </w:r>
      <w:r>
        <w:rPr>
          <w:rStyle w:val="FootnoteReference"/>
          <w:rFonts w:ascii="Times New Roman" w:hAnsi="Times New Roman"/>
          <w:noProof/>
        </w:rPr>
        <w:footnoteReference w:id="10"/>
      </w:r>
      <w:r>
        <w:rPr>
          <w:rFonts w:ascii="Times New Roman" w:hAnsi="Times New Roman"/>
          <w:noProof/>
        </w:rPr>
        <w:t>. Бюджетният орган взе 16 решения през 2015 г. и 9 решения — през 2016 г.</w:t>
      </w:r>
      <w:r>
        <w:rPr>
          <w:rFonts w:ascii="Times New Roman" w:hAnsi="Times New Roman"/>
          <w:noProof/>
          <w:color w:val="000000" w:themeColor="text1"/>
        </w:rPr>
        <w:t xml:space="preserve"> При повечето от средствата, </w:t>
      </w:r>
      <w:r>
        <w:rPr>
          <w:rFonts w:ascii="Times New Roman" w:hAnsi="Times New Roman"/>
          <w:noProof/>
          <w:color w:val="000000" w:themeColor="text1"/>
        </w:rPr>
        <w:t xml:space="preserve">предоставени под формата на финансово участие (22), процентът на съфинансиране беше 60 %. </w:t>
      </w:r>
      <w:r>
        <w:rPr>
          <w:rFonts w:ascii="Times New Roman" w:hAnsi="Times New Roman"/>
          <w:noProof/>
        </w:rPr>
        <w:t>В три случая, попадащи в обхвата на Регламент (ЕО) № 1927/2006</w:t>
      </w:r>
      <w:r>
        <w:rPr>
          <w:rStyle w:val="FootnoteReference"/>
          <w:rFonts w:ascii="Times New Roman" w:hAnsi="Times New Roman"/>
          <w:noProof/>
        </w:rPr>
        <w:footnoteReference w:id="11"/>
      </w:r>
      <w:r>
        <w:rPr>
          <w:rFonts w:ascii="Times New Roman" w:hAnsi="Times New Roman"/>
          <w:noProof/>
        </w:rPr>
        <w:t>, процентът на съфинансиране беше 50 %.</w:t>
      </w:r>
      <w:r>
        <w:rPr>
          <w:rFonts w:ascii="Times New Roman" w:hAnsi="Times New Roman"/>
          <w:noProof/>
          <w:color w:val="000000" w:themeColor="text1"/>
        </w:rPr>
        <w:t xml:space="preserve"> </w:t>
      </w:r>
    </w:p>
    <w:p w:rsidR="00060E60" w:rsidRDefault="00C4001B">
      <w:pPr>
        <w:jc w:val="both"/>
        <w:rPr>
          <w:rFonts w:ascii="Times New Roman" w:hAnsi="Times New Roman" w:cs="Times New Roman"/>
          <w:noProof/>
        </w:rPr>
      </w:pPr>
      <w:r>
        <w:rPr>
          <w:rFonts w:ascii="Times New Roman" w:hAnsi="Times New Roman"/>
          <w:noProof/>
        </w:rPr>
        <w:t>Двадесет и пет от финансовите участия бяха насочени към 25 353</w:t>
      </w:r>
      <w:r>
        <w:rPr>
          <w:rFonts w:ascii="Times New Roman" w:hAnsi="Times New Roman"/>
          <w:noProof/>
        </w:rPr>
        <w:t xml:space="preserve"> бенефициери (от тях 1 251 ННОО млади хора) в 11 държави членки, като общата сума, отпусната от ЕФПГ, възлизаше на 70 392 546 EUR</w:t>
      </w:r>
      <w:r>
        <w:rPr>
          <w:rStyle w:val="FootnoteReference"/>
          <w:rFonts w:ascii="Times New Roman" w:hAnsi="Times New Roman"/>
          <w:noProof/>
          <w:color w:val="000000" w:themeColor="text1"/>
        </w:rPr>
        <w:footnoteReference w:id="12"/>
      </w:r>
      <w:r>
        <w:rPr>
          <w:rFonts w:ascii="Times New Roman" w:hAnsi="Times New Roman"/>
          <w:noProof/>
        </w:rPr>
        <w:t xml:space="preserve"> (средно 2 776 EUR на бенефициер от целевата група). </w:t>
      </w:r>
    </w:p>
    <w:p w:rsidR="00060E60" w:rsidRDefault="00C4001B">
      <w:pPr>
        <w:pStyle w:val="Heading3"/>
        <w:rPr>
          <w:noProof/>
        </w:rPr>
      </w:pPr>
      <w:bookmarkStart w:id="24" w:name="_Toc494803815"/>
      <w:bookmarkStart w:id="25" w:name="_Toc496534039"/>
      <w:r>
        <w:rPr>
          <w:noProof/>
        </w:rPr>
        <w:t>3.2.1. Действия, финансирани с помощта на ЕФПГ</w:t>
      </w:r>
      <w:bookmarkEnd w:id="24"/>
      <w:bookmarkEnd w:id="25"/>
    </w:p>
    <w:p w:rsidR="00060E60" w:rsidRDefault="00C4001B">
      <w:pPr>
        <w:autoSpaceDE w:val="0"/>
        <w:autoSpaceDN w:val="0"/>
        <w:adjustRightInd w:val="0"/>
        <w:spacing w:after="0"/>
        <w:jc w:val="both"/>
        <w:rPr>
          <w:rFonts w:ascii="Times New Roman" w:hAnsi="Times New Roman" w:cs="Times New Roman"/>
          <w:noProof/>
        </w:rPr>
      </w:pPr>
      <w:r>
        <w:rPr>
          <w:rFonts w:ascii="Times New Roman" w:hAnsi="Times New Roman"/>
          <w:noProof/>
        </w:rPr>
        <w:t xml:space="preserve">В член 7 от Регламент </w:t>
      </w:r>
      <w:r>
        <w:rPr>
          <w:rFonts w:ascii="Times New Roman" w:hAnsi="Times New Roman"/>
          <w:noProof/>
        </w:rPr>
        <w:t>(ЕС) № 1309/2013 е предвидено, че финансово участие от ЕФПГ може да бъде осъществено за активни мерки за пазара на труда, които са част от съгласуван пакет от персонализирани услуги, предназначени да улеснят повторното интегриране на целевата група бенефиц</w:t>
      </w:r>
      <w:r>
        <w:rPr>
          <w:rFonts w:ascii="Times New Roman" w:hAnsi="Times New Roman"/>
          <w:noProof/>
        </w:rPr>
        <w:t>иери, и по-специално на лица в неравностойно положение, на възрастни и млади безработни, под формата на заетост или самостоятелна заетост. Мерките, одобрени във връзка с предоставеното през 2015 и 2016 г. финансово участие на ЕФПГ в 25 отделни случая, имах</w:t>
      </w:r>
      <w:r>
        <w:rPr>
          <w:rFonts w:ascii="Times New Roman" w:hAnsi="Times New Roman"/>
          <w:noProof/>
        </w:rPr>
        <w:t>а за цел повторното интегриране на пазара на труда на 25 353 бенефициери. Мерките се изразяваха предимно в следното:</w:t>
      </w:r>
    </w:p>
    <w:p w:rsidR="00060E60" w:rsidRDefault="00060E60">
      <w:pPr>
        <w:autoSpaceDE w:val="0"/>
        <w:autoSpaceDN w:val="0"/>
        <w:adjustRightInd w:val="0"/>
        <w:spacing w:after="0"/>
        <w:jc w:val="both"/>
        <w:rPr>
          <w:rFonts w:ascii="Times New Roman" w:hAnsi="Times New Roman" w:cs="Times New Roman"/>
          <w:noProof/>
        </w:rPr>
      </w:pPr>
    </w:p>
    <w:p w:rsidR="00060E60" w:rsidRDefault="00C4001B">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интензивна персонализирана помощ при търсене на работа и предоставяне на съдействие според конкретния случай;</w:t>
      </w:r>
    </w:p>
    <w:p w:rsidR="00060E60" w:rsidRDefault="00C4001B">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 xml:space="preserve">различни програми за </w:t>
      </w:r>
      <w:r>
        <w:rPr>
          <w:rFonts w:ascii="Times New Roman" w:hAnsi="Times New Roman"/>
          <w:noProof/>
          <w:color w:val="000000" w:themeColor="text1"/>
        </w:rPr>
        <w:t>професионално обучение, програми за висше образование, езиково обучение, мерки за повишаване на квалификацията и за преквалификация;</w:t>
      </w:r>
    </w:p>
    <w:p w:rsidR="00060E60" w:rsidRDefault="00C4001B">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различни временни финансови стимули/помощи за срока на активните мерки на пазара на труда;</w:t>
      </w:r>
    </w:p>
    <w:p w:rsidR="00060E60" w:rsidRDefault="00C4001B">
      <w:pPr>
        <w:numPr>
          <w:ilvl w:val="0"/>
          <w:numId w:val="5"/>
        </w:numPr>
        <w:autoSpaceDE w:val="0"/>
        <w:autoSpaceDN w:val="0"/>
        <w:contextualSpacing/>
        <w:jc w:val="both"/>
        <w:rPr>
          <w:rFonts w:ascii="Times New Roman" w:hAnsi="Times New Roman"/>
          <w:noProof/>
        </w:rPr>
      </w:pPr>
      <w:r>
        <w:rPr>
          <w:rFonts w:ascii="Times New Roman" w:hAnsi="Times New Roman"/>
          <w:noProof/>
        </w:rPr>
        <w:t>мерки за подкрепа до действителн</w:t>
      </w:r>
      <w:r>
        <w:rPr>
          <w:rFonts w:ascii="Times New Roman" w:hAnsi="Times New Roman"/>
          <w:noProof/>
        </w:rPr>
        <w:t>ото завръщане на работниците на работа;</w:t>
      </w:r>
    </w:p>
    <w:p w:rsidR="00060E60" w:rsidRDefault="00C4001B">
      <w:pPr>
        <w:numPr>
          <w:ilvl w:val="0"/>
          <w:numId w:val="5"/>
        </w:numPr>
        <w:autoSpaceDE w:val="0"/>
        <w:autoSpaceDN w:val="0"/>
        <w:contextualSpacing/>
        <w:jc w:val="both"/>
        <w:rPr>
          <w:rFonts w:ascii="Times New Roman" w:hAnsi="Times New Roman"/>
          <w:noProof/>
        </w:rPr>
      </w:pPr>
      <w:r>
        <w:rPr>
          <w:rFonts w:ascii="Times New Roman" w:hAnsi="Times New Roman"/>
          <w:noProof/>
        </w:rPr>
        <w:t>напътствия през първоначалния период на новото работно място;</w:t>
      </w:r>
    </w:p>
    <w:p w:rsidR="00060E60" w:rsidRDefault="00C4001B">
      <w:pPr>
        <w:numPr>
          <w:ilvl w:val="0"/>
          <w:numId w:val="5"/>
        </w:numPr>
        <w:autoSpaceDE w:val="0"/>
        <w:autoSpaceDN w:val="0"/>
        <w:contextualSpacing/>
        <w:jc w:val="both"/>
        <w:rPr>
          <w:rFonts w:ascii="Times New Roman" w:hAnsi="Times New Roman"/>
          <w:noProof/>
        </w:rPr>
      </w:pPr>
      <w:r>
        <w:rPr>
          <w:rFonts w:ascii="Times New Roman" w:hAnsi="Times New Roman"/>
          <w:noProof/>
        </w:rPr>
        <w:t>други видове дейности, например насърчаване на предприемачеството/създаването на собствен бизнес и</w:t>
      </w:r>
    </w:p>
    <w:p w:rsidR="00060E60" w:rsidRDefault="00C4001B">
      <w:pPr>
        <w:numPr>
          <w:ilvl w:val="0"/>
          <w:numId w:val="5"/>
        </w:numPr>
        <w:contextualSpacing/>
        <w:jc w:val="both"/>
        <w:rPr>
          <w:rFonts w:ascii="Calibri" w:hAnsi="Calibri" w:cs="Calibri"/>
          <w:noProof/>
        </w:rPr>
      </w:pPr>
      <w:r>
        <w:rPr>
          <w:rFonts w:ascii="Times New Roman" w:hAnsi="Times New Roman"/>
          <w:noProof/>
        </w:rPr>
        <w:t>еднократни стимули за заетост/наемане на работа.</w:t>
      </w:r>
    </w:p>
    <w:p w:rsidR="00060E60" w:rsidRDefault="00060E60">
      <w:pPr>
        <w:ind w:left="720"/>
        <w:contextualSpacing/>
        <w:jc w:val="both"/>
        <w:rPr>
          <w:rFonts w:ascii="Calibri" w:hAnsi="Calibri" w:cs="Calibri"/>
          <w:noProof/>
        </w:rPr>
      </w:pPr>
    </w:p>
    <w:p w:rsidR="00060E60" w:rsidRDefault="00C4001B">
      <w:pPr>
        <w:jc w:val="both"/>
        <w:rPr>
          <w:rFonts w:ascii="Times New Roman" w:hAnsi="Times New Roman" w:cs="Times New Roman"/>
          <w:noProof/>
        </w:rPr>
      </w:pPr>
      <w:r>
        <w:rPr>
          <w:rFonts w:ascii="Times New Roman" w:hAnsi="Times New Roman"/>
          <w:noProof/>
        </w:rPr>
        <w:t>При о</w:t>
      </w:r>
      <w:r>
        <w:rPr>
          <w:rFonts w:ascii="Times New Roman" w:hAnsi="Times New Roman"/>
          <w:noProof/>
        </w:rPr>
        <w:t>пределянето на своите пакети от мерки за помощ държавите членки са вземали предвид подготовката, опита и образователното равнище на отделните бенефициери, възможностите им за мобилност и съществуващите или потенциалните възможности за трудова заетост в съо</w:t>
      </w:r>
      <w:r>
        <w:rPr>
          <w:rFonts w:ascii="Times New Roman" w:hAnsi="Times New Roman"/>
          <w:noProof/>
        </w:rPr>
        <w:t>тветните региони.</w:t>
      </w:r>
    </w:p>
    <w:p w:rsidR="00060E60" w:rsidRDefault="00C4001B">
      <w:pPr>
        <w:pStyle w:val="Heading3"/>
        <w:rPr>
          <w:noProof/>
          <w:spacing w:val="-6"/>
        </w:rPr>
      </w:pPr>
      <w:bookmarkStart w:id="26" w:name="_Toc494803816"/>
      <w:bookmarkStart w:id="27" w:name="_Toc496534040"/>
      <w:r>
        <w:rPr>
          <w:noProof/>
          <w:spacing w:val="-6"/>
        </w:rPr>
        <w:t>3.2.2. Допълняемост с действия, финансирани от Европейския социален фонд (ЕСФ)</w:t>
      </w:r>
      <w:bookmarkEnd w:id="26"/>
      <w:bookmarkEnd w:id="27"/>
    </w:p>
    <w:p w:rsidR="00060E60" w:rsidRDefault="00C4001B">
      <w:pPr>
        <w:jc w:val="both"/>
        <w:rPr>
          <w:rFonts w:ascii="Times New Roman" w:hAnsi="Times New Roman" w:cs="Times New Roman"/>
          <w:noProof/>
          <w:spacing w:val="-4"/>
        </w:rPr>
      </w:pPr>
      <w:r>
        <w:rPr>
          <w:rFonts w:ascii="Times New Roman" w:hAnsi="Times New Roman"/>
          <w:noProof/>
          <w:spacing w:val="-4"/>
        </w:rPr>
        <w:t>ЕФПГ е замислен с цел да подобрява пригодността за заетост и да осигурява бързо повторно интегриране на бенефициерите от целевата група посредством активни мер</w:t>
      </w:r>
      <w:r>
        <w:rPr>
          <w:rFonts w:ascii="Times New Roman" w:hAnsi="Times New Roman"/>
          <w:noProof/>
          <w:spacing w:val="-4"/>
        </w:rPr>
        <w:t>ки на пазара на труда, като по този начин допълва ЕСФ, който е основният инструмент на ЕС за насърчаване на заетостта. Като цяло в основата на допълняемостта на двата фонда стои тяхната възможност да третират тези въпроси от две различни времеви перспектив</w:t>
      </w:r>
      <w:r>
        <w:rPr>
          <w:rFonts w:ascii="Times New Roman" w:hAnsi="Times New Roman"/>
          <w:noProof/>
          <w:spacing w:val="-4"/>
        </w:rPr>
        <w:t>и: ЕФПГ обикновено предоставя съобразена с нуждите на съкратените работници краткосрочна помощ в отговор на конкретно масово съкращение, докато ЕСФ действа в подкрепа на стратегически дългосрочни цели (напр. увеличаване на човешкия капитал, управление на п</w:t>
      </w:r>
      <w:r>
        <w:rPr>
          <w:rFonts w:ascii="Times New Roman" w:hAnsi="Times New Roman"/>
          <w:noProof/>
          <w:spacing w:val="-4"/>
        </w:rPr>
        <w:t>ромените) чрез многогодишни програми, чиито ресурси обикновено не могат да бъдат разпределяни за справяне с кризисни ситуации, предизвикани от масови съкращения. Мерките по ЕФПГ и ЕСФ понякога се използват, така че да се допълват взаимно и по този начин да</w:t>
      </w:r>
      <w:r>
        <w:rPr>
          <w:rFonts w:ascii="Times New Roman" w:hAnsi="Times New Roman"/>
          <w:noProof/>
          <w:spacing w:val="-4"/>
        </w:rPr>
        <w:t xml:space="preserve"> се намират решения както в краткосрочен, така и в по-дългосрочен план. Решаващият критерий е потенциалът на наличните инструменти да подпомагат бенефициерите от целевата група, а задача на държавите членки е да подберат — и планират — инструментите и дейс</w:t>
      </w:r>
      <w:r>
        <w:rPr>
          <w:rFonts w:ascii="Times New Roman" w:hAnsi="Times New Roman"/>
          <w:noProof/>
          <w:spacing w:val="-4"/>
        </w:rPr>
        <w:t xml:space="preserve">твията, които са най-подходящи за постигане на набелязаните цели. </w:t>
      </w:r>
    </w:p>
    <w:p w:rsidR="00060E60" w:rsidRDefault="00C4001B">
      <w:pPr>
        <w:jc w:val="both"/>
        <w:rPr>
          <w:rFonts w:ascii="Times New Roman" w:hAnsi="Times New Roman"/>
          <w:noProof/>
        </w:rPr>
      </w:pPr>
      <w:r>
        <w:rPr>
          <w:rFonts w:ascii="Times New Roman" w:hAnsi="Times New Roman"/>
          <w:noProof/>
        </w:rPr>
        <w:t xml:space="preserve">ЕФПГ предоставя възможност да се осигурят тясно персонализирани мерки, съобразени с нуждите на отделните съкратени работници, докато подкрепата от ЕСФ обикновено е по-обща и е насочена към </w:t>
      </w:r>
      <w:r>
        <w:rPr>
          <w:rFonts w:ascii="Times New Roman" w:hAnsi="Times New Roman"/>
          <w:noProof/>
        </w:rPr>
        <w:t>населението като цяло (както работещите, така безработните). Освен това ЕСФ има по-голяма насоченост както към предлагането, така и към търсенето на пазара на труда (умения, потребности и стремежи на бенефициерите) по интегриран начин, докато по традиция н</w:t>
      </w:r>
      <w:r>
        <w:rPr>
          <w:rFonts w:ascii="Times New Roman" w:hAnsi="Times New Roman"/>
          <w:noProof/>
        </w:rPr>
        <w:t xml:space="preserve">а ЕФПГ е насочен в по-голяма степен към предлагането. </w:t>
      </w:r>
    </w:p>
    <w:p w:rsidR="00060E60" w:rsidRDefault="00C4001B">
      <w:pPr>
        <w:jc w:val="both"/>
        <w:rPr>
          <w:rFonts w:ascii="Times New Roman" w:hAnsi="Times New Roman" w:cs="Times New Roman"/>
          <w:noProof/>
          <w:spacing w:val="-4"/>
        </w:rPr>
      </w:pPr>
      <w:r>
        <w:rPr>
          <w:rFonts w:ascii="Times New Roman" w:hAnsi="Times New Roman"/>
          <w:noProof/>
          <w:spacing w:val="-4"/>
        </w:rPr>
        <w:t>Съдържанието на подлежащия на съфинансиране от ЕФПГ „съгласуван пакет персонализирани услуги“, който за всеки конкретен случай включва специфични персонализирани услуги и съобразена с потребностите пом</w:t>
      </w:r>
      <w:r>
        <w:rPr>
          <w:rFonts w:ascii="Times New Roman" w:hAnsi="Times New Roman"/>
          <w:noProof/>
          <w:spacing w:val="-4"/>
        </w:rPr>
        <w:t xml:space="preserve">ощ, следва да бъде балансирано с другите действия и да ги допълва. Съфинансираните от ЕФПГ мерки могат значително да надхвърлят стандартните обучения и дейности. Практиката показва, че ЕФПГ дава възможност на държавите членки да предложат на бенефициерите </w:t>
      </w:r>
      <w:r>
        <w:rPr>
          <w:rFonts w:ascii="Times New Roman" w:hAnsi="Times New Roman"/>
          <w:noProof/>
          <w:spacing w:val="-4"/>
        </w:rPr>
        <w:t>от целевата група много задълбочена и адаптирана към техните нужди помощ, което не би било възможно без участието на ЕФПГ, включително мерки, до които работниците в общия случай не биха имали достъп (напр. придобиване на средно или висше образование). ЕФПГ</w:t>
      </w:r>
      <w:r>
        <w:rPr>
          <w:rFonts w:ascii="Times New Roman" w:hAnsi="Times New Roman"/>
          <w:noProof/>
          <w:spacing w:val="-4"/>
        </w:rPr>
        <w:t xml:space="preserve"> позволява на държавите членки да обърнат специално внимание на лицата в уязвимо положение, например тези с ниска квалификация или от мигрантски произход, и да предоставят подкрепа при по-добро съотношение между консултантски персонал и бенефициери и/или з</w:t>
      </w:r>
      <w:r>
        <w:rPr>
          <w:rFonts w:ascii="Times New Roman" w:hAnsi="Times New Roman"/>
          <w:noProof/>
          <w:spacing w:val="-4"/>
        </w:rPr>
        <w:t>а по-дълъг период от време, отколкото би било възможно без участието на фонда. Всички тези мерки увеличават шансовете на бенефициерите да подобрят своето положение. Чрез дерогация до края на 2017 г. Регламент (ЕС) № 1309/2013 за ЕФПГ позволява на държавите</w:t>
      </w:r>
      <w:r>
        <w:rPr>
          <w:rFonts w:ascii="Times New Roman" w:hAnsi="Times New Roman"/>
          <w:noProof/>
          <w:spacing w:val="-4"/>
        </w:rPr>
        <w:t xml:space="preserve"> членки да включат в обхвата на подкрепата неактивните, неангажирани с образование или обучение (ННОО) млади хора в региони с висока младежка безработица. Целта е да се подпомогне прилагането на схемата „Гаранция за младежта“, която беше одобрена от Съвета</w:t>
      </w:r>
      <w:r>
        <w:rPr>
          <w:rFonts w:ascii="Times New Roman" w:hAnsi="Times New Roman"/>
          <w:noProof/>
          <w:spacing w:val="-4"/>
        </w:rPr>
        <w:t xml:space="preserve"> през април 2013 г.</w:t>
      </w:r>
      <w:r>
        <w:rPr>
          <w:rFonts w:ascii="Times New Roman" w:hAnsi="Times New Roman"/>
          <w:noProof/>
          <w:spacing w:val="-4"/>
          <w:vertAlign w:val="superscript"/>
        </w:rPr>
        <w:footnoteReference w:id="13"/>
      </w:r>
      <w:r>
        <w:rPr>
          <w:rFonts w:ascii="Times New Roman" w:hAnsi="Times New Roman"/>
          <w:noProof/>
          <w:spacing w:val="-4"/>
        </w:rPr>
        <w:t xml:space="preserve"> </w:t>
      </w:r>
    </w:p>
    <w:p w:rsidR="00060E60" w:rsidRDefault="00C4001B">
      <w:pPr>
        <w:jc w:val="both"/>
        <w:rPr>
          <w:rFonts w:ascii="Times New Roman" w:hAnsi="Times New Roman"/>
          <w:noProof/>
          <w:spacing w:val="-2"/>
        </w:rPr>
      </w:pPr>
      <w:r>
        <w:rPr>
          <w:rFonts w:ascii="Times New Roman" w:hAnsi="Times New Roman"/>
          <w:noProof/>
          <w:spacing w:val="-2"/>
        </w:rPr>
        <w:t>Както се изисква в член 9, параграф 5 от Регламент (ЕС) № 1309/2013, всички държави членки трябва да въведат необходимите механизми, за да се избегне рискът от двойно финансиране от финансовите инструменти на ЕС. В повечето държави чл</w:t>
      </w:r>
      <w:r>
        <w:rPr>
          <w:rFonts w:ascii="Times New Roman" w:hAnsi="Times New Roman"/>
          <w:noProof/>
          <w:spacing w:val="-2"/>
        </w:rPr>
        <w:t>енки управляващият орган на ЕСФ отговаря и за изпълнението на мерките за подпомагане по линия на ЕФПГ, което предоставя възможност за избягване на ефектите на изместване. Също така това позволява да се постигне допълняемост между различните намеси. Държави</w:t>
      </w:r>
      <w:r>
        <w:rPr>
          <w:rFonts w:ascii="Times New Roman" w:hAnsi="Times New Roman"/>
          <w:noProof/>
          <w:spacing w:val="-2"/>
        </w:rPr>
        <w:t>те членки имат специалната отговорност да гарантират, че това, което се финансира чрез оперативните програми по ЕСФ, и мерките, включени в случаите по ЕФПГ, не водят до разселване на населението. Нито информацията, предоставена от държавите членки в оконча</w:t>
      </w:r>
      <w:r>
        <w:rPr>
          <w:rFonts w:ascii="Times New Roman" w:hAnsi="Times New Roman"/>
          <w:noProof/>
          <w:spacing w:val="-2"/>
        </w:rPr>
        <w:t>телните доклади (относно полезните взаимодействия в прилагането между различните фондове), нито резултатът от междинната оценка (въз основа на ограничен брой случаи с окончателно прилагане) дават доказателства за наличието на проблем по отношение на взаимн</w:t>
      </w:r>
      <w:r>
        <w:rPr>
          <w:rFonts w:ascii="Times New Roman" w:hAnsi="Times New Roman"/>
          <w:noProof/>
          <w:spacing w:val="-2"/>
        </w:rPr>
        <w:t xml:space="preserve">ото допълване между ЕФПГ и ЕСФ. На равнището на отделните случаи ЕФПГ обикновено се основава на съществуващи национални мерки или на мерки по линия на ЕСФ, като ги допълва или предлага различни допълнителни мерки. </w:t>
      </w:r>
    </w:p>
    <w:p w:rsidR="00060E60" w:rsidRDefault="00C4001B">
      <w:pPr>
        <w:jc w:val="both"/>
        <w:rPr>
          <w:rFonts w:ascii="Times New Roman" w:hAnsi="Times New Roman"/>
          <w:noProof/>
        </w:rPr>
      </w:pPr>
      <w:r>
        <w:rPr>
          <w:rFonts w:ascii="Times New Roman" w:hAnsi="Times New Roman"/>
          <w:noProof/>
        </w:rPr>
        <w:t>В съответствие с принципа на субсидиарнос</w:t>
      </w:r>
      <w:r>
        <w:rPr>
          <w:rFonts w:ascii="Times New Roman" w:hAnsi="Times New Roman"/>
          <w:noProof/>
        </w:rPr>
        <w:t>т наборът от мерки по ЕФПГ, разработени на равнище държави членки, в голяма степен се допълва с основните разпоредби на ЕСФ за подпомагане на завръщането на работа. Решението дали да се кандидатства за финансиране от ЕСФ или от ЕФПГ се взема на равнището н</w:t>
      </w:r>
      <w:r>
        <w:rPr>
          <w:rFonts w:ascii="Times New Roman" w:hAnsi="Times New Roman"/>
          <w:noProof/>
        </w:rPr>
        <w:t>а държавите членки, при условие че оперативната програма на ЕСФ, договорена с Комисията, е съвместима с исканата с тази цел подкрепа от ЕСФ. Държавата членка трябва да управлява взаимното допълване между ЕСФ и ЕФПГ по възможно най-добрия начин с оглед на а</w:t>
      </w:r>
      <w:r>
        <w:rPr>
          <w:rFonts w:ascii="Times New Roman" w:hAnsi="Times New Roman"/>
          <w:noProof/>
        </w:rPr>
        <w:t xml:space="preserve">ктуалните местни условия. </w:t>
      </w:r>
    </w:p>
    <w:p w:rsidR="00060E60" w:rsidRDefault="00C4001B">
      <w:pPr>
        <w:jc w:val="both"/>
        <w:rPr>
          <w:rFonts w:ascii="Times New Roman" w:hAnsi="Times New Roman"/>
          <w:noProof/>
        </w:rPr>
      </w:pPr>
      <w:r>
        <w:rPr>
          <w:rFonts w:ascii="Times New Roman" w:hAnsi="Times New Roman"/>
          <w:noProof/>
        </w:rPr>
        <w:t xml:space="preserve">Въпреки това не изглежда да има доказателства за наличие на интегриран подход при използване на средствата от ЕС на равнището на отделните случаи. Причината за това изглежда е дългосрочното планиране на европейските структурни и </w:t>
      </w:r>
      <w:r>
        <w:rPr>
          <w:rFonts w:ascii="Times New Roman" w:hAnsi="Times New Roman"/>
          <w:noProof/>
        </w:rPr>
        <w:t>инвестиционни фондове (ЕСИ фондове). Фактът, че ЕФПГ функционира извън многогодишната рамка, неизбежно оказва въздействие върху сроковете за изпълнение на процедурите и в някои случаи действията по ЕСФ, които вече са планирани, първо се прилагат за случаит</w:t>
      </w:r>
      <w:r>
        <w:rPr>
          <w:rFonts w:ascii="Times New Roman" w:hAnsi="Times New Roman"/>
          <w:noProof/>
        </w:rPr>
        <w:t xml:space="preserve">е на преструктуриране. </w:t>
      </w:r>
    </w:p>
    <w:p w:rsidR="00060E60" w:rsidRDefault="00C4001B">
      <w:pPr>
        <w:jc w:val="both"/>
        <w:rPr>
          <w:rFonts w:ascii="Times New Roman" w:hAnsi="Times New Roman"/>
          <w:noProof/>
          <w:spacing w:val="-4"/>
        </w:rPr>
      </w:pPr>
      <w:r>
        <w:rPr>
          <w:rFonts w:ascii="Times New Roman" w:hAnsi="Times New Roman"/>
          <w:noProof/>
          <w:spacing w:val="-4"/>
        </w:rPr>
        <w:t>Заключенията от средносрочната оценка показват, че ЕФПГ е предоставил значителна европейска добавена стойност чрез способността си да подпомага съкратените работници чрез персонализиран подход, с гъвкави разпоредби чрез пълен личностен подход при консултац</w:t>
      </w:r>
      <w:r>
        <w:rPr>
          <w:rFonts w:ascii="Times New Roman" w:hAnsi="Times New Roman"/>
          <w:noProof/>
          <w:spacing w:val="-4"/>
        </w:rPr>
        <w:t xml:space="preserve">иите. </w:t>
      </w:r>
    </w:p>
    <w:p w:rsidR="00060E60" w:rsidRDefault="00060E60">
      <w:pPr>
        <w:jc w:val="both"/>
        <w:rPr>
          <w:rFonts w:ascii="Times New Roman" w:hAnsi="Times New Roman" w:cs="Times New Roman"/>
          <w:noProof/>
        </w:rPr>
      </w:pPr>
    </w:p>
    <w:p w:rsidR="00060E60" w:rsidRDefault="00C4001B">
      <w:pPr>
        <w:pStyle w:val="Heading2"/>
        <w:rPr>
          <w:noProof/>
        </w:rPr>
      </w:pPr>
      <w:bookmarkStart w:id="28" w:name="_Toc483224332"/>
      <w:bookmarkStart w:id="29" w:name="_Toc494803817"/>
      <w:bookmarkStart w:id="30" w:name="_Toc496534041"/>
      <w:r>
        <w:rPr>
          <w:noProof/>
        </w:rPr>
        <w:t>3.3. Отхвърлени или оттеглени заявления</w:t>
      </w:r>
      <w:bookmarkEnd w:id="28"/>
      <w:bookmarkEnd w:id="29"/>
      <w:bookmarkEnd w:id="30"/>
    </w:p>
    <w:p w:rsidR="00060E60" w:rsidRDefault="00C4001B">
      <w:pPr>
        <w:jc w:val="both"/>
        <w:rPr>
          <w:rFonts w:ascii="Times New Roman" w:hAnsi="Times New Roman" w:cs="Times New Roman"/>
          <w:noProof/>
        </w:rPr>
      </w:pPr>
      <w:r>
        <w:rPr>
          <w:rFonts w:ascii="Times New Roman" w:hAnsi="Times New Roman"/>
          <w:noProof/>
          <w:color w:val="000000" w:themeColor="text1"/>
        </w:rPr>
        <w:t xml:space="preserve">Нито едно от получените през 2015 и 2016 г. 20 заявления не беше отхвърлено от Комисията, като три от тях бяха оттеглени от държавите членки. </w:t>
      </w:r>
      <w:r>
        <w:rPr>
          <w:rFonts w:ascii="Times New Roman" w:hAnsi="Times New Roman"/>
          <w:noProof/>
        </w:rPr>
        <w:t>Заявление EGF/2015/008 EL/Supermarket Larissa беше оттеглено по те</w:t>
      </w:r>
      <w:r>
        <w:rPr>
          <w:rFonts w:ascii="Times New Roman" w:hAnsi="Times New Roman"/>
          <w:noProof/>
        </w:rPr>
        <w:t>хнически причини и подадено отново през ноември 2015 г. в преработен вид (EGF/2015/011 EL/Supermarket Larissa). Заявления EGF/2016/006 FI/Helsinki-Uusimaa Education и EGF/2016/007 NL/Gelderland-Overijssel Social Work бяха оттеглени поради липсата на връзка</w:t>
      </w:r>
      <w:r>
        <w:rPr>
          <w:rFonts w:ascii="Times New Roman" w:hAnsi="Times New Roman"/>
          <w:noProof/>
        </w:rPr>
        <w:t xml:space="preserve"> между уволненията и глобализацията или световната финансова и икономическа криза. Те не бяха подадени отново. </w:t>
      </w:r>
    </w:p>
    <w:p w:rsidR="00060E60" w:rsidRDefault="00060E60">
      <w:pPr>
        <w:jc w:val="both"/>
        <w:rPr>
          <w:rFonts w:ascii="Times New Roman" w:hAnsi="Times New Roman" w:cs="Times New Roman"/>
          <w:noProof/>
          <w:color w:val="000000" w:themeColor="text1"/>
        </w:rPr>
      </w:pPr>
    </w:p>
    <w:p w:rsidR="00060E60" w:rsidRDefault="00C4001B">
      <w:pPr>
        <w:spacing w:after="120"/>
        <w:jc w:val="center"/>
        <w:rPr>
          <w:rFonts w:ascii="Times New Roman" w:hAnsi="Times New Roman" w:cs="Times New Roman"/>
          <w:b/>
          <w:i/>
          <w:noProof/>
          <w:sz w:val="28"/>
          <w:szCs w:val="28"/>
        </w:rPr>
      </w:pPr>
      <w:r>
        <w:rPr>
          <w:rFonts w:ascii="Times New Roman" w:hAnsi="Times New Roman"/>
          <w:b/>
          <w:i/>
          <w:noProof/>
          <w:sz w:val="28"/>
        </w:rPr>
        <w:t>Таблица 2: Оттеглени заявления през 2015 и 2016 г.</w:t>
      </w:r>
    </w:p>
    <w:p w:rsidR="00060E60" w:rsidRDefault="00060E60">
      <w:pPr>
        <w:jc w:val="both"/>
        <w:rPr>
          <w:rFonts w:ascii="Times New Roman" w:hAnsi="Times New Roman" w:cs="Times New Roman"/>
          <w:noProof/>
        </w:rPr>
      </w:pPr>
    </w:p>
    <w:p w:rsidR="00060E60" w:rsidRDefault="00C4001B">
      <w:pPr>
        <w:jc w:val="both"/>
        <w:rPr>
          <w:rFonts w:ascii="Times New Roman" w:hAnsi="Times New Roman" w:cs="Times New Roman"/>
          <w:noProof/>
        </w:rPr>
        <w:sectPr w:rsidR="00060E60">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pPr>
      <w:r>
        <w:rPr>
          <w:noProof/>
          <w:lang w:val="en-GB" w:eastAsia="en-GB" w:bidi="ar-SA"/>
        </w:rPr>
        <w:drawing>
          <wp:inline distT="0" distB="0" distL="0" distR="0">
            <wp:extent cx="6345228" cy="5912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6732" cy="591381"/>
                    </a:xfrm>
                    <a:prstGeom prst="rect">
                      <a:avLst/>
                    </a:prstGeom>
                    <a:noFill/>
                    <a:ln>
                      <a:noFill/>
                    </a:ln>
                  </pic:spPr>
                </pic:pic>
              </a:graphicData>
            </a:graphic>
          </wp:inline>
        </w:drawing>
      </w:r>
    </w:p>
    <w:p w:rsidR="00060E60" w:rsidRDefault="00C4001B">
      <w:pPr>
        <w:jc w:val="center"/>
        <w:rPr>
          <w:rFonts w:ascii="Times New Roman" w:hAnsi="Times New Roman" w:cs="Times New Roman"/>
          <w:b/>
          <w:i/>
          <w:noProof/>
          <w:sz w:val="28"/>
          <w:szCs w:val="28"/>
        </w:rPr>
      </w:pPr>
      <w:r>
        <w:rPr>
          <w:rFonts w:ascii="Times New Roman" w:hAnsi="Times New Roman"/>
          <w:b/>
          <w:i/>
          <w:noProof/>
          <w:sz w:val="28"/>
        </w:rPr>
        <w:t xml:space="preserve">Таблица 3: Подробна информация относно </w:t>
      </w:r>
      <w:r>
        <w:rPr>
          <w:rFonts w:ascii="Times New Roman" w:hAnsi="Times New Roman"/>
          <w:b/>
          <w:i/>
          <w:noProof/>
          <w:sz w:val="28"/>
        </w:rPr>
        <w:t>средства, предоставени под формата на финансово участие през 2015 и 2016 г.</w:t>
      </w:r>
    </w:p>
    <w:p w:rsidR="00060E60" w:rsidRDefault="00C4001B">
      <w:pPr>
        <w:jc w:val="center"/>
        <w:rPr>
          <w:rFonts w:ascii="Times New Roman" w:hAnsi="Times New Roman" w:cs="Times New Roman"/>
          <w:b/>
          <w:i/>
          <w:noProof/>
          <w:sz w:val="28"/>
          <w:szCs w:val="28"/>
        </w:rPr>
      </w:pPr>
      <w:r>
        <w:rPr>
          <w:rFonts w:ascii="Times New Roman" w:hAnsi="Times New Roman"/>
          <w:b/>
          <w:i/>
          <w:noProof/>
          <w:sz w:val="28"/>
        </w:rPr>
        <w:t>(Дата на подписване от бюджетния орган през 2015 и 2016 г.)</w:t>
      </w:r>
      <w:r>
        <w:rPr>
          <w:noProof/>
          <w:lang w:val="en-GB" w:eastAsia="en-GB" w:bidi="ar-SA"/>
        </w:rPr>
        <w:drawing>
          <wp:inline distT="0" distB="0" distL="0" distR="0">
            <wp:extent cx="8892540" cy="4243812"/>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4243812"/>
                    </a:xfrm>
                    <a:prstGeom prst="rect">
                      <a:avLst/>
                    </a:prstGeom>
                    <a:noFill/>
                    <a:ln>
                      <a:noFill/>
                    </a:ln>
                  </pic:spPr>
                </pic:pic>
              </a:graphicData>
            </a:graphic>
          </wp:inline>
        </w:drawing>
      </w:r>
      <w:r>
        <w:rPr>
          <w:noProof/>
        </w:rPr>
        <w:br w:type="page"/>
      </w:r>
    </w:p>
    <w:p w:rsidR="00060E60" w:rsidRDefault="00C4001B">
      <w:pPr>
        <w:jc w:val="center"/>
        <w:rPr>
          <w:rFonts w:ascii="Times New Roman" w:hAnsi="Times New Roman" w:cs="Times New Roman"/>
          <w:b/>
          <w:i/>
          <w:noProof/>
          <w:sz w:val="28"/>
          <w:szCs w:val="28"/>
        </w:rPr>
      </w:pPr>
      <w:r>
        <w:rPr>
          <w:rFonts w:ascii="Times New Roman" w:hAnsi="Times New Roman"/>
          <w:b/>
          <w:i/>
          <w:noProof/>
          <w:sz w:val="28"/>
        </w:rPr>
        <w:t>Таблица 4: Средства от ЕФПГ, предоставени под формата на финансово участие през 2015 и 2016 г.:</w:t>
      </w:r>
    </w:p>
    <w:p w:rsidR="00060E60" w:rsidRDefault="00C4001B">
      <w:pPr>
        <w:jc w:val="center"/>
        <w:rPr>
          <w:rFonts w:ascii="Times New Roman" w:hAnsi="Times New Roman" w:cs="Times New Roman"/>
          <w:b/>
          <w:i/>
          <w:noProof/>
          <w:sz w:val="28"/>
          <w:szCs w:val="28"/>
        </w:rPr>
      </w:pPr>
      <w:r>
        <w:rPr>
          <w:rFonts w:ascii="Times New Roman" w:hAnsi="Times New Roman"/>
          <w:b/>
          <w:i/>
          <w:noProof/>
          <w:sz w:val="28"/>
        </w:rPr>
        <w:t>Профил на работницит</w:t>
      </w:r>
      <w:r>
        <w:rPr>
          <w:rFonts w:ascii="Times New Roman" w:hAnsi="Times New Roman"/>
          <w:b/>
          <w:i/>
          <w:noProof/>
          <w:sz w:val="28"/>
        </w:rPr>
        <w:t>е от целевата група (без ННОО млади хора)</w:t>
      </w:r>
    </w:p>
    <w:p w:rsidR="00060E60" w:rsidRDefault="00060E60">
      <w:pPr>
        <w:jc w:val="both"/>
        <w:rPr>
          <w:rFonts w:ascii="Times New Roman" w:hAnsi="Times New Roman"/>
          <w:noProof/>
        </w:rPr>
      </w:pPr>
    </w:p>
    <w:p w:rsidR="00060E60" w:rsidRDefault="00C4001B">
      <w:pPr>
        <w:jc w:val="both"/>
        <w:rPr>
          <w:rFonts w:ascii="Times New Roman" w:eastAsiaTheme="majorEastAsia" w:hAnsi="Times New Roman" w:cs="Times New Roman"/>
          <w:b/>
          <w:bCs/>
          <w:noProof/>
          <w:color w:val="000000" w:themeColor="text1"/>
          <w:sz w:val="24"/>
        </w:rPr>
        <w:sectPr w:rsidR="00060E60">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417" w:bottom="1417" w:left="1417" w:header="708" w:footer="708" w:gutter="0"/>
          <w:cols w:space="708"/>
          <w:docGrid w:linePitch="360"/>
        </w:sectPr>
      </w:pPr>
      <w:r>
        <w:rPr>
          <w:noProof/>
          <w:lang w:val="en-GB" w:eastAsia="en-GB" w:bidi="ar-SA"/>
        </w:rPr>
        <w:drawing>
          <wp:inline distT="0" distB="0" distL="0" distR="0">
            <wp:extent cx="8892540" cy="413787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2540" cy="4137873"/>
                    </a:xfrm>
                    <a:prstGeom prst="rect">
                      <a:avLst/>
                    </a:prstGeom>
                    <a:noFill/>
                    <a:ln>
                      <a:noFill/>
                    </a:ln>
                  </pic:spPr>
                </pic:pic>
              </a:graphicData>
            </a:graphic>
          </wp:inline>
        </w:drawing>
      </w:r>
    </w:p>
    <w:p w:rsidR="00060E60" w:rsidRDefault="00C4001B">
      <w:pPr>
        <w:pStyle w:val="Heading2"/>
        <w:rPr>
          <w:noProof/>
        </w:rPr>
      </w:pPr>
      <w:bookmarkStart w:id="31" w:name="_Toc494803818"/>
      <w:bookmarkStart w:id="32" w:name="_Toc496534042"/>
      <w:r>
        <w:rPr>
          <w:noProof/>
        </w:rPr>
        <w:t>3.4. Резултати, постигнати от ЕФПГ</w:t>
      </w:r>
      <w:bookmarkEnd w:id="31"/>
      <w:bookmarkEnd w:id="32"/>
    </w:p>
    <w:p w:rsidR="00060E60" w:rsidRDefault="00C4001B">
      <w:pPr>
        <w:jc w:val="both"/>
        <w:rPr>
          <w:rFonts w:ascii="Times New Roman" w:hAnsi="Times New Roman" w:cs="Times New Roman"/>
          <w:b/>
          <w:noProof/>
          <w:color w:val="000000" w:themeColor="text1"/>
          <w:spacing w:val="-2"/>
        </w:rPr>
      </w:pPr>
      <w:r>
        <w:rPr>
          <w:rFonts w:ascii="Times New Roman" w:hAnsi="Times New Roman"/>
          <w:noProof/>
          <w:spacing w:val="-2"/>
        </w:rPr>
        <w:t xml:space="preserve">Основните източници на информация за постигнатите от ЕФПГ резултати са представените от държавите членки окончателни </w:t>
      </w:r>
      <w:r>
        <w:rPr>
          <w:rFonts w:ascii="Times New Roman" w:hAnsi="Times New Roman"/>
          <w:noProof/>
          <w:spacing w:val="-2"/>
        </w:rPr>
        <w:t>доклади.</w:t>
      </w:r>
      <w:r>
        <w:rPr>
          <w:rFonts w:ascii="Times New Roman" w:hAnsi="Times New Roman"/>
          <w:noProof/>
          <w:color w:val="000000" w:themeColor="text1"/>
          <w:spacing w:val="-2"/>
        </w:rPr>
        <w:t xml:space="preserve"> </w:t>
      </w:r>
      <w:r>
        <w:rPr>
          <w:rFonts w:ascii="Times New Roman" w:hAnsi="Times New Roman"/>
          <w:noProof/>
          <w:spacing w:val="-2"/>
        </w:rPr>
        <w:t>Те се допълват от информацията, която държавите членки споделят при преките си контакти с Комисията, по време на срещи, конференции и одити.</w:t>
      </w:r>
      <w:r>
        <w:rPr>
          <w:rFonts w:ascii="Times New Roman" w:hAnsi="Times New Roman"/>
          <w:noProof/>
          <w:color w:val="000000" w:themeColor="text1"/>
          <w:spacing w:val="-2"/>
        </w:rPr>
        <w:t xml:space="preserve"> </w:t>
      </w:r>
    </w:p>
    <w:p w:rsidR="00060E60" w:rsidRDefault="00C4001B">
      <w:pPr>
        <w:jc w:val="both"/>
        <w:rPr>
          <w:rFonts w:ascii="Times New Roman" w:hAnsi="Times New Roman" w:cs="Times New Roman"/>
          <w:b/>
          <w:noProof/>
          <w:color w:val="000000" w:themeColor="text1"/>
          <w:spacing w:val="-6"/>
        </w:rPr>
      </w:pPr>
      <w:r>
        <w:rPr>
          <w:rFonts w:ascii="Times New Roman" w:hAnsi="Times New Roman"/>
          <w:noProof/>
          <w:color w:val="000000" w:themeColor="text1"/>
          <w:spacing w:val="-6"/>
        </w:rPr>
        <w:t>През 2015 и 2016 г. Комисията получи 26 окончателни доклада</w:t>
      </w:r>
      <w:r>
        <w:rPr>
          <w:rFonts w:ascii="Times New Roman" w:hAnsi="Times New Roman"/>
          <w:noProof/>
          <w:color w:val="000000" w:themeColor="text1"/>
          <w:spacing w:val="-6"/>
          <w:vertAlign w:val="superscript"/>
        </w:rPr>
        <w:footnoteReference w:id="14"/>
      </w:r>
      <w:r>
        <w:rPr>
          <w:rFonts w:ascii="Times New Roman" w:hAnsi="Times New Roman"/>
          <w:noProof/>
          <w:color w:val="000000" w:themeColor="text1"/>
          <w:spacing w:val="-6"/>
        </w:rPr>
        <w:t xml:space="preserve"> за съфинансирани от ЕФПГ случаи на мерки за </w:t>
      </w:r>
      <w:r>
        <w:rPr>
          <w:rFonts w:ascii="Times New Roman" w:hAnsi="Times New Roman"/>
          <w:noProof/>
          <w:color w:val="000000" w:themeColor="text1"/>
          <w:spacing w:val="-6"/>
        </w:rPr>
        <w:t>подпомагане, които са били изпълнени от 12-те държави членки до средата на 2016 г.</w:t>
      </w:r>
      <w:r>
        <w:rPr>
          <w:rFonts w:ascii="Times New Roman" w:hAnsi="Times New Roman"/>
          <w:noProof/>
          <w:color w:val="000000" w:themeColor="text1"/>
          <w:spacing w:val="-6"/>
          <w:vertAlign w:val="superscript"/>
        </w:rPr>
        <w:footnoteReference w:id="15"/>
      </w:r>
      <w:r>
        <w:rPr>
          <w:rFonts w:ascii="Times New Roman" w:hAnsi="Times New Roman"/>
          <w:noProof/>
          <w:color w:val="000000" w:themeColor="text1"/>
          <w:spacing w:val="-6"/>
        </w:rPr>
        <w:t xml:space="preserve"> </w:t>
      </w:r>
    </w:p>
    <w:p w:rsidR="00060E60" w:rsidRDefault="00C4001B">
      <w:pPr>
        <w:jc w:val="both"/>
        <w:rPr>
          <w:rFonts w:ascii="Times New Roman" w:hAnsi="Times New Roman" w:cs="Times New Roman"/>
          <w:noProof/>
        </w:rPr>
      </w:pPr>
      <w:r>
        <w:rPr>
          <w:rFonts w:ascii="Times New Roman" w:hAnsi="Times New Roman"/>
          <w:noProof/>
        </w:rPr>
        <w:t xml:space="preserve">Основните резултати и данни, отчетени от държавите членки през 2015 и 2016 г., са обобщени в настоящия раздел и в таблица 5. </w:t>
      </w:r>
    </w:p>
    <w:p w:rsidR="00060E60" w:rsidRDefault="00C4001B">
      <w:pPr>
        <w:jc w:val="both"/>
        <w:rPr>
          <w:rFonts w:ascii="Times New Roman" w:hAnsi="Times New Roman" w:cs="Times New Roman"/>
          <w:noProof/>
          <w:spacing w:val="-4"/>
        </w:rPr>
      </w:pPr>
      <w:r>
        <w:rPr>
          <w:rFonts w:ascii="Times New Roman" w:hAnsi="Times New Roman"/>
          <w:noProof/>
          <w:spacing w:val="-4"/>
        </w:rPr>
        <w:t>Комисията получи окончателни доклади във връзка с общо 121 случая на финансово участие на ЕФПГ (от 2008 г., когато бяха оповестени резултатите от първите участия на ЕФПГ, до декември 2016 г.), което представлява 82 % от общия брой заявления (147), получени</w:t>
      </w:r>
      <w:r>
        <w:rPr>
          <w:rFonts w:ascii="Times New Roman" w:hAnsi="Times New Roman"/>
          <w:noProof/>
          <w:spacing w:val="-4"/>
        </w:rPr>
        <w:t xml:space="preserve"> до края на 2016 г.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Въз основа на информацията в окончателните доклади на държавите членки Комисията може да направи извода, че ЕФПГ добавя стойност към онова, което държавите членки биха могли да направят самостоятелно, за да помогнат на бенефициерите от</w:t>
      </w:r>
      <w:r>
        <w:rPr>
          <w:rFonts w:ascii="Times New Roman" w:hAnsi="Times New Roman"/>
          <w:noProof/>
          <w:color w:val="000000" w:themeColor="text1"/>
        </w:rPr>
        <w:t xml:space="preserve"> целевата група да намерят нова работа. ЕФПГ дава възможност на държавите членки да предоставят мерки с по-добро качество за по-голям брой бенефициери от целевата група и за по-дълъг период от време, отколкото би било възможно без финансиране по линия на Е</w:t>
      </w:r>
      <w:r>
        <w:rPr>
          <w:rFonts w:ascii="Times New Roman" w:hAnsi="Times New Roman"/>
          <w:noProof/>
          <w:color w:val="000000" w:themeColor="text1"/>
        </w:rPr>
        <w:t xml:space="preserve">ФПГ. </w:t>
      </w:r>
    </w:p>
    <w:p w:rsidR="00060E60" w:rsidRDefault="00C4001B">
      <w:pPr>
        <w:pStyle w:val="Heading3"/>
        <w:rPr>
          <w:noProof/>
          <w:color w:val="auto"/>
        </w:rPr>
      </w:pPr>
      <w:bookmarkStart w:id="33" w:name="_Toc494803819"/>
      <w:bookmarkStart w:id="34" w:name="_Toc496534043"/>
      <w:r>
        <w:rPr>
          <w:noProof/>
        </w:rPr>
        <w:t>3.4.1. Обобщение на отчетените през 2015 и 2016 г. резултати</w:t>
      </w:r>
      <w:bookmarkEnd w:id="33"/>
      <w:bookmarkEnd w:id="34"/>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Двадесет и шестте окончателни доклада, получени през 2015 и 2016 г. и представени от дванадесетте държави членки, показаха, че в края на срока за изпълнение 9 072 работници, или 47 % от общ</w:t>
      </w:r>
      <w:r>
        <w:rPr>
          <w:rFonts w:ascii="Times New Roman" w:hAnsi="Times New Roman"/>
          <w:noProof/>
          <w:color w:val="000000" w:themeColor="text1"/>
        </w:rPr>
        <w:t xml:space="preserve">о 19 434 бенефициери, получили помощ от ЕФПГ, са намерили нови работни места до края на срока за изпълнение на мерките по линия на ЕФПГ (7 601 като наети лица, 1 471 като самостоятелно заети лица). </w:t>
      </w:r>
    </w:p>
    <w:p w:rsidR="00060E60" w:rsidRDefault="00C4001B">
      <w:pPr>
        <w:jc w:val="both"/>
        <w:rPr>
          <w:rFonts w:ascii="Times New Roman" w:hAnsi="Times New Roman" w:cs="Times New Roman"/>
          <w:noProof/>
        </w:rPr>
      </w:pPr>
      <w:r>
        <w:rPr>
          <w:rFonts w:ascii="Times New Roman" w:hAnsi="Times New Roman"/>
          <w:noProof/>
        </w:rPr>
        <w:t>Приблизително 3 % все още са били в процес на учене или о</w:t>
      </w:r>
      <w:r>
        <w:rPr>
          <w:rFonts w:ascii="Times New Roman" w:hAnsi="Times New Roman"/>
          <w:noProof/>
        </w:rPr>
        <w:t xml:space="preserve">бучение, 48 % са били безработни или неангажирани с трудова дейност поради различни причини, а за трудово-правния статус на 2 % от бенефициерите не са намерени данни. </w:t>
      </w:r>
    </w:p>
    <w:p w:rsidR="00060E60" w:rsidRDefault="00C4001B">
      <w:pPr>
        <w:jc w:val="both"/>
        <w:rPr>
          <w:rFonts w:ascii="Times New Roman" w:hAnsi="Times New Roman" w:cs="Times New Roman"/>
          <w:noProof/>
        </w:rPr>
      </w:pPr>
      <w:r>
        <w:rPr>
          <w:rFonts w:ascii="Times New Roman" w:hAnsi="Times New Roman"/>
          <w:noProof/>
        </w:rPr>
        <w:t>Струва си да се подчертае, че работниците, получили помощ по линия на съфинансираните от</w:t>
      </w:r>
      <w:r>
        <w:rPr>
          <w:rFonts w:ascii="Times New Roman" w:hAnsi="Times New Roman"/>
          <w:noProof/>
        </w:rPr>
        <w:t xml:space="preserve"> ЕФПГ мерки, обикновено са сред тези, които изпитват най-големи затруднения на пазара на труда. Резултатите от гледна точка на повторното интегриране на работа са повлияни от значително занижения капацитет на местните и регионалните пазари на труда да прие</w:t>
      </w:r>
      <w:r>
        <w:rPr>
          <w:rFonts w:ascii="Times New Roman" w:hAnsi="Times New Roman"/>
          <w:noProof/>
        </w:rPr>
        <w:t>мат нови работници, което е пряка последица от световната икономическа и финансова криза. Процентът на повторно интегриране, регистриран в края на съответните срокове за изпълнение, дава само моментна снимка на състоянието на заетостта на бенефициерите към</w:t>
      </w:r>
      <w:r>
        <w:rPr>
          <w:rFonts w:ascii="Times New Roman" w:hAnsi="Times New Roman"/>
          <w:noProof/>
        </w:rPr>
        <w:t xml:space="preserve"> момента на събиране на данните. Той не дава информация за вида или качеството на намерената работа, които може да се променят значително в кратък срок. Според предоставената от няколко държави членки информация процентът на повторно интегриране започва да</w:t>
      </w:r>
      <w:r>
        <w:rPr>
          <w:rFonts w:ascii="Times New Roman" w:hAnsi="Times New Roman"/>
          <w:noProof/>
        </w:rPr>
        <w:t xml:space="preserve"> нараства през месеците, които следват края на мерките, като тази тенденция се запазва и в средносрочен план. Голяма част от съфинансираната от ЕФПГ подкрепа може да има допълнителен положителен ефект в дългосрочен план. </w:t>
      </w:r>
    </w:p>
    <w:p w:rsidR="00060E60" w:rsidRDefault="00C4001B">
      <w:pPr>
        <w:pStyle w:val="Heading3"/>
        <w:rPr>
          <w:noProof/>
        </w:rPr>
      </w:pPr>
      <w:bookmarkStart w:id="35" w:name="_Toc494803820"/>
      <w:bookmarkStart w:id="36" w:name="_Toc496534044"/>
      <w:r>
        <w:rPr>
          <w:noProof/>
        </w:rPr>
        <w:t>3.4.2. Качествена оценка на оконча</w:t>
      </w:r>
      <w:r>
        <w:rPr>
          <w:noProof/>
        </w:rPr>
        <w:t>телните доклади, подадени през 2015 и 2016 г.</w:t>
      </w:r>
      <w:bookmarkEnd w:id="35"/>
      <w:bookmarkEnd w:id="36"/>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Пакетите от мерки за помощ, които 12-те държави членки предоставиха на разположение на бенефициерите от целевата група, включват широк кръг от персонализирани мерки за търсене на работа, професионално преориент</w:t>
      </w:r>
      <w:r>
        <w:rPr>
          <w:rFonts w:ascii="Times New Roman" w:hAnsi="Times New Roman"/>
          <w:noProof/>
          <w:color w:val="000000" w:themeColor="text1"/>
        </w:rPr>
        <w:t xml:space="preserve">иране и (пре)квалификация. Най-големи суми бяха изразходвани за три категории мерки: </w:t>
      </w:r>
    </w:p>
    <w:p w:rsidR="00060E60" w:rsidRDefault="00C4001B">
      <w:pPr>
        <w:numPr>
          <w:ilvl w:val="0"/>
          <w:numId w:val="6"/>
        </w:numPr>
        <w:contextualSpacing/>
        <w:jc w:val="both"/>
        <w:rPr>
          <w:rFonts w:ascii="Times New Roman" w:hAnsi="Times New Roman" w:cs="Times New Roman"/>
          <w:noProof/>
          <w:color w:val="000000" w:themeColor="text1"/>
        </w:rPr>
      </w:pPr>
      <w:r>
        <w:rPr>
          <w:rFonts w:ascii="Times New Roman" w:hAnsi="Times New Roman"/>
          <w:noProof/>
          <w:color w:val="000000" w:themeColor="text1"/>
        </w:rPr>
        <w:t>парични помощи за търсене на работа</w:t>
      </w:r>
      <w:r>
        <w:rPr>
          <w:rFonts w:ascii="Times New Roman" w:hAnsi="Times New Roman"/>
          <w:noProof/>
          <w:color w:val="000000" w:themeColor="text1"/>
          <w:vertAlign w:val="superscript"/>
        </w:rPr>
        <w:footnoteReference w:id="16"/>
      </w:r>
      <w:r>
        <w:rPr>
          <w:rFonts w:ascii="Times New Roman" w:hAnsi="Times New Roman"/>
          <w:noProof/>
          <w:color w:val="000000" w:themeColor="text1"/>
        </w:rPr>
        <w:t>: 48,8 милиона евро (41 % от общата стойност на персонализираните услуги за 26-те докладвани случая)</w:t>
      </w:r>
    </w:p>
    <w:p w:rsidR="00060E60" w:rsidRDefault="00C4001B">
      <w:pPr>
        <w:numPr>
          <w:ilvl w:val="0"/>
          <w:numId w:val="6"/>
        </w:numPr>
        <w:contextualSpacing/>
        <w:jc w:val="both"/>
        <w:rPr>
          <w:rFonts w:ascii="Times New Roman" w:hAnsi="Times New Roman" w:cs="Times New Roman"/>
          <w:noProof/>
          <w:color w:val="000000" w:themeColor="text1"/>
        </w:rPr>
      </w:pPr>
      <w:r>
        <w:rPr>
          <w:rFonts w:ascii="Times New Roman" w:hAnsi="Times New Roman"/>
          <w:noProof/>
          <w:color w:val="000000" w:themeColor="text1"/>
        </w:rPr>
        <w:t>управление на индивидуални случаи</w:t>
      </w:r>
      <w:r>
        <w:rPr>
          <w:rFonts w:ascii="Times New Roman" w:hAnsi="Times New Roman"/>
          <w:noProof/>
          <w:color w:val="000000" w:themeColor="text1"/>
        </w:rPr>
        <w:t>: 24,2 милиона евро (20 % от общата стойност на персонализираните услуги за 26-те докладвани случая)</w:t>
      </w:r>
    </w:p>
    <w:p w:rsidR="00060E60" w:rsidRDefault="00C4001B">
      <w:pPr>
        <w:numPr>
          <w:ilvl w:val="0"/>
          <w:numId w:val="6"/>
        </w:numPr>
        <w:contextualSpacing/>
        <w:jc w:val="both"/>
        <w:rPr>
          <w:rFonts w:ascii="Times New Roman" w:hAnsi="Times New Roman" w:cs="Times New Roman"/>
          <w:noProof/>
          <w:color w:val="000000" w:themeColor="text1"/>
        </w:rPr>
      </w:pPr>
      <w:r>
        <w:rPr>
          <w:rFonts w:ascii="Times New Roman" w:hAnsi="Times New Roman"/>
          <w:noProof/>
          <w:color w:val="000000" w:themeColor="text1"/>
        </w:rPr>
        <w:t>обучение и преквалификация: 23,3 милиона евро (19 % от общата стойност на персонализираните услуги за 26-те докладвани случая).</w:t>
      </w:r>
    </w:p>
    <w:p w:rsidR="00060E60" w:rsidRDefault="00060E60">
      <w:pPr>
        <w:ind w:left="720"/>
        <w:contextualSpacing/>
        <w:jc w:val="both"/>
        <w:rPr>
          <w:rFonts w:ascii="Times New Roman" w:hAnsi="Times New Roman" w:cs="Times New Roman"/>
          <w:noProof/>
          <w:color w:val="000000" w:themeColor="text1"/>
        </w:rPr>
      </w:pPr>
    </w:p>
    <w:p w:rsidR="00060E60" w:rsidRDefault="00C4001B">
      <w:pPr>
        <w:jc w:val="both"/>
        <w:rPr>
          <w:rFonts w:ascii="Times New Roman" w:hAnsi="Times New Roman" w:cs="Times New Roman"/>
          <w:noProof/>
        </w:rPr>
      </w:pPr>
      <w:r>
        <w:rPr>
          <w:rFonts w:ascii="Times New Roman" w:hAnsi="Times New Roman"/>
          <w:noProof/>
        </w:rPr>
        <w:t>Програмите за квалификация</w:t>
      </w:r>
      <w:r>
        <w:rPr>
          <w:rFonts w:ascii="Times New Roman" w:hAnsi="Times New Roman"/>
          <w:noProof/>
        </w:rPr>
        <w:t xml:space="preserve"> и обучение бяха максимално съобразени с нуждите и желанията на бенефициерите от целевата група, като същевременно се вземаха под внимание изискванията на местните или регионалните пазари на труда, както и бъдещият потенциал на обещаващи сектори. </w:t>
      </w:r>
    </w:p>
    <w:p w:rsidR="00060E60" w:rsidRDefault="00C4001B">
      <w:pPr>
        <w:jc w:val="both"/>
        <w:rPr>
          <w:rFonts w:ascii="Times New Roman" w:hAnsi="Times New Roman" w:cs="Times New Roman"/>
          <w:noProof/>
        </w:rPr>
      </w:pPr>
      <w:r>
        <w:rPr>
          <w:rFonts w:ascii="Times New Roman" w:hAnsi="Times New Roman"/>
          <w:noProof/>
        </w:rPr>
        <w:t>В период</w:t>
      </w:r>
      <w:r>
        <w:rPr>
          <w:rFonts w:ascii="Times New Roman" w:hAnsi="Times New Roman"/>
          <w:noProof/>
        </w:rPr>
        <w:t>а 2015—2017 г. Комисията извърши средносрочна оценка на ЕФПГ, за да оцени как и в каква степен ЕФПГ постига своите цели. Тъй като докладът за оценката все още не е публикуван, резултатите трябва да се разглеждат като предварителни.</w:t>
      </w:r>
    </w:p>
    <w:p w:rsidR="00060E60" w:rsidRDefault="00C4001B">
      <w:pPr>
        <w:jc w:val="both"/>
        <w:rPr>
          <w:rFonts w:ascii="Times New Roman" w:hAnsi="Times New Roman" w:cs="Times New Roman"/>
          <w:noProof/>
        </w:rPr>
      </w:pPr>
      <w:r>
        <w:rPr>
          <w:rFonts w:ascii="Times New Roman" w:hAnsi="Times New Roman"/>
          <w:noProof/>
        </w:rPr>
        <w:t>Оценката обхваща всичкит</w:t>
      </w:r>
      <w:r>
        <w:rPr>
          <w:rFonts w:ascii="Times New Roman" w:hAnsi="Times New Roman"/>
          <w:noProof/>
        </w:rPr>
        <w:t>е 29 случая на мерки за подпомагане по линия на ЕФПГ, за които бяха получени заявления през 2014 и 2015 г.</w:t>
      </w:r>
      <w:r>
        <w:rPr>
          <w:rStyle w:val="FootnoteReference"/>
          <w:rFonts w:ascii="Times New Roman" w:hAnsi="Times New Roman"/>
          <w:noProof/>
        </w:rPr>
        <w:footnoteReference w:id="17"/>
      </w:r>
      <w:r>
        <w:rPr>
          <w:rFonts w:ascii="Times New Roman" w:hAnsi="Times New Roman"/>
          <w:noProof/>
        </w:rPr>
        <w:t xml:space="preserve"> Оценката не обхваща случаите, подадени през предишния програмен период.</w:t>
      </w:r>
    </w:p>
    <w:p w:rsidR="00060E60" w:rsidRDefault="00C4001B">
      <w:pPr>
        <w:jc w:val="both"/>
        <w:rPr>
          <w:rFonts w:ascii="Times New Roman" w:hAnsi="Times New Roman" w:cs="Times New Roman"/>
          <w:noProof/>
        </w:rPr>
      </w:pPr>
      <w:r>
        <w:rPr>
          <w:rFonts w:ascii="Times New Roman" w:hAnsi="Times New Roman"/>
          <w:noProof/>
        </w:rPr>
        <w:t>Констатациите в оценката на ЕФПГ (както последващата оценка за периода 2007—</w:t>
      </w:r>
      <w:r>
        <w:rPr>
          <w:rFonts w:ascii="Times New Roman" w:hAnsi="Times New Roman"/>
          <w:noProof/>
        </w:rPr>
        <w:t>2013 г., така и средносрочната оценка за периода 2014—2020 г.) показват, че помощта от ЕФПГ помага на бенефициерите (съкратени работници или ННОО млади хора) да придобият самочувствие не само чрез интензивно насочващо консултиране, но по-специално чрез ада</w:t>
      </w:r>
      <w:r>
        <w:rPr>
          <w:rFonts w:ascii="Times New Roman" w:hAnsi="Times New Roman"/>
          <w:noProof/>
        </w:rPr>
        <w:t>птирани към техните потребности мерки за обучение. Освен това ЕФПГ често дава възможност на бенефициерите да участват в тези мерки, като оказва подкрепа под формата на помощи за мобилност или чрез подпомагане на грижите за деца.</w:t>
      </w:r>
    </w:p>
    <w:p w:rsidR="00060E60" w:rsidRDefault="00C4001B">
      <w:pPr>
        <w:jc w:val="both"/>
        <w:rPr>
          <w:rFonts w:ascii="Times New Roman" w:hAnsi="Times New Roman" w:cs="Times New Roman"/>
          <w:noProof/>
        </w:rPr>
      </w:pPr>
      <w:r>
        <w:rPr>
          <w:rFonts w:ascii="Times New Roman" w:hAnsi="Times New Roman"/>
          <w:noProof/>
        </w:rPr>
        <w:t>Макар че в хода на оценката</w:t>
      </w:r>
      <w:r>
        <w:rPr>
          <w:rFonts w:ascii="Times New Roman" w:hAnsi="Times New Roman"/>
          <w:noProof/>
        </w:rPr>
        <w:t xml:space="preserve"> бяха установени достатъчно доказателствата, които показват, че процентът на бенефициерите на ЕФПГ, които са намерили нова работа, се е повишил в сравнение с предишния период на финансиране (от 49 % на 56 %), към тези резултати трябва да подхожда с повишен</w:t>
      </w:r>
      <w:r>
        <w:rPr>
          <w:rFonts w:ascii="Times New Roman" w:hAnsi="Times New Roman"/>
          <w:noProof/>
        </w:rPr>
        <w:t>о внимание, тъй като сегашният срок за изпълнение е два пъти по-дълъг от предходния. Освен това данните показват, че процентите на повторно интегриране са много силно обвързани с конкретния случай, като зависят например от специфичната икономическа ситуаци</w:t>
      </w:r>
      <w:r>
        <w:rPr>
          <w:rFonts w:ascii="Times New Roman" w:hAnsi="Times New Roman"/>
          <w:noProof/>
        </w:rPr>
        <w:t>я в съответната област. Поради това е трудно не само да се сравнят процентите на повторно интегриране в различните случаи, но и да се намерят други подходящи средства за сравнение на подобни мерки.</w:t>
      </w:r>
    </w:p>
    <w:p w:rsidR="00060E60" w:rsidRDefault="00C4001B">
      <w:pPr>
        <w:jc w:val="both"/>
        <w:rPr>
          <w:rFonts w:ascii="Times New Roman" w:hAnsi="Times New Roman" w:cs="Times New Roman"/>
          <w:noProof/>
        </w:rPr>
      </w:pPr>
      <w:r>
        <w:rPr>
          <w:rFonts w:ascii="Times New Roman" w:hAnsi="Times New Roman"/>
          <w:noProof/>
        </w:rPr>
        <w:t>Дерогацията за ННОО млади хора беше използвана в два случа</w:t>
      </w:r>
      <w:r>
        <w:rPr>
          <w:rFonts w:ascii="Times New Roman" w:hAnsi="Times New Roman"/>
          <w:noProof/>
        </w:rPr>
        <w:t>я (EGF/2014/001 EL/Nutriart и EGF/2014/006 IE/Andersen Ireland), чиито окончателни доклади бяха получени през 2015 и 2016 г. Доказателствата сочат, че младите хора от целевата група са се възползвали до голяма степен от предлаганата помощ, както и от съдей</w:t>
      </w:r>
      <w:r>
        <w:rPr>
          <w:rFonts w:ascii="Times New Roman" w:hAnsi="Times New Roman"/>
          <w:noProof/>
        </w:rPr>
        <w:t>ствието, което в противен случай не биха получили. Въпреки това обаче изпълнителите на ЕФПГ често са си задавали въпроса дали ЕФПГ е правилният механизъм за предоставяне на такъв вид помощ. Това предполага, че за ННОО млади хора може би би било по-полезно,</w:t>
      </w:r>
      <w:r>
        <w:rPr>
          <w:rFonts w:ascii="Times New Roman" w:hAnsi="Times New Roman"/>
          <w:noProof/>
        </w:rPr>
        <w:t xml:space="preserve"> ако предоставената помощ не се обвързва със съкращения, попадащи в приложното поле на ЕФПГ в конкретен регион, а с всякакъв вид мащабно събитие по преструктуриране.</w:t>
      </w:r>
    </w:p>
    <w:p w:rsidR="00060E60" w:rsidRDefault="00C4001B">
      <w:pPr>
        <w:jc w:val="both"/>
        <w:rPr>
          <w:rFonts w:ascii="Times New Roman" w:hAnsi="Times New Roman" w:cs="Times New Roman"/>
          <w:noProof/>
          <w:spacing w:val="-2"/>
        </w:rPr>
      </w:pPr>
      <w:r>
        <w:rPr>
          <w:rFonts w:ascii="Times New Roman" w:hAnsi="Times New Roman"/>
          <w:noProof/>
          <w:spacing w:val="-2"/>
        </w:rPr>
        <w:t xml:space="preserve">Институционалният капацитет и опитът на държавите членки за оказване на съдействие в </w:t>
      </w:r>
      <w:r>
        <w:rPr>
          <w:rFonts w:ascii="Times New Roman" w:hAnsi="Times New Roman"/>
          <w:noProof/>
          <w:spacing w:val="-2"/>
        </w:rPr>
        <w:t>случаи на преструктуриране са ключ към продължаването на успеха на ЕФПГ. Въпреки това, в случаи, когато държавите членки имат малък или никакъв опит, те биха могли да се възползват в голяма степен от ЕФПГ, ако механизмите за неговото предоставяне са изпроб</w:t>
      </w:r>
      <w:r>
        <w:rPr>
          <w:rFonts w:ascii="Times New Roman" w:hAnsi="Times New Roman"/>
          <w:noProof/>
          <w:spacing w:val="-2"/>
        </w:rPr>
        <w:t>вани и въведени. Друг важен фактор за успех е степента, в която бенефициерите или техните представители са включени от самото начало в разработването и прилагането на помощта от ЕФПГ.</w:t>
      </w:r>
    </w:p>
    <w:p w:rsidR="00060E60" w:rsidRDefault="00060E60">
      <w:pPr>
        <w:jc w:val="both"/>
        <w:rPr>
          <w:rFonts w:ascii="Times New Roman" w:hAnsi="Times New Roman" w:cs="Times New Roman"/>
          <w:noProof/>
        </w:rPr>
      </w:pPr>
    </w:p>
    <w:p w:rsidR="00060E60" w:rsidRDefault="00C4001B">
      <w:pPr>
        <w:pStyle w:val="Heading2"/>
        <w:rPr>
          <w:noProof/>
        </w:rPr>
      </w:pPr>
      <w:bookmarkStart w:id="37" w:name="_Toc494803821"/>
      <w:bookmarkStart w:id="38" w:name="_Toc496534045"/>
      <w:r>
        <w:rPr>
          <w:noProof/>
        </w:rPr>
        <w:t>3.5. Преглед на МФР — Регламент (ЕС) № 1309/2013</w:t>
      </w:r>
      <w:bookmarkEnd w:id="37"/>
      <w:bookmarkEnd w:id="38"/>
      <w:r>
        <w:rPr>
          <w:noProof/>
        </w:rPr>
        <w:t xml:space="preserve">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С Регламент (ЕС) № 13</w:t>
      </w:r>
      <w:r>
        <w:rPr>
          <w:rFonts w:ascii="Times New Roman" w:hAnsi="Times New Roman"/>
          <w:noProof/>
          <w:color w:val="000000" w:themeColor="text1"/>
        </w:rPr>
        <w:t>09/2013 отново се въвежда критерият „криза“, така че заявленията до ЕФПГ да могат да се обосновават с настоящата или с бъдещи икономически и финансови кризи. Регламентът също така разширява обхвата на ЕФПГ, като определя работниците с временни договори и с</w:t>
      </w:r>
      <w:r>
        <w:rPr>
          <w:rFonts w:ascii="Times New Roman" w:hAnsi="Times New Roman"/>
          <w:noProof/>
          <w:color w:val="000000" w:themeColor="text1"/>
        </w:rPr>
        <w:t>амостоятелно заетите работници като отговарящи на условията за подпомагане. За да подкрепи прилагането на „Гаранцията за младежта“, Регламент (ЕС) № 1309/2013 съдържа дерогация, валидна до края на 2017 г., която позволява включването на ННОО млади хора в р</w:t>
      </w:r>
      <w:r>
        <w:rPr>
          <w:rFonts w:ascii="Times New Roman" w:hAnsi="Times New Roman"/>
          <w:noProof/>
          <w:color w:val="000000" w:themeColor="text1"/>
        </w:rPr>
        <w:t>егиони, допустими по Инициативата за младежка заетост (ИМЗ).</w:t>
      </w:r>
    </w:p>
    <w:p w:rsidR="00060E60" w:rsidRDefault="00C4001B">
      <w:pPr>
        <w:pStyle w:val="Default"/>
        <w:jc w:val="both"/>
        <w:rPr>
          <w:rFonts w:ascii="Times New Roman" w:hAnsi="Times New Roman" w:cs="Times New Roman"/>
          <w:noProof/>
          <w:color w:val="000000" w:themeColor="text1"/>
          <w:spacing w:val="-4"/>
        </w:rPr>
      </w:pPr>
      <w:r>
        <w:rPr>
          <w:rFonts w:ascii="Times New Roman" w:hAnsi="Times New Roman"/>
          <w:noProof/>
          <w:color w:val="000000" w:themeColor="text1"/>
          <w:spacing w:val="-4"/>
          <w:sz w:val="22"/>
        </w:rPr>
        <w:t xml:space="preserve">Въпреки че ЕФПГ не е част от многогодишната финансова рамка (МФР), той попада в приложното поле на Предложението за Регламент на Европейския парламент и на Съвета относно финансовите правила, </w:t>
      </w:r>
      <w:r>
        <w:rPr>
          <w:rFonts w:ascii="Times New Roman" w:hAnsi="Times New Roman"/>
          <w:noProof/>
          <w:color w:val="000000" w:themeColor="text1"/>
          <w:spacing w:val="-4"/>
          <w:sz w:val="22"/>
        </w:rPr>
        <w:t>приложими за общия бюджет на Съюза, и за изменение на регламенти (ЕО) № 2012/2002, (ЕС) № 1296/2013, (ЕС) 1301/2013, (ЕС) № 1303/2013, (ЕС) № 1304/2013, (ЕС) № 1305/2013, (ЕС)№ 1306/2013, (ЕС) № 1307/2013, (ЕС) № 1308/2013, (ЕС) № 1309/2013, (ЕС) № 1316/20</w:t>
      </w:r>
      <w:r>
        <w:rPr>
          <w:rFonts w:ascii="Times New Roman" w:hAnsi="Times New Roman"/>
          <w:noProof/>
          <w:color w:val="000000" w:themeColor="text1"/>
          <w:spacing w:val="-4"/>
          <w:sz w:val="22"/>
        </w:rPr>
        <w:t>13, (ЕС) № 223/2014, (ЕС) № 283/2014, (ЕС) № 652/2014 на Европейския парламент и на Съвета и на Решение № 541/2014/ЕС на Европейския парламент и на Съвета</w:t>
      </w:r>
      <w:r>
        <w:rPr>
          <w:rStyle w:val="FootnoteReference"/>
          <w:rFonts w:ascii="Times New Roman" w:hAnsi="Times New Roman"/>
          <w:noProof/>
          <w:color w:val="000000" w:themeColor="text1"/>
          <w:spacing w:val="-4"/>
        </w:rPr>
        <w:footnoteReference w:id="18"/>
      </w:r>
      <w:r>
        <w:rPr>
          <w:rFonts w:ascii="Times New Roman" w:hAnsi="Times New Roman"/>
          <w:noProof/>
          <w:color w:val="000000" w:themeColor="text1"/>
          <w:spacing w:val="-4"/>
        </w:rPr>
        <w:t>.</w:t>
      </w:r>
    </w:p>
    <w:p w:rsidR="00060E60" w:rsidRDefault="00060E60">
      <w:pPr>
        <w:pStyle w:val="Default"/>
        <w:jc w:val="both"/>
        <w:rPr>
          <w:rFonts w:ascii="Times New Roman" w:hAnsi="Times New Roman" w:cs="Times New Roman"/>
          <w:noProof/>
          <w:color w:val="000000" w:themeColor="text1"/>
        </w:rPr>
      </w:pPr>
    </w:p>
    <w:p w:rsidR="00060E60" w:rsidRDefault="00C4001B">
      <w:pPr>
        <w:rPr>
          <w:noProof/>
          <w:spacing w:val="-4"/>
        </w:rPr>
      </w:pPr>
      <w:r>
        <w:rPr>
          <w:rFonts w:ascii="Times New Roman" w:hAnsi="Times New Roman"/>
          <w:noProof/>
          <w:color w:val="000000" w:themeColor="text1"/>
          <w:spacing w:val="-4"/>
        </w:rPr>
        <w:t>Комисията предложи удължаването на дерогацията за ННОО в Регламента за ЕФПГ, както и някои промени</w:t>
      </w:r>
      <w:r>
        <w:rPr>
          <w:rFonts w:ascii="Times New Roman" w:hAnsi="Times New Roman"/>
          <w:noProof/>
          <w:color w:val="000000" w:themeColor="text1"/>
          <w:spacing w:val="-4"/>
        </w:rPr>
        <w:t>, които биха улеснили бюджетната процедура относно мобилизирането на ЕФПГ.</w:t>
      </w:r>
    </w:p>
    <w:p w:rsidR="00060E60" w:rsidRDefault="00060E60">
      <w:pPr>
        <w:jc w:val="both"/>
        <w:rPr>
          <w:rFonts w:ascii="Times New Roman" w:hAnsi="Times New Roman" w:cs="Times New Roman"/>
          <w:noProof/>
        </w:rPr>
      </w:pPr>
    </w:p>
    <w:p w:rsidR="00060E60" w:rsidRDefault="00060E60">
      <w:pPr>
        <w:jc w:val="both"/>
        <w:rPr>
          <w:rFonts w:ascii="Times New Roman" w:hAnsi="Times New Roman" w:cs="Times New Roman"/>
          <w:noProof/>
        </w:rPr>
        <w:sectPr w:rsidR="00060E60">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pPr>
    </w:p>
    <w:p w:rsidR="00060E60" w:rsidRDefault="00C4001B">
      <w:pPr>
        <w:jc w:val="center"/>
        <w:rPr>
          <w:rFonts w:ascii="Times New Roman" w:hAnsi="Times New Roman" w:cs="Times New Roman"/>
          <w:b/>
          <w:noProof/>
          <w:sz w:val="32"/>
          <w:szCs w:val="32"/>
        </w:rPr>
      </w:pPr>
      <w:r>
        <w:rPr>
          <w:rFonts w:ascii="Times New Roman" w:hAnsi="Times New Roman"/>
          <w:b/>
          <w:noProof/>
          <w:sz w:val="32"/>
        </w:rPr>
        <w:t>Таблица 5: Окончателни доклади, получени през 2015 и 2016 г.:</w:t>
      </w:r>
    </w:p>
    <w:p w:rsidR="00060E60" w:rsidRDefault="00C4001B">
      <w:pPr>
        <w:jc w:val="center"/>
        <w:rPr>
          <w:rFonts w:ascii="Times New Roman" w:hAnsi="Times New Roman" w:cs="Times New Roman"/>
          <w:noProof/>
        </w:rPr>
      </w:pPr>
      <w:r>
        <w:rPr>
          <w:noProof/>
          <w:lang w:val="en-GB" w:eastAsia="en-GB" w:bidi="ar-SA"/>
        </w:rPr>
        <w:drawing>
          <wp:inline distT="0" distB="0" distL="0" distR="0">
            <wp:extent cx="8892540" cy="383608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2540" cy="3836086"/>
                    </a:xfrm>
                    <a:prstGeom prst="rect">
                      <a:avLst/>
                    </a:prstGeom>
                    <a:noFill/>
                    <a:ln>
                      <a:noFill/>
                    </a:ln>
                  </pic:spPr>
                </pic:pic>
              </a:graphicData>
            </a:graphic>
          </wp:inline>
        </w:drawing>
      </w:r>
    </w:p>
    <w:p w:rsidR="00060E60" w:rsidRDefault="00C4001B">
      <w:pPr>
        <w:spacing w:after="0"/>
        <w:rPr>
          <w:rFonts w:ascii="Times New Roman" w:hAnsi="Times New Roman" w:cs="Times New Roman"/>
          <w:i/>
          <w:noProof/>
          <w:sz w:val="18"/>
          <w:szCs w:val="18"/>
        </w:rPr>
      </w:pPr>
      <w:r>
        <w:rPr>
          <w:rFonts w:ascii="Times New Roman" w:hAnsi="Times New Roman"/>
          <w:i/>
          <w:noProof/>
          <w:sz w:val="18"/>
        </w:rPr>
        <w:t xml:space="preserve">(*) Трудовият статус на работниците, представен в настоящата </w:t>
      </w:r>
      <w:r>
        <w:rPr>
          <w:rFonts w:ascii="Times New Roman" w:hAnsi="Times New Roman"/>
          <w:i/>
          <w:noProof/>
          <w:sz w:val="18"/>
        </w:rPr>
        <w:t>таблица, отразява положението към края на срока за изпълнение; в някои случаи обаче предоставените данни показват положението няколко месеца по-късно.</w:t>
      </w:r>
    </w:p>
    <w:p w:rsidR="00060E60" w:rsidRDefault="00C4001B">
      <w:pPr>
        <w:spacing w:after="0"/>
        <w:rPr>
          <w:rFonts w:ascii="Times New Roman" w:hAnsi="Times New Roman" w:cs="Times New Roman"/>
          <w:i/>
          <w:noProof/>
          <w:sz w:val="18"/>
          <w:szCs w:val="18"/>
        </w:rPr>
      </w:pPr>
      <w:r>
        <w:rPr>
          <w:rFonts w:ascii="Times New Roman" w:hAnsi="Times New Roman"/>
          <w:i/>
          <w:noProof/>
          <w:sz w:val="18"/>
        </w:rPr>
        <w:t>(**) „неангажирани с трудова дейност“ може да означава, че лицата вече не са на пазара на труда поради ра</w:t>
      </w:r>
      <w:r>
        <w:rPr>
          <w:rFonts w:ascii="Times New Roman" w:hAnsi="Times New Roman"/>
          <w:i/>
          <w:noProof/>
          <w:sz w:val="18"/>
        </w:rPr>
        <w:t>злични причини от лично естество, например излизане в пенсия.</w:t>
      </w:r>
    </w:p>
    <w:p w:rsidR="00060E60" w:rsidRDefault="00C4001B">
      <w:pPr>
        <w:jc w:val="both"/>
        <w:rPr>
          <w:rFonts w:ascii="Times New Roman" w:hAnsi="Times New Roman" w:cs="Times New Roman"/>
          <w:noProof/>
          <w:sz w:val="18"/>
          <w:szCs w:val="18"/>
        </w:rPr>
      </w:pPr>
      <w:r>
        <w:rPr>
          <w:noProof/>
          <w:lang w:val="en-GB" w:eastAsia="en-GB" w:bidi="ar-SA"/>
        </w:rPr>
        <w:drawing>
          <wp:inline distT="0" distB="0" distL="0" distR="0">
            <wp:extent cx="8895283" cy="510600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2540" cy="5104434"/>
                    </a:xfrm>
                    <a:prstGeom prst="rect">
                      <a:avLst/>
                    </a:prstGeom>
                    <a:noFill/>
                    <a:ln>
                      <a:noFill/>
                    </a:ln>
                  </pic:spPr>
                </pic:pic>
              </a:graphicData>
            </a:graphic>
          </wp:inline>
        </w:drawing>
      </w:r>
    </w:p>
    <w:p w:rsidR="00060E60" w:rsidRDefault="00C4001B">
      <w:pPr>
        <w:spacing w:after="0" w:line="240" w:lineRule="auto"/>
        <w:jc w:val="both"/>
        <w:rPr>
          <w:rFonts w:ascii="Times New Roman" w:hAnsi="Times New Roman" w:cs="Times New Roman"/>
          <w:i/>
          <w:noProof/>
          <w:sz w:val="18"/>
          <w:szCs w:val="18"/>
        </w:rPr>
      </w:pPr>
      <w:r>
        <w:rPr>
          <w:rFonts w:ascii="Times New Roman" w:hAnsi="Times New Roman"/>
          <w:i/>
          <w:noProof/>
          <w:sz w:val="18"/>
        </w:rPr>
        <w:t>(*) Трудовият статус на работниците, представен в настоящата таблица, отразява положението към края на срока за изпълнение; в някои случаи обаче предоставените данни показват положението някол</w:t>
      </w:r>
      <w:r>
        <w:rPr>
          <w:rFonts w:ascii="Times New Roman" w:hAnsi="Times New Roman"/>
          <w:i/>
          <w:noProof/>
          <w:sz w:val="18"/>
        </w:rPr>
        <w:t>ко месеца по-късно.</w:t>
      </w:r>
    </w:p>
    <w:p w:rsidR="00060E60" w:rsidRDefault="00C4001B">
      <w:pPr>
        <w:spacing w:after="0" w:line="240" w:lineRule="auto"/>
        <w:jc w:val="both"/>
        <w:rPr>
          <w:noProof/>
          <w:sz w:val="18"/>
          <w:szCs w:val="18"/>
        </w:rPr>
      </w:pPr>
      <w:r>
        <w:rPr>
          <w:rFonts w:ascii="Times New Roman" w:hAnsi="Times New Roman"/>
          <w:i/>
          <w:noProof/>
          <w:sz w:val="18"/>
        </w:rPr>
        <w:t>(**) „неангажирани с трудова дейност“ може да означава, че лицата вече не са на пазара на труда поради различни причини от лично естество, например излизане в пенсия.</w:t>
      </w:r>
    </w:p>
    <w:p w:rsidR="00060E60" w:rsidRDefault="00060E60">
      <w:pPr>
        <w:spacing w:after="0" w:line="240" w:lineRule="auto"/>
        <w:jc w:val="both"/>
        <w:rPr>
          <w:rFonts w:ascii="Times New Roman" w:hAnsi="Times New Roman" w:cs="Times New Roman"/>
          <w:noProof/>
          <w:sz w:val="18"/>
          <w:szCs w:val="18"/>
        </w:rPr>
        <w:sectPr w:rsidR="00060E60">
          <w:headerReference w:type="even" r:id="rId57"/>
          <w:headerReference w:type="default" r:id="rId58"/>
          <w:footerReference w:type="even" r:id="rId59"/>
          <w:footerReference w:type="default" r:id="rId60"/>
          <w:headerReference w:type="first" r:id="rId61"/>
          <w:footerReference w:type="first" r:id="rId62"/>
          <w:pgSz w:w="16838" w:h="11906" w:orient="landscape"/>
          <w:pgMar w:top="1417" w:right="1417" w:bottom="1417" w:left="1417" w:header="708" w:footer="708" w:gutter="0"/>
          <w:cols w:space="708"/>
          <w:docGrid w:linePitch="360"/>
        </w:sectPr>
      </w:pPr>
    </w:p>
    <w:p w:rsidR="00060E60" w:rsidRDefault="00C4001B">
      <w:pPr>
        <w:pStyle w:val="Heading2"/>
        <w:rPr>
          <w:noProof/>
        </w:rPr>
      </w:pPr>
      <w:bookmarkStart w:id="39" w:name="_Toc494803822"/>
      <w:bookmarkStart w:id="40" w:name="_Toc496534046"/>
      <w:r>
        <w:rPr>
          <w:noProof/>
        </w:rPr>
        <w:t xml:space="preserve">3.6. Финансово </w:t>
      </w:r>
      <w:r>
        <w:rPr>
          <w:noProof/>
        </w:rPr>
        <w:t>изпълнение</w:t>
      </w:r>
      <w:bookmarkEnd w:id="39"/>
      <w:bookmarkEnd w:id="40"/>
    </w:p>
    <w:p w:rsidR="00060E60" w:rsidRDefault="00C4001B">
      <w:pPr>
        <w:pStyle w:val="Heading3"/>
        <w:rPr>
          <w:noProof/>
        </w:rPr>
      </w:pPr>
      <w:bookmarkStart w:id="41" w:name="_Toc494803823"/>
      <w:bookmarkStart w:id="42" w:name="_Toc496534047"/>
      <w:r>
        <w:rPr>
          <w:noProof/>
        </w:rPr>
        <w:t>3.6.1. Финансово участие на ЕФПГ</w:t>
      </w:r>
      <w:bookmarkEnd w:id="41"/>
      <w:bookmarkEnd w:id="42"/>
      <w:r>
        <w:rPr>
          <w:noProof/>
        </w:rPr>
        <w:t xml:space="preserve"> </w:t>
      </w:r>
    </w:p>
    <w:p w:rsidR="00060E60" w:rsidRDefault="00C4001B">
      <w:pPr>
        <w:jc w:val="both"/>
        <w:rPr>
          <w:rFonts w:ascii="Times New Roman" w:hAnsi="Times New Roman" w:cs="Times New Roman"/>
          <w:noProof/>
        </w:rPr>
      </w:pPr>
      <w:r>
        <w:rPr>
          <w:rFonts w:ascii="Times New Roman" w:hAnsi="Times New Roman"/>
          <w:noProof/>
          <w:color w:val="000000" w:themeColor="text1"/>
        </w:rPr>
        <w:t>През 2015 и 2016 г. бюджетният орган одобри 25 финансови участия на ЕФПГ на обща стойност 70 392 546 EUR</w:t>
      </w:r>
      <w:r>
        <w:rPr>
          <w:rStyle w:val="FootnoteReference"/>
          <w:rFonts w:ascii="Times New Roman" w:hAnsi="Times New Roman"/>
          <w:noProof/>
          <w:color w:val="000000" w:themeColor="text1"/>
        </w:rPr>
        <w:footnoteReference w:id="19"/>
      </w:r>
      <w:r>
        <w:rPr>
          <w:rFonts w:ascii="Times New Roman" w:hAnsi="Times New Roman"/>
          <w:noProof/>
          <w:color w:val="000000" w:themeColor="text1"/>
        </w:rPr>
        <w:t xml:space="preserve"> (вж. таблица 2), 42 754 375 EUR от които бяха мобилизирани през 2015 г. и 27 638 171 EUR – през 2016 г.</w:t>
      </w:r>
      <w:r>
        <w:rPr>
          <w:rFonts w:ascii="Times New Roman" w:hAnsi="Times New Roman"/>
          <w:noProof/>
        </w:rPr>
        <w:t xml:space="preserve">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В член 12 от Регламент (ЕС, Евратом) № 1311/2013 на Съвета от 2 декември 2013 г. за определяне на многогодишната финансова рамка за годините 2014—2020</w:t>
      </w:r>
      <w:r>
        <w:rPr>
          <w:rStyle w:val="FootnoteReference"/>
          <w:rFonts w:ascii="Times New Roman" w:hAnsi="Times New Roman"/>
          <w:noProof/>
          <w:color w:val="000000" w:themeColor="text1"/>
        </w:rPr>
        <w:footnoteReference w:id="20"/>
      </w:r>
      <w:r>
        <w:rPr>
          <w:rFonts w:ascii="Times New Roman" w:hAnsi="Times New Roman"/>
          <w:noProof/>
          <w:color w:val="000000" w:themeColor="text1"/>
        </w:rPr>
        <w:t xml:space="preserve"> се установява максималният годишен финансов таван за периода 2014—2020 г. и се разрешава използването на</w:t>
      </w:r>
      <w:r>
        <w:rPr>
          <w:rFonts w:ascii="Times New Roman" w:hAnsi="Times New Roman"/>
          <w:noProof/>
          <w:color w:val="000000" w:themeColor="text1"/>
        </w:rPr>
        <w:t xml:space="preserve"> ЕФПГ до максимален годишен размер от 150 млн. евро (по цени от 2011 г.). Това означава, че през 2015 г. бюджетните кредити за поети задължения възлизат на 162 365 000 EUR, а през 2016 г. в бюджетния ред за резерва на ЕФПГ са предоставени на разположение б</w:t>
      </w:r>
      <w:r>
        <w:rPr>
          <w:rFonts w:ascii="Times New Roman" w:hAnsi="Times New Roman"/>
          <w:noProof/>
          <w:color w:val="000000" w:themeColor="text1"/>
        </w:rPr>
        <w:t>юджетни кредити за поети задължения в размер на 165 612 000 EUR</w:t>
      </w:r>
      <w:r>
        <w:rPr>
          <w:rStyle w:val="FootnoteReference"/>
          <w:rFonts w:ascii="Times New Roman" w:hAnsi="Times New Roman"/>
          <w:noProof/>
          <w:color w:val="000000" w:themeColor="text1"/>
        </w:rPr>
        <w:footnoteReference w:id="21"/>
      </w:r>
      <w:r>
        <w:rPr>
          <w:rFonts w:ascii="Times New Roman" w:hAnsi="Times New Roman"/>
          <w:noProof/>
          <w:color w:val="000000" w:themeColor="text1"/>
        </w:rPr>
        <w:t>. Бюджетните кредити за поети задължения за предоставените през двете години финансови участия се прехвърляха от резерва на ЕФПГ към бюджетния ред на ЕФПГ след приемането на всяко заявление за</w:t>
      </w:r>
      <w:r>
        <w:rPr>
          <w:rFonts w:ascii="Times New Roman" w:hAnsi="Times New Roman"/>
          <w:noProof/>
          <w:color w:val="000000" w:themeColor="text1"/>
        </w:rPr>
        <w:t xml:space="preserve"> мобилизиране от страна на бюджетния орган.</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Що се отнася до бюджетните кредити за плащания, през 2015 и 2016 г. към бюджетния ред на ЕФПГ беше кредитирана обща сума в размер на 105 923 969 EUR. През 2015 г. плащанията за авансово финансиране</w:t>
      </w:r>
      <w:r>
        <w:rPr>
          <w:rStyle w:val="FootnoteReference"/>
          <w:rFonts w:ascii="Times New Roman" w:hAnsi="Times New Roman"/>
          <w:noProof/>
          <w:color w:val="000000" w:themeColor="text1"/>
        </w:rPr>
        <w:footnoteReference w:id="22"/>
      </w:r>
      <w:r>
        <w:rPr>
          <w:rFonts w:ascii="Times New Roman" w:hAnsi="Times New Roman"/>
          <w:noProof/>
          <w:color w:val="000000" w:themeColor="text1"/>
        </w:rPr>
        <w:t xml:space="preserve"> възлязоха на </w:t>
      </w:r>
      <w:r>
        <w:rPr>
          <w:rFonts w:ascii="Times New Roman" w:hAnsi="Times New Roman"/>
          <w:noProof/>
          <w:color w:val="000000" w:themeColor="text1"/>
        </w:rPr>
        <w:t>общо 78 285 798 EUR</w:t>
      </w:r>
      <w:r>
        <w:rPr>
          <w:rStyle w:val="FootnoteReference"/>
          <w:rFonts w:ascii="Times New Roman" w:hAnsi="Times New Roman"/>
          <w:noProof/>
          <w:color w:val="000000" w:themeColor="text1"/>
        </w:rPr>
        <w:footnoteReference w:id="23"/>
      </w:r>
      <w:r>
        <w:rPr>
          <w:rFonts w:ascii="Times New Roman" w:hAnsi="Times New Roman"/>
          <w:noProof/>
          <w:color w:val="000000" w:themeColor="text1"/>
        </w:rPr>
        <w:t>, а през 2016 г. във връзка с приетите заявления за мобилизиране на ЕФПГ беше изплатена сума в размер на 27 638 171 EUR. За част от тях бяха използвани възстановени суми в резултат на непълно усвояване на средства, отчетено от държавите</w:t>
      </w:r>
      <w:r>
        <w:rPr>
          <w:rFonts w:ascii="Times New Roman" w:hAnsi="Times New Roman"/>
          <w:noProof/>
          <w:color w:val="000000" w:themeColor="text1"/>
        </w:rPr>
        <w:t xml:space="preserve"> членки на етапа на приключване. </w:t>
      </w:r>
    </w:p>
    <w:p w:rsidR="00060E60" w:rsidRDefault="00C4001B">
      <w:pPr>
        <w:pStyle w:val="Heading3"/>
        <w:rPr>
          <w:noProof/>
        </w:rPr>
      </w:pPr>
      <w:bookmarkStart w:id="43" w:name="_Toc494803824"/>
      <w:bookmarkStart w:id="44" w:name="_Toc496534048"/>
      <w:r>
        <w:rPr>
          <w:noProof/>
        </w:rPr>
        <w:t>3.6.2. Разходи за техническа помощ</w:t>
      </w:r>
      <w:bookmarkEnd w:id="43"/>
      <w:bookmarkEnd w:id="44"/>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Съгласно член 11, параграф 1 от Регламент (ЕС) № 1309/2013 до 0,5 % от наличните за годината финансови ресурси (811 825 EUR през 2015 г. и 828 060 EUR през 2016 г.) могат да бъдат използв</w:t>
      </w:r>
      <w:r>
        <w:rPr>
          <w:rFonts w:ascii="Times New Roman" w:hAnsi="Times New Roman"/>
          <w:noProof/>
          <w:color w:val="000000" w:themeColor="text1"/>
        </w:rPr>
        <w:t>ани за техническа помощ по инициатива на Комисията за дейности като подготовка, мониторинг, информация и изграждане на база от знания, административна и техническа подкрепа и дейности по извършване на одит, контрол и оценка, необходими за прилагането на Ре</w:t>
      </w:r>
      <w:r>
        <w:rPr>
          <w:rFonts w:ascii="Times New Roman" w:hAnsi="Times New Roman"/>
          <w:noProof/>
          <w:color w:val="000000" w:themeColor="text1"/>
        </w:rPr>
        <w:t xml:space="preserve">гламента за ЕФПГ. </w:t>
      </w:r>
    </w:p>
    <w:p w:rsidR="00060E60" w:rsidRDefault="00C4001B">
      <w:pPr>
        <w:jc w:val="both"/>
        <w:rPr>
          <w:rFonts w:ascii="Times New Roman" w:hAnsi="Times New Roman" w:cs="Times New Roman"/>
          <w:noProof/>
          <w:color w:val="000000" w:themeColor="text1"/>
        </w:rPr>
      </w:pPr>
      <w:r>
        <w:rPr>
          <w:rFonts w:ascii="Times New Roman" w:hAnsi="Times New Roman"/>
          <w:noProof/>
          <w:color w:val="000000" w:themeColor="text1"/>
        </w:rPr>
        <w:t xml:space="preserve">Въз основа на предложенията на Комисията за техническа помощ за 2015 и 2016 г. бюджетният орган отпусна съответно 630 000 EUR и 380 000 EUR. </w:t>
      </w:r>
    </w:p>
    <w:p w:rsidR="00060E60" w:rsidRDefault="00060E60">
      <w:pPr>
        <w:jc w:val="center"/>
        <w:rPr>
          <w:rFonts w:ascii="Times New Roman" w:hAnsi="Times New Roman" w:cs="Times New Roman"/>
          <w:b/>
          <w:i/>
          <w:noProof/>
          <w:sz w:val="28"/>
          <w:szCs w:val="28"/>
        </w:rPr>
      </w:pPr>
    </w:p>
    <w:p w:rsidR="00060E60" w:rsidRDefault="00060E60">
      <w:pPr>
        <w:rPr>
          <w:rFonts w:ascii="Times New Roman" w:hAnsi="Times New Roman" w:cs="Times New Roman"/>
          <w:b/>
          <w:i/>
          <w:noProof/>
          <w:sz w:val="28"/>
          <w:szCs w:val="28"/>
        </w:rPr>
      </w:pPr>
    </w:p>
    <w:p w:rsidR="00060E60" w:rsidRDefault="00C4001B">
      <w:pPr>
        <w:spacing w:after="60"/>
        <w:jc w:val="center"/>
        <w:rPr>
          <w:rFonts w:ascii="Times New Roman" w:hAnsi="Times New Roman" w:cs="Times New Roman"/>
          <w:b/>
          <w:i/>
          <w:noProof/>
          <w:sz w:val="28"/>
          <w:szCs w:val="28"/>
        </w:rPr>
      </w:pPr>
      <w:r>
        <w:rPr>
          <w:rFonts w:ascii="Times New Roman" w:hAnsi="Times New Roman"/>
          <w:b/>
          <w:i/>
          <w:noProof/>
          <w:sz w:val="28"/>
        </w:rPr>
        <w:t>Таблица 6: Разходи за техническа помощ за 2015 г.</w:t>
      </w:r>
    </w:p>
    <w:p w:rsidR="00060E60" w:rsidRDefault="00C4001B">
      <w:pPr>
        <w:jc w:val="center"/>
        <w:rPr>
          <w:rFonts w:ascii="Times New Roman" w:hAnsi="Times New Roman" w:cs="Times New Roman"/>
          <w:b/>
          <w:i/>
          <w:noProof/>
        </w:rPr>
      </w:pPr>
      <w:r>
        <w:rPr>
          <w:noProof/>
          <w:lang w:val="en-GB" w:eastAsia="en-GB" w:bidi="ar-SA"/>
        </w:rPr>
        <w:drawing>
          <wp:inline distT="0" distB="0" distL="0" distR="0">
            <wp:extent cx="5757062" cy="37161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718483"/>
                    </a:xfrm>
                    <a:prstGeom prst="rect">
                      <a:avLst/>
                    </a:prstGeom>
                    <a:noFill/>
                    <a:ln>
                      <a:noFill/>
                    </a:ln>
                  </pic:spPr>
                </pic:pic>
              </a:graphicData>
            </a:graphic>
          </wp:inline>
        </w:drawing>
      </w:r>
    </w:p>
    <w:p w:rsidR="00060E60" w:rsidRDefault="00060E60">
      <w:pPr>
        <w:spacing w:after="0" w:line="240" w:lineRule="auto"/>
        <w:jc w:val="center"/>
        <w:rPr>
          <w:rFonts w:ascii="Times New Roman" w:hAnsi="Times New Roman" w:cs="Times New Roman"/>
          <w:b/>
          <w:i/>
          <w:noProof/>
          <w:sz w:val="28"/>
          <w:szCs w:val="28"/>
        </w:rPr>
      </w:pPr>
    </w:p>
    <w:p w:rsidR="002573AB" w:rsidRDefault="002573AB">
      <w:pPr>
        <w:rPr>
          <w:rFonts w:ascii="Times New Roman" w:hAnsi="Times New Roman"/>
          <w:b/>
          <w:i/>
          <w:noProof/>
          <w:sz w:val="28"/>
        </w:rPr>
      </w:pPr>
      <w:r>
        <w:rPr>
          <w:rFonts w:ascii="Times New Roman" w:hAnsi="Times New Roman"/>
          <w:b/>
          <w:i/>
          <w:noProof/>
          <w:sz w:val="28"/>
        </w:rPr>
        <w:br w:type="page"/>
      </w:r>
    </w:p>
    <w:p w:rsidR="00060E60" w:rsidRDefault="00C4001B">
      <w:pPr>
        <w:spacing w:after="0"/>
        <w:jc w:val="center"/>
        <w:rPr>
          <w:rFonts w:ascii="Times New Roman" w:hAnsi="Times New Roman" w:cs="Times New Roman"/>
          <w:b/>
          <w:i/>
          <w:noProof/>
          <w:sz w:val="28"/>
          <w:szCs w:val="28"/>
        </w:rPr>
      </w:pPr>
      <w:r>
        <w:rPr>
          <w:rFonts w:ascii="Times New Roman" w:hAnsi="Times New Roman"/>
          <w:b/>
          <w:i/>
          <w:noProof/>
          <w:sz w:val="28"/>
        </w:rPr>
        <w:t>Таблица 6.1: Разходи за техническа помощ</w:t>
      </w:r>
      <w:r>
        <w:rPr>
          <w:rFonts w:ascii="Times New Roman" w:hAnsi="Times New Roman"/>
          <w:b/>
          <w:i/>
          <w:noProof/>
          <w:sz w:val="28"/>
        </w:rPr>
        <w:t xml:space="preserve"> за 2016 г.</w:t>
      </w:r>
    </w:p>
    <w:p w:rsidR="00060E60" w:rsidRDefault="00C4001B">
      <w:pPr>
        <w:jc w:val="center"/>
        <w:rPr>
          <w:rFonts w:ascii="Times New Roman" w:eastAsiaTheme="majorEastAsia" w:hAnsi="Times New Roman" w:cs="Times New Roman"/>
          <w:bCs/>
          <w:i/>
          <w:noProof/>
          <w:color w:val="000000" w:themeColor="text1"/>
          <w:sz w:val="24"/>
        </w:rPr>
      </w:pPr>
      <w:r>
        <w:rPr>
          <w:noProof/>
          <w:lang w:val="en-GB" w:eastAsia="en-GB" w:bidi="ar-SA"/>
        </w:rPr>
        <w:drawing>
          <wp:inline distT="0" distB="0" distL="0" distR="0">
            <wp:extent cx="5757062" cy="41916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194272"/>
                    </a:xfrm>
                    <a:prstGeom prst="rect">
                      <a:avLst/>
                    </a:prstGeom>
                    <a:noFill/>
                    <a:ln>
                      <a:noFill/>
                    </a:ln>
                  </pic:spPr>
                </pic:pic>
              </a:graphicData>
            </a:graphic>
          </wp:inline>
        </w:drawing>
      </w:r>
    </w:p>
    <w:p w:rsidR="00060E60" w:rsidRDefault="00C4001B">
      <w:pPr>
        <w:pStyle w:val="Heading3"/>
        <w:rPr>
          <w:noProof/>
        </w:rPr>
      </w:pPr>
      <w:bookmarkStart w:id="45" w:name="_Toc494803825"/>
      <w:bookmarkStart w:id="46" w:name="_Toc496534049"/>
      <w:r>
        <w:rPr>
          <w:noProof/>
        </w:rPr>
        <w:t>3.6.3. Докладвани нередности</w:t>
      </w:r>
      <w:bookmarkEnd w:id="45"/>
      <w:bookmarkEnd w:id="46"/>
    </w:p>
    <w:p w:rsidR="00060E60" w:rsidRDefault="00C4001B">
      <w:pPr>
        <w:jc w:val="both"/>
        <w:rPr>
          <w:rFonts w:ascii="Times New Roman" w:hAnsi="Times New Roman"/>
          <w:noProof/>
        </w:rPr>
      </w:pPr>
      <w:r>
        <w:rPr>
          <w:rFonts w:ascii="Times New Roman" w:hAnsi="Times New Roman"/>
          <w:noProof/>
        </w:rPr>
        <w:t>През 2015 и 2016 г. на Комисията не са докладвани нередности по отношение на Регламент (ЕО) № 1927/2006 или на Регламент (ЕС) № 1309/2013.</w:t>
      </w:r>
    </w:p>
    <w:p w:rsidR="00060E60" w:rsidRDefault="00C4001B">
      <w:pPr>
        <w:pStyle w:val="Heading3"/>
        <w:rPr>
          <w:noProof/>
        </w:rPr>
      </w:pPr>
      <w:bookmarkStart w:id="47" w:name="_Toc494803826"/>
      <w:bookmarkStart w:id="48" w:name="_Toc496534050"/>
      <w:r>
        <w:rPr>
          <w:noProof/>
        </w:rPr>
        <w:t>3.6.4. Прекратяване на финансовото участие от ЕФПГ</w:t>
      </w:r>
      <w:bookmarkEnd w:id="47"/>
      <w:bookmarkEnd w:id="48"/>
    </w:p>
    <w:p w:rsidR="00060E60" w:rsidRDefault="00C4001B">
      <w:pPr>
        <w:jc w:val="both"/>
        <w:rPr>
          <w:rFonts w:ascii="Times New Roman" w:hAnsi="Times New Roman"/>
          <w:noProof/>
          <w:color w:val="000000" w:themeColor="text1"/>
        </w:rPr>
      </w:pPr>
      <w:r>
        <w:rPr>
          <w:rFonts w:ascii="Times New Roman" w:hAnsi="Times New Roman"/>
          <w:noProof/>
        </w:rPr>
        <w:t xml:space="preserve">Процедурите за </w:t>
      </w:r>
      <w:r>
        <w:rPr>
          <w:rFonts w:ascii="Times New Roman" w:hAnsi="Times New Roman"/>
          <w:noProof/>
        </w:rPr>
        <w:t>прекратяване на финансовото участие на ЕФПГ са уредени в член 18 от Регламент (ЕС) № 1309/2013.</w:t>
      </w:r>
      <w:r>
        <w:rPr>
          <w:rFonts w:ascii="Times New Roman" w:hAnsi="Times New Roman"/>
          <w:noProof/>
          <w:color w:val="000000" w:themeColor="text1"/>
        </w:rPr>
        <w:t xml:space="preserve"> Тридесет и четири случая на мерки за подпомагане, осъществени между 2009 и 2015 г., бяха прекратени през 2015 и 2016 г. Подробна информация за тези случаи е пре</w:t>
      </w:r>
      <w:r>
        <w:rPr>
          <w:rFonts w:ascii="Times New Roman" w:hAnsi="Times New Roman"/>
          <w:noProof/>
          <w:color w:val="000000" w:themeColor="text1"/>
        </w:rPr>
        <w:t xml:space="preserve">дставена в таблица 3 от приложението. </w:t>
      </w:r>
    </w:p>
    <w:p w:rsidR="00060E60" w:rsidRDefault="00C4001B">
      <w:pPr>
        <w:jc w:val="both"/>
        <w:rPr>
          <w:rFonts w:ascii="Times New Roman" w:hAnsi="Times New Roman"/>
          <w:noProof/>
          <w:color w:val="000000" w:themeColor="text1"/>
        </w:rPr>
      </w:pPr>
      <w:r>
        <w:rPr>
          <w:rFonts w:ascii="Times New Roman" w:hAnsi="Times New Roman"/>
          <w:noProof/>
          <w:color w:val="000000" w:themeColor="text1"/>
        </w:rPr>
        <w:t>Случаите на мерки за подпомагане по линията на ЕФПГ се прекратяват, когато на Комисията е изпратен окончателният доклад с цялата необходима информация, всички дължими възстановявания на суми са извършени и не е необхо</w:t>
      </w:r>
      <w:r>
        <w:rPr>
          <w:rFonts w:ascii="Times New Roman" w:hAnsi="Times New Roman"/>
          <w:noProof/>
          <w:color w:val="000000" w:themeColor="text1"/>
        </w:rPr>
        <w:t>димо да се предприемат никакви допълнителни действия от страна на държавите членки или Комисията, с изключение на задължението всички разходо-оправдателни документи да бъдат държани на разположение на Комисията или Сметната палата за срок от три години (чл</w:t>
      </w:r>
      <w:r>
        <w:rPr>
          <w:rFonts w:ascii="Times New Roman" w:hAnsi="Times New Roman"/>
          <w:noProof/>
          <w:color w:val="000000" w:themeColor="text1"/>
        </w:rPr>
        <w:t xml:space="preserve">ен 21, параграф 5 от Регламент (ЕС) № 1309/2013). </w:t>
      </w:r>
    </w:p>
    <w:p w:rsidR="00060E60" w:rsidRDefault="00C4001B">
      <w:pPr>
        <w:jc w:val="both"/>
        <w:rPr>
          <w:rFonts w:ascii="Times New Roman" w:hAnsi="Times New Roman"/>
          <w:noProof/>
          <w:color w:val="000000" w:themeColor="text1"/>
        </w:rPr>
      </w:pPr>
      <w:r>
        <w:rPr>
          <w:rFonts w:ascii="Times New Roman" w:hAnsi="Times New Roman"/>
          <w:noProof/>
          <w:color w:val="000000" w:themeColor="text1"/>
        </w:rPr>
        <w:t>Средният процент на изпълнение на бюджета по отношение на прекратените случаи е 57,6 %, като стойностите варират от 9 % до 100 % бюджетно усвояване. Общата стойност на възстановените на Комисията неусвоени</w:t>
      </w:r>
      <w:r>
        <w:rPr>
          <w:rFonts w:ascii="Times New Roman" w:hAnsi="Times New Roman"/>
          <w:noProof/>
          <w:color w:val="000000" w:themeColor="text1"/>
        </w:rPr>
        <w:t xml:space="preserve"> средства във връзка с тези 34 случая беше около 60 573 926 EUR (42,4 % от финансовото участие на ЕФПГ, отпуснато за тези 34 случая). Комисията продължава да предлага насоки на държавите членки за подобряване на процента на изпълнение. </w:t>
      </w:r>
    </w:p>
    <w:p w:rsidR="00060E60" w:rsidRDefault="00C4001B">
      <w:pPr>
        <w:jc w:val="both"/>
        <w:rPr>
          <w:rFonts w:ascii="Times New Roman" w:hAnsi="Times New Roman"/>
          <w:noProof/>
        </w:rPr>
      </w:pPr>
      <w:r>
        <w:rPr>
          <w:rFonts w:ascii="Times New Roman" w:hAnsi="Times New Roman"/>
          <w:noProof/>
        </w:rPr>
        <w:t>Държавите членки не са усвоили отпуснатите им суми в пълен размер поради различни причини. Въпреки че държавите членки постоянно се насърчават да изготвят реалистични бюджетни разчети за предложения съгласуван пакет персонализирани услуги, възможни са нето</w:t>
      </w:r>
      <w:r>
        <w:rPr>
          <w:rFonts w:ascii="Times New Roman" w:hAnsi="Times New Roman"/>
          <w:noProof/>
        </w:rPr>
        <w:t>чности и недобра информираност при планирането. При първоначалните изчисления беше предвиден прекалено голям резерв, който се оказа ненужен. На етапа на планирането броят на работниците, желаещи да участват в предлаганите мерки, е бил надценен. Някои работ</w:t>
      </w:r>
      <w:r>
        <w:rPr>
          <w:rFonts w:ascii="Times New Roman" w:hAnsi="Times New Roman"/>
          <w:noProof/>
        </w:rPr>
        <w:t>ници са предпочели по-евтини мерки или мерки в краткосрочен план пред такива, които са по-скъпоструващи или с по-дълъг срок на действие, или пък са намерили нова работа по-бързо от първоначалните предвиждания. Други причини за по-ниските разходи са закъсне</w:t>
      </w:r>
      <w:r>
        <w:rPr>
          <w:rFonts w:ascii="Times New Roman" w:hAnsi="Times New Roman"/>
          <w:noProof/>
        </w:rPr>
        <w:t xml:space="preserve">ния при въвеждането на мерките и недостатъчно използване на възможностите за гъвкаво преразпределяне на средства между различни бюджетни позиции в хода на прилагането на пакета персонализирани услуги. </w:t>
      </w:r>
    </w:p>
    <w:p w:rsidR="00060E60" w:rsidRDefault="00C4001B">
      <w:pPr>
        <w:jc w:val="both"/>
        <w:rPr>
          <w:rFonts w:ascii="Times New Roman" w:hAnsi="Times New Roman"/>
          <w:noProof/>
        </w:rPr>
      </w:pPr>
      <w:r>
        <w:rPr>
          <w:rFonts w:ascii="Times New Roman" w:hAnsi="Times New Roman"/>
          <w:noProof/>
        </w:rPr>
        <w:t xml:space="preserve">Очаква се, че с натрупването на опит бюджетирането на </w:t>
      </w:r>
      <w:r>
        <w:rPr>
          <w:rFonts w:ascii="Times New Roman" w:hAnsi="Times New Roman"/>
          <w:noProof/>
        </w:rPr>
        <w:t>мерките и прогнозирането на участието на работниците през 24-месечния срок ще се подобрят. Също така Комисията наблюдава подобряване на планирането на момента на получаване на средствата от ЕФПГ в засегнатата област, на капацитета на различните координиращ</w:t>
      </w:r>
      <w:r>
        <w:rPr>
          <w:rFonts w:ascii="Times New Roman" w:hAnsi="Times New Roman"/>
          <w:noProof/>
        </w:rPr>
        <w:t>и и изпълнителни структури и на качеството на комуникацията между националното и регионалното/местното равнище. Държавите членки се възползват по-успешно от възможността да преразглеждат бюджетите си и да пренасочват разходи между различните мерки и/или из</w:t>
      </w:r>
      <w:r>
        <w:rPr>
          <w:rFonts w:ascii="Times New Roman" w:hAnsi="Times New Roman"/>
          <w:noProof/>
        </w:rPr>
        <w:t>пълнението на разходите. Освен това понастоящем Комисията приканва държавите членки да преразглеждат бюджета и в хода на подаване на заявленията. И накрая, институциите на ЕС полагат значителни усилия, за да ускорят процедурите за вземане на решения и изпл</w:t>
      </w:r>
      <w:r>
        <w:rPr>
          <w:rFonts w:ascii="Times New Roman" w:hAnsi="Times New Roman"/>
          <w:noProof/>
        </w:rPr>
        <w:t>ащане на средства от ЕФПГ, за да може времето и предоставените средства да се използват оптимално. В Регламент (ЕС) № 1309/2013 се определят строги крайни срокове за оценяване на заявленията до ЕФПГ и за бюджетната процедура с цел средствата да бъдат отпус</w:t>
      </w:r>
      <w:r>
        <w:rPr>
          <w:rFonts w:ascii="Times New Roman" w:hAnsi="Times New Roman"/>
          <w:noProof/>
        </w:rPr>
        <w:t xml:space="preserve">кани по-рано. В рамките на финансовото участие държавите членки могат също така да пребюджетират и със съгласието на Комисията да въвеждат нови допустими мерки в хода на прилагането. </w:t>
      </w:r>
    </w:p>
    <w:p w:rsidR="00060E60" w:rsidRDefault="00060E60">
      <w:pPr>
        <w:rPr>
          <w:rFonts w:ascii="Times New Roman" w:hAnsi="Times New Roman"/>
          <w:noProof/>
        </w:rPr>
      </w:pPr>
    </w:p>
    <w:p w:rsidR="00060E60" w:rsidRDefault="00C4001B">
      <w:pPr>
        <w:pStyle w:val="Heading2"/>
        <w:rPr>
          <w:rFonts w:ascii="Times New Roman Bold" w:hAnsi="Times New Roman Bold"/>
          <w:noProof/>
          <w:spacing w:val="-6"/>
        </w:rPr>
      </w:pPr>
      <w:bookmarkStart w:id="49" w:name="_Toc494803827"/>
      <w:bookmarkStart w:id="50" w:name="_Toc496534051"/>
      <w:r>
        <w:rPr>
          <w:rFonts w:ascii="Times New Roman Bold" w:hAnsi="Times New Roman Bold"/>
          <w:noProof/>
          <w:spacing w:val="-6"/>
        </w:rPr>
        <w:t>3.7. Дейности по предоставяне на техническа помощ, предприети от Комиси</w:t>
      </w:r>
      <w:r>
        <w:rPr>
          <w:rFonts w:ascii="Times New Roman Bold" w:hAnsi="Times New Roman Bold"/>
          <w:noProof/>
          <w:spacing w:val="-6"/>
        </w:rPr>
        <w:t>ята</w:t>
      </w:r>
      <w:bookmarkEnd w:id="49"/>
      <w:bookmarkEnd w:id="50"/>
    </w:p>
    <w:p w:rsidR="00060E60" w:rsidRDefault="00C4001B">
      <w:pPr>
        <w:pStyle w:val="Heading3"/>
        <w:rPr>
          <w:noProof/>
        </w:rPr>
      </w:pPr>
      <w:bookmarkStart w:id="51" w:name="_Toc494803828"/>
      <w:bookmarkStart w:id="52" w:name="_Toc496534052"/>
      <w:r>
        <w:rPr>
          <w:noProof/>
        </w:rPr>
        <w:t>3.7.1. Информация и публичност: Интернет сайт</w:t>
      </w:r>
      <w:bookmarkEnd w:id="51"/>
      <w:bookmarkEnd w:id="52"/>
    </w:p>
    <w:p w:rsidR="00060E60" w:rsidRDefault="00C4001B">
      <w:pPr>
        <w:jc w:val="both"/>
        <w:rPr>
          <w:rFonts w:ascii="Times New Roman" w:hAnsi="Times New Roman"/>
          <w:noProof/>
        </w:rPr>
      </w:pPr>
      <w:r>
        <w:rPr>
          <w:rFonts w:ascii="Times New Roman" w:hAnsi="Times New Roman"/>
          <w:noProof/>
        </w:rPr>
        <w:t>Съгласно член 12, параграф 2 от Регламент (ЕО) № 1309/2013 на Комисията е възложена отговорността да създаде и поддържа интернет сайт, достъпен на всички езици на Общността, за да предоставя информация за Е</w:t>
      </w:r>
      <w:r>
        <w:rPr>
          <w:rFonts w:ascii="Times New Roman" w:hAnsi="Times New Roman"/>
          <w:noProof/>
        </w:rPr>
        <w:t xml:space="preserve">ФПГ, указания за подаването на заявления, както и актуална информация за приетите и отказани заявления, изтъквайки ролята на бюджетния орган. </w:t>
      </w:r>
    </w:p>
    <w:p w:rsidR="00060E60" w:rsidRDefault="00C4001B">
      <w:pPr>
        <w:jc w:val="both"/>
        <w:rPr>
          <w:rFonts w:ascii="Times New Roman" w:hAnsi="Times New Roman"/>
          <w:noProof/>
        </w:rPr>
      </w:pPr>
      <w:r>
        <w:rPr>
          <w:rFonts w:ascii="Times New Roman" w:hAnsi="Times New Roman"/>
          <w:noProof/>
        </w:rPr>
        <w:t>През 2015 и 2016 г. създаденият от Комисията интернет сайт на ЕФПГ</w:t>
      </w:r>
      <w:r>
        <w:rPr>
          <w:rFonts w:ascii="Times New Roman" w:hAnsi="Times New Roman"/>
          <w:noProof/>
          <w:vertAlign w:val="superscript"/>
        </w:rPr>
        <w:footnoteReference w:id="24"/>
      </w:r>
      <w:r>
        <w:rPr>
          <w:rFonts w:ascii="Times New Roman" w:hAnsi="Times New Roman"/>
          <w:noProof/>
        </w:rPr>
        <w:t xml:space="preserve"> беше обновяван редовно със съответната информ</w:t>
      </w:r>
      <w:r>
        <w:rPr>
          <w:rFonts w:ascii="Times New Roman" w:hAnsi="Times New Roman"/>
          <w:noProof/>
        </w:rPr>
        <w:t xml:space="preserve">ация. </w:t>
      </w:r>
    </w:p>
    <w:p w:rsidR="00060E60" w:rsidRDefault="00C4001B">
      <w:pPr>
        <w:pStyle w:val="Heading3"/>
        <w:rPr>
          <w:noProof/>
        </w:rPr>
      </w:pPr>
      <w:bookmarkStart w:id="53" w:name="_Toc494803829"/>
      <w:bookmarkStart w:id="54" w:name="_Toc496534053"/>
      <w:r>
        <w:rPr>
          <w:noProof/>
        </w:rPr>
        <w:t>3.7.2. Срещи с националните органи и заинтересовани страни във връзка с прилагането на ЕФПГ</w:t>
      </w:r>
      <w:bookmarkEnd w:id="53"/>
      <w:bookmarkEnd w:id="54"/>
    </w:p>
    <w:p w:rsidR="00060E60" w:rsidRDefault="00C4001B">
      <w:pPr>
        <w:jc w:val="both"/>
        <w:rPr>
          <w:rFonts w:ascii="Times New Roman" w:hAnsi="Times New Roman"/>
          <w:noProof/>
        </w:rPr>
      </w:pPr>
      <w:r>
        <w:rPr>
          <w:rFonts w:ascii="Times New Roman" w:hAnsi="Times New Roman"/>
          <w:noProof/>
        </w:rPr>
        <w:t>Петнадесетата, шестнадесетата, седемнадесетата и осемнадесетата среща на експертната група на лицата за контакт на Европейския фонд за приспособяване към гло</w:t>
      </w:r>
      <w:r>
        <w:rPr>
          <w:rFonts w:ascii="Times New Roman" w:hAnsi="Times New Roman"/>
          <w:noProof/>
        </w:rPr>
        <w:t xml:space="preserve">бализацията, които са кореспондентите на ЕФПГ в държавите членки, бяха проведени през март и октомври 2015 и 2016 г. Част от всяко заседание беше посветена на текущите и планираните заявления до ЕФПГ, на общата система за управление на съвместните фондове </w:t>
      </w:r>
      <w:r>
        <w:rPr>
          <w:rFonts w:ascii="Times New Roman" w:hAnsi="Times New Roman"/>
          <w:noProof/>
        </w:rPr>
        <w:t xml:space="preserve">(SFC2014), на средносрочната оценка на ЕФПГ за периода 2014—2020 г., на правни и одиторски въпроси, както и на редица други въпроси от дневния ред. </w:t>
      </w:r>
    </w:p>
    <w:p w:rsidR="00060E60" w:rsidRDefault="00C4001B">
      <w:pPr>
        <w:jc w:val="both"/>
        <w:rPr>
          <w:rFonts w:ascii="Times New Roman" w:hAnsi="Times New Roman"/>
          <w:noProof/>
        </w:rPr>
      </w:pPr>
      <w:r>
        <w:rPr>
          <w:rFonts w:ascii="Times New Roman" w:hAnsi="Times New Roman"/>
          <w:noProof/>
        </w:rPr>
        <w:t>През 2015 и 2016 г. бяха организирани три семинара за създаване на контакти. Темите на семинарите бяха изпо</w:t>
      </w:r>
      <w:r>
        <w:rPr>
          <w:rFonts w:ascii="Times New Roman" w:hAnsi="Times New Roman"/>
          <w:noProof/>
        </w:rPr>
        <w:t>лзването на техническа помощ по линия на ЕФПГ, процесът на средносрочната оценка на ЕФПГ за периода 2014—2020 г. и ролята на националните органи в този процес, както и стратегиите за мотивиране на съкратените работници. Освен това семинарите бяха допълнени</w:t>
      </w:r>
      <w:r>
        <w:rPr>
          <w:rFonts w:ascii="Times New Roman" w:hAnsi="Times New Roman"/>
          <w:noProof/>
        </w:rPr>
        <w:t xml:space="preserve"> с посещения на проекти, които създадоха възможности за обмен на опит между партньорите и за срещи с бенефициерите. И на трите семинара беше отчетена добра посещаемост от страна на представителите на държавите членки, заинтересованите страни и изпълнителни</w:t>
      </w:r>
      <w:r>
        <w:rPr>
          <w:rFonts w:ascii="Times New Roman" w:hAnsi="Times New Roman"/>
          <w:noProof/>
        </w:rPr>
        <w:t xml:space="preserve">те органи на ЕФПГ. </w:t>
      </w:r>
    </w:p>
    <w:p w:rsidR="00060E60" w:rsidRDefault="00C4001B">
      <w:pPr>
        <w:pStyle w:val="Heading3"/>
        <w:rPr>
          <w:noProof/>
        </w:rPr>
      </w:pPr>
      <w:bookmarkStart w:id="55" w:name="_Toc494803830"/>
      <w:bookmarkStart w:id="56" w:name="_Toc496534054"/>
      <w:r>
        <w:rPr>
          <w:noProof/>
        </w:rPr>
        <w:t>3.7.3. Създаване на база от знания</w:t>
      </w:r>
      <w:bookmarkEnd w:id="55"/>
      <w:bookmarkEnd w:id="56"/>
      <w:r>
        <w:rPr>
          <w:noProof/>
        </w:rPr>
        <w:t xml:space="preserve"> </w:t>
      </w:r>
    </w:p>
    <w:p w:rsidR="00060E60" w:rsidRDefault="00C4001B">
      <w:pPr>
        <w:jc w:val="both"/>
        <w:rPr>
          <w:rFonts w:ascii="Times New Roman" w:hAnsi="Times New Roman"/>
          <w:noProof/>
        </w:rPr>
      </w:pPr>
      <w:r>
        <w:rPr>
          <w:rFonts w:ascii="Times New Roman" w:hAnsi="Times New Roman"/>
          <w:noProof/>
        </w:rPr>
        <w:t>През 2014 г. Комисията положи усилия за допълнително опростяване на процедурите чрез включване на ЕФПГ в информационната и комуникационна система на Комисията и държавите членки — общата система за уп</w:t>
      </w:r>
      <w:r>
        <w:rPr>
          <w:rFonts w:ascii="Times New Roman" w:hAnsi="Times New Roman"/>
          <w:noProof/>
        </w:rPr>
        <w:t>равление на съвместните фондове (SFC2014). Държавите членки използват тази система от април 2015 г. насам, за да подават онлайн заявления чрез контролиран процес на подаване на заявления. Това следва да доведе до подаване на по-точни и пълни заявления, тъй</w:t>
      </w:r>
      <w:r>
        <w:rPr>
          <w:rFonts w:ascii="Times New Roman" w:hAnsi="Times New Roman"/>
          <w:noProof/>
        </w:rPr>
        <w:t xml:space="preserve"> като платформата предоставя възможност на държавите членки да споделят данни с Комисията още преди официалното подаване на дадено заявление. По този начин събирането и обработката на данните се улеснява, а отчитането на резултатите от ЕФПГ се ускорява. Ус</w:t>
      </w:r>
      <w:r>
        <w:rPr>
          <w:rFonts w:ascii="Times New Roman" w:hAnsi="Times New Roman"/>
          <w:noProof/>
        </w:rPr>
        <w:t xml:space="preserve">ъвършенстваната процедура допълнително допринася за съкращаване на времето, което е необходимо от момента на подаване на заявлението от държавата членка до приемането на предложението, внесено от Комисията в Европейския парламент и Съвета. </w:t>
      </w:r>
    </w:p>
    <w:p w:rsidR="00060E60" w:rsidRDefault="00C4001B">
      <w:pPr>
        <w:jc w:val="both"/>
        <w:rPr>
          <w:rFonts w:ascii="Times New Roman" w:hAnsi="Times New Roman"/>
          <w:noProof/>
          <w:spacing w:val="-2"/>
        </w:rPr>
      </w:pPr>
      <w:r>
        <w:rPr>
          <w:rFonts w:ascii="Times New Roman" w:hAnsi="Times New Roman"/>
          <w:noProof/>
          <w:spacing w:val="-2"/>
        </w:rPr>
        <w:t>От август 2016 </w:t>
      </w:r>
      <w:r>
        <w:rPr>
          <w:rFonts w:ascii="Times New Roman" w:hAnsi="Times New Roman"/>
          <w:noProof/>
          <w:spacing w:val="-2"/>
        </w:rPr>
        <w:t>г. в SFC2014 започна да функционира и модул за окончателни доклади за ЕФПГ и държавите членки вече започнаха подаването на тези доклади за програмния период 2014—2020 г. през SFC2014. Други опции, предвидени в SFC2014, включват разработването на модул за д</w:t>
      </w:r>
      <w:r>
        <w:rPr>
          <w:rFonts w:ascii="Times New Roman" w:hAnsi="Times New Roman"/>
          <w:noProof/>
          <w:spacing w:val="-2"/>
        </w:rPr>
        <w:t xml:space="preserve">окладване (Infoview), възможността за оттегляне на заявление и възможността Комисията да изготви проект на предложение за решение на Европейския парламент и на Съвета и на решение за изпълнение на Комисията (по отношение на данните в системата) директно в </w:t>
      </w:r>
      <w:r>
        <w:rPr>
          <w:rFonts w:ascii="Times New Roman" w:hAnsi="Times New Roman"/>
          <w:noProof/>
          <w:spacing w:val="-2"/>
        </w:rPr>
        <w:t>SFC2014.</w:t>
      </w:r>
    </w:p>
    <w:p w:rsidR="00060E60" w:rsidRDefault="00C4001B">
      <w:pPr>
        <w:pStyle w:val="Heading3"/>
        <w:rPr>
          <w:strike/>
          <w:noProof/>
        </w:rPr>
      </w:pPr>
      <w:bookmarkStart w:id="57" w:name="_Toc494803831"/>
      <w:bookmarkStart w:id="58" w:name="_Toc496534055"/>
      <w:r>
        <w:rPr>
          <w:noProof/>
        </w:rPr>
        <w:t>3.7.4. Средносрочна оценка на ЕФПГ за периода 2014—2020 г.</w:t>
      </w:r>
      <w:bookmarkEnd w:id="57"/>
      <w:bookmarkEnd w:id="58"/>
      <w:r>
        <w:rPr>
          <w:noProof/>
        </w:rPr>
        <w:t xml:space="preserve"> </w:t>
      </w:r>
    </w:p>
    <w:p w:rsidR="00060E60" w:rsidRDefault="00C4001B">
      <w:pPr>
        <w:jc w:val="both"/>
        <w:rPr>
          <w:rFonts w:ascii="Times New Roman" w:hAnsi="Times New Roman"/>
          <w:noProof/>
        </w:rPr>
      </w:pPr>
      <w:r>
        <w:rPr>
          <w:rFonts w:ascii="Times New Roman" w:hAnsi="Times New Roman"/>
          <w:noProof/>
        </w:rPr>
        <w:t>В съответствие с член 20 от Регламент (ЕС) № 1309/2013 до 30 юни 2017 г. Комисията извършва междинна оценка на ЕФПГ по своя инициатива. През 2015 г. Комисията избра външен доставчик на ус</w:t>
      </w:r>
      <w:r>
        <w:rPr>
          <w:rFonts w:ascii="Times New Roman" w:hAnsi="Times New Roman"/>
          <w:noProof/>
        </w:rPr>
        <w:t>луги в рамките на покана за представяне на предложения като част от сключването на рамков договор. На изпълнителя беше възложено да проведе проучване за оценка в хода на 2016 г. и да предостави доклад, предлагащ отговори на свързаните с оценката въпроси по</w:t>
      </w:r>
      <w:r>
        <w:rPr>
          <w:rFonts w:ascii="Times New Roman" w:hAnsi="Times New Roman"/>
          <w:noProof/>
        </w:rPr>
        <w:t xml:space="preserve">д формата на констатации, заключения и препоръки. Докладът трябваше също така да бъде придружен от приложения, в които да се предоставя информация за отделните случаи (доклади по отделни случаи). </w:t>
      </w:r>
    </w:p>
    <w:p w:rsidR="00060E60" w:rsidRDefault="00C4001B">
      <w:pPr>
        <w:jc w:val="both"/>
        <w:rPr>
          <w:rFonts w:ascii="Times New Roman" w:hAnsi="Times New Roman"/>
          <w:noProof/>
        </w:rPr>
      </w:pPr>
      <w:r>
        <w:rPr>
          <w:rFonts w:ascii="Times New Roman" w:hAnsi="Times New Roman"/>
          <w:noProof/>
        </w:rPr>
        <w:t>Докладът се основава на съвкупност от качествена и количест</w:t>
      </w:r>
      <w:r>
        <w:rPr>
          <w:rFonts w:ascii="Times New Roman" w:hAnsi="Times New Roman"/>
          <w:noProof/>
        </w:rPr>
        <w:t>вена информация и заключенията му почиват на различни източници на информация.</w:t>
      </w:r>
    </w:p>
    <w:p w:rsidR="00060E60" w:rsidRDefault="00C4001B">
      <w:pPr>
        <w:jc w:val="both"/>
        <w:rPr>
          <w:rFonts w:ascii="Times New Roman" w:hAnsi="Times New Roman"/>
          <w:noProof/>
        </w:rPr>
      </w:pPr>
      <w:r>
        <w:rPr>
          <w:rFonts w:ascii="Times New Roman" w:hAnsi="Times New Roman"/>
          <w:noProof/>
        </w:rPr>
        <w:t>Окончателният вариант на този доклад беше приет от Комисията през декември 2016 г.</w:t>
      </w:r>
    </w:p>
    <w:p w:rsidR="00060E60" w:rsidRDefault="00C4001B">
      <w:pPr>
        <w:jc w:val="both"/>
        <w:rPr>
          <w:rFonts w:ascii="Times New Roman" w:hAnsi="Times New Roman"/>
          <w:noProof/>
        </w:rPr>
      </w:pPr>
      <w:r>
        <w:rPr>
          <w:rFonts w:ascii="Times New Roman" w:hAnsi="Times New Roman"/>
          <w:noProof/>
        </w:rPr>
        <w:t>Окончателните резултати от процеса на оценка ще бъдат публикувани под формата на работен докум</w:t>
      </w:r>
      <w:r>
        <w:rPr>
          <w:rFonts w:ascii="Times New Roman" w:hAnsi="Times New Roman"/>
          <w:noProof/>
        </w:rPr>
        <w:t>ент на службите на Комисията (SWD), който ще бъде изготвен въз основа на доклада на външните консултанти.</w:t>
      </w:r>
    </w:p>
    <w:p w:rsidR="00060E60" w:rsidRDefault="00C4001B">
      <w:pPr>
        <w:jc w:val="both"/>
        <w:rPr>
          <w:rFonts w:ascii="Times New Roman" w:hAnsi="Times New Roman"/>
          <w:noProof/>
        </w:rPr>
      </w:pPr>
      <w:r>
        <w:rPr>
          <w:rFonts w:ascii="Times New Roman" w:hAnsi="Times New Roman"/>
          <w:noProof/>
        </w:rPr>
        <w:t>В Регламент (ЕС) № 1309/2013 се предвижда извършването на оценка на ефективността и устойчивостта на ЕФПГ. Освен това в приетите през 2015 г. Насоки з</w:t>
      </w:r>
      <w:r>
        <w:rPr>
          <w:rFonts w:ascii="Times New Roman" w:hAnsi="Times New Roman"/>
          <w:noProof/>
        </w:rPr>
        <w:t xml:space="preserve">а по-добро регулиране бяха добавени ефикасността, съгласуваността, уместността и добавената стойност съответната намеса. Още от самото начало беше планирано извършената средносрочна оценка на ЕФПГ да обхване всички посочени по-горе аспекти и по този начин </w:t>
      </w:r>
      <w:r>
        <w:rPr>
          <w:rFonts w:ascii="Times New Roman" w:hAnsi="Times New Roman"/>
          <w:noProof/>
        </w:rPr>
        <w:t>да отговори изцяло на изискванията на Насоките за по-добро регулиране. В хода на този процес се проведе широка консултация със заинтересованите страни чрез отворена обществена консултация в интернет, целенасочени консултации, семинар за създаване на контак</w:t>
      </w:r>
      <w:r>
        <w:rPr>
          <w:rFonts w:ascii="Times New Roman" w:hAnsi="Times New Roman"/>
          <w:noProof/>
        </w:rPr>
        <w:t xml:space="preserve">ти. </w:t>
      </w:r>
    </w:p>
    <w:p w:rsidR="00060E60" w:rsidRDefault="00C4001B">
      <w:pPr>
        <w:pStyle w:val="Heading1"/>
        <w:rPr>
          <w:noProof/>
        </w:rPr>
      </w:pPr>
      <w:bookmarkStart w:id="59" w:name="_Toc494803832"/>
      <w:bookmarkStart w:id="60" w:name="_Toc496534056"/>
      <w:r>
        <w:rPr>
          <w:noProof/>
        </w:rPr>
        <w:t>4. Кумулативни данни за периода 2007—2016 г.</w:t>
      </w:r>
      <w:bookmarkEnd w:id="59"/>
      <w:bookmarkEnd w:id="60"/>
    </w:p>
    <w:p w:rsidR="00060E60" w:rsidRDefault="00C4001B">
      <w:pPr>
        <w:jc w:val="both"/>
        <w:rPr>
          <w:rFonts w:ascii="Times New Roman" w:hAnsi="Times New Roman"/>
          <w:noProof/>
        </w:rPr>
      </w:pPr>
      <w:r>
        <w:rPr>
          <w:rFonts w:ascii="Times New Roman" w:hAnsi="Times New Roman"/>
          <w:noProof/>
        </w:rPr>
        <w:t>Наличните данни, въз основа на които да се установяват тенденциите при заявленията и да се добива обща представа за това в каква посока са насочени действията на фонда, всяка година стават все повече. Данни</w:t>
      </w:r>
      <w:r>
        <w:rPr>
          <w:rFonts w:ascii="Times New Roman" w:hAnsi="Times New Roman"/>
          <w:noProof/>
        </w:rPr>
        <w:t>те в графиките по-долу и в таблици 1 и 2 от приложението се отнасят до 147 заявления, подадени от държавите членки между 2007 и 2016 г.</w:t>
      </w:r>
      <w:r>
        <w:rPr>
          <w:rFonts w:ascii="Times New Roman" w:hAnsi="Times New Roman"/>
          <w:noProof/>
          <w:vertAlign w:val="superscript"/>
        </w:rPr>
        <w:footnoteReference w:id="25"/>
      </w:r>
      <w:r>
        <w:rPr>
          <w:rFonts w:ascii="Times New Roman" w:hAnsi="Times New Roman"/>
          <w:noProof/>
        </w:rPr>
        <w:t xml:space="preserve"> </w:t>
      </w:r>
    </w:p>
    <w:p w:rsidR="00060E60" w:rsidRDefault="00C4001B">
      <w:pPr>
        <w:jc w:val="both"/>
        <w:rPr>
          <w:rFonts w:ascii="Times New Roman" w:hAnsi="Times New Roman"/>
          <w:noProof/>
        </w:rPr>
      </w:pPr>
      <w:r>
        <w:rPr>
          <w:rFonts w:ascii="Times New Roman" w:hAnsi="Times New Roman"/>
          <w:noProof/>
        </w:rPr>
        <w:t>До момента са подадени заявления за общо 592 894 194 EUR за мерки в полза на 140 545 бенефициери от целевата група</w:t>
      </w:r>
      <w:r>
        <w:rPr>
          <w:rFonts w:ascii="Times New Roman" w:hAnsi="Times New Roman"/>
          <w:noProof/>
          <w:vertAlign w:val="superscript"/>
        </w:rPr>
        <w:footnoteReference w:id="26"/>
      </w:r>
      <w:r>
        <w:rPr>
          <w:rFonts w:ascii="Times New Roman" w:hAnsi="Times New Roman"/>
          <w:noProof/>
        </w:rPr>
        <w:t xml:space="preserve">. </w:t>
      </w:r>
    </w:p>
    <w:p w:rsidR="00060E60" w:rsidRDefault="00C4001B">
      <w:pPr>
        <w:tabs>
          <w:tab w:val="left" w:pos="3290"/>
        </w:tabs>
        <w:rPr>
          <w:rFonts w:ascii="Times New Roman" w:hAnsi="Times New Roman"/>
          <w:b/>
          <w:i/>
          <w:noProof/>
        </w:rPr>
      </w:pPr>
      <w:r>
        <w:rPr>
          <w:rFonts w:ascii="Times New Roman" w:hAnsi="Times New Roman"/>
          <w:b/>
          <w:i/>
          <w:noProof/>
        </w:rPr>
        <w:t>Графика 6: Брой заявления, получени в периода 2007—2016 г.</w:t>
      </w:r>
      <w:r>
        <w:rPr>
          <w:rStyle w:val="FootnoteReference"/>
          <w:noProof/>
        </w:rPr>
        <w:footnoteReference w:id="27"/>
      </w:r>
      <w:r>
        <w:rPr>
          <w:rFonts w:ascii="Times New Roman" w:hAnsi="Times New Roman"/>
          <w:b/>
          <w:i/>
          <w:noProof/>
        </w:rPr>
        <w:t xml:space="preserve"> </w:t>
      </w:r>
    </w:p>
    <w:p w:rsidR="00060E60" w:rsidRDefault="00C4001B">
      <w:pPr>
        <w:jc w:val="center"/>
        <w:rPr>
          <w:rFonts w:ascii="Times New Roman" w:hAnsi="Times New Roman"/>
          <w:noProof/>
        </w:rPr>
      </w:pPr>
      <w:r>
        <w:rPr>
          <w:noProof/>
          <w:lang w:val="en-GB" w:eastAsia="en-GB" w:bidi="ar-SA"/>
        </w:rPr>
        <w:drawing>
          <wp:inline distT="0" distB="0" distL="0" distR="0">
            <wp:extent cx="5760720" cy="29273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927350"/>
                    </a:xfrm>
                    <a:prstGeom prst="rect">
                      <a:avLst/>
                    </a:prstGeom>
                  </pic:spPr>
                </pic:pic>
              </a:graphicData>
            </a:graphic>
          </wp:inline>
        </w:drawing>
      </w:r>
    </w:p>
    <w:p w:rsidR="00060E60" w:rsidRDefault="00060E60">
      <w:pPr>
        <w:jc w:val="both"/>
        <w:rPr>
          <w:rFonts w:ascii="Times New Roman" w:hAnsi="Times New Roman"/>
          <w:noProof/>
        </w:rPr>
      </w:pPr>
    </w:p>
    <w:p w:rsidR="00060E60" w:rsidRDefault="00C4001B">
      <w:pPr>
        <w:jc w:val="both"/>
        <w:rPr>
          <w:rFonts w:ascii="Times New Roman" w:hAnsi="Times New Roman"/>
          <w:noProof/>
        </w:rPr>
      </w:pPr>
      <w:r>
        <w:rPr>
          <w:rFonts w:ascii="Times New Roman" w:hAnsi="Times New Roman"/>
          <w:noProof/>
        </w:rPr>
        <w:t>Регламент (ЕО) № 546/2009 с внесения в него критерий „криза“ оказа съществено въздействие върху броя на получените от Комисията заявления: от 2009 г. (когато съответното изменени влезе в сила)</w:t>
      </w:r>
      <w:r>
        <w:rPr>
          <w:rFonts w:ascii="Times New Roman" w:hAnsi="Times New Roman"/>
          <w:noProof/>
        </w:rPr>
        <w:t xml:space="preserve"> до 31 декември 2011 г. беше отбелязан значителен ръст на броя на заявленията. </w:t>
      </w:r>
    </w:p>
    <w:p w:rsidR="00060E60" w:rsidRDefault="00C4001B">
      <w:pPr>
        <w:jc w:val="both"/>
        <w:rPr>
          <w:rFonts w:ascii="Times New Roman" w:hAnsi="Times New Roman"/>
          <w:noProof/>
        </w:rPr>
      </w:pPr>
      <w:r>
        <w:rPr>
          <w:rFonts w:ascii="Times New Roman" w:hAnsi="Times New Roman"/>
          <w:noProof/>
        </w:rPr>
        <w:t xml:space="preserve">От 2007 до 2016 г. Комисията получи 77 заявления с позоваване на причини във връзка с кризата и 70 заявления с позоваване на причини във връзка с търговията. Общият брой на </w:t>
      </w:r>
      <w:r>
        <w:rPr>
          <w:rFonts w:ascii="Times New Roman" w:hAnsi="Times New Roman"/>
          <w:noProof/>
        </w:rPr>
        <w:t>заявленията, които се получават през различните година, е нестабилен при средно около 15 заявления годишно.</w:t>
      </w:r>
    </w:p>
    <w:p w:rsidR="00060E60" w:rsidRDefault="00C4001B">
      <w:pPr>
        <w:jc w:val="both"/>
        <w:rPr>
          <w:rFonts w:ascii="Times New Roman" w:hAnsi="Times New Roman"/>
          <w:noProof/>
        </w:rPr>
      </w:pPr>
      <w:r>
        <w:rPr>
          <w:rFonts w:ascii="Times New Roman" w:hAnsi="Times New Roman"/>
          <w:noProof/>
        </w:rPr>
        <w:t>Както е видно от таблица 2 от приложението, Испания е държавата членка, подала най-голям брой заявления (21), следвана от Нидерландия (17), Италия (</w:t>
      </w:r>
      <w:r>
        <w:rPr>
          <w:rFonts w:ascii="Times New Roman" w:hAnsi="Times New Roman"/>
          <w:noProof/>
        </w:rPr>
        <w:t>13) и Белгия (12). Към края на 2016 г. седем държави членки</w:t>
      </w:r>
      <w:r>
        <w:rPr>
          <w:rStyle w:val="FootnoteReference"/>
          <w:rFonts w:ascii="Times New Roman" w:hAnsi="Times New Roman"/>
          <w:noProof/>
        </w:rPr>
        <w:footnoteReference w:id="28"/>
      </w:r>
      <w:r>
        <w:rPr>
          <w:rFonts w:ascii="Times New Roman" w:hAnsi="Times New Roman"/>
          <w:noProof/>
        </w:rPr>
        <w:t xml:space="preserve"> все още не бяха подали заявления за подпомагане от ЕФПГ: Кипър, Латвия, Люксембург, Обединеното кралство, Словакия, Унгария и Хърватия. </w:t>
      </w:r>
    </w:p>
    <w:p w:rsidR="00060E60" w:rsidRDefault="00C4001B">
      <w:pPr>
        <w:rPr>
          <w:rFonts w:ascii="Times New Roman" w:hAnsi="Times New Roman"/>
          <w:b/>
          <w:i/>
          <w:noProof/>
        </w:rPr>
      </w:pPr>
      <w:r>
        <w:rPr>
          <w:rFonts w:ascii="Times New Roman" w:hAnsi="Times New Roman"/>
          <w:b/>
          <w:i/>
          <w:noProof/>
        </w:rPr>
        <w:t>Графика 7: Заявени пред ЕФПГ суми по държави членки за пер</w:t>
      </w:r>
      <w:r>
        <w:rPr>
          <w:rFonts w:ascii="Times New Roman" w:hAnsi="Times New Roman"/>
          <w:b/>
          <w:i/>
          <w:noProof/>
        </w:rPr>
        <w:t>иода 2007—2016 г.</w:t>
      </w:r>
    </w:p>
    <w:p w:rsidR="00060E60" w:rsidRDefault="00C4001B">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lang w:val="en-GB" w:eastAsia="en-GB" w:bidi="ar-SA"/>
        </w:rPr>
        <w:drawing>
          <wp:inline distT="0" distB="0" distL="0" distR="0">
            <wp:extent cx="5939758" cy="5099135"/>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337" cy="5099632"/>
                    </a:xfrm>
                    <a:prstGeom prst="rect">
                      <a:avLst/>
                    </a:prstGeom>
                    <a:noFill/>
                  </pic:spPr>
                </pic:pic>
              </a:graphicData>
            </a:graphic>
          </wp:inline>
        </w:drawing>
      </w:r>
    </w:p>
    <w:p w:rsidR="00060E60" w:rsidRDefault="00060E60">
      <w:pPr>
        <w:spacing w:after="0" w:line="240" w:lineRule="auto"/>
        <w:rPr>
          <w:rFonts w:ascii="Times New Roman" w:eastAsia="Times New Roman" w:hAnsi="Times New Roman" w:cs="Times New Roman"/>
          <w:b/>
          <w:bCs/>
          <w:noProof/>
          <w:color w:val="000000"/>
        </w:rPr>
      </w:pPr>
    </w:p>
    <w:p w:rsidR="00060E60" w:rsidRDefault="00C4001B">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Общ размер на заявените пред ЕФПГ суми</w:t>
      </w:r>
      <w:r>
        <w:rPr>
          <w:b/>
          <w:noProof/>
          <w:vertAlign w:val="superscript"/>
        </w:rPr>
        <w:footnoteReference w:id="29"/>
      </w:r>
      <w:r>
        <w:rPr>
          <w:rFonts w:ascii="Times New Roman" w:hAnsi="Times New Roman"/>
          <w:b/>
          <w:noProof/>
          <w:color w:val="000000"/>
        </w:rPr>
        <w:t xml:space="preserve"> по държави членки: </w:t>
      </w:r>
      <w:r>
        <w:rPr>
          <w:noProof/>
        </w:rPr>
        <w:tab/>
      </w:r>
      <w:r>
        <w:rPr>
          <w:rFonts w:ascii="Times New Roman" w:hAnsi="Times New Roman"/>
          <w:b/>
          <w:noProof/>
          <w:color w:val="000000"/>
        </w:rPr>
        <w:t>592 894 194 EUR</w:t>
      </w:r>
    </w:p>
    <w:p w:rsidR="00060E60" w:rsidRDefault="00C4001B">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Усреднен размер на заявените пред ЕФПГ суми по държави членки:</w:t>
      </w:r>
      <w:r>
        <w:rPr>
          <w:rFonts w:ascii="Times New Roman" w:hAnsi="Times New Roman"/>
          <w:b/>
          <w:noProof/>
          <w:color w:val="000000"/>
        </w:rPr>
        <w:tab/>
        <w:t>29 644 710 EUR</w:t>
      </w:r>
    </w:p>
    <w:p w:rsidR="00060E60" w:rsidRDefault="00060E60">
      <w:pPr>
        <w:spacing w:after="0" w:line="240" w:lineRule="auto"/>
        <w:rPr>
          <w:rFonts w:ascii="Times New Roman" w:eastAsia="Times New Roman" w:hAnsi="Times New Roman" w:cs="Times New Roman"/>
          <w:bCs/>
          <w:noProof/>
          <w:color w:val="000000"/>
        </w:rPr>
      </w:pPr>
    </w:p>
    <w:p w:rsidR="00060E60" w:rsidRDefault="00060E60">
      <w:pPr>
        <w:jc w:val="both"/>
        <w:rPr>
          <w:rFonts w:ascii="Times New Roman" w:eastAsia="Times New Roman" w:hAnsi="Times New Roman" w:cs="Times New Roman"/>
          <w:bCs/>
          <w:noProof/>
          <w:color w:val="000000"/>
        </w:rPr>
      </w:pPr>
    </w:p>
    <w:p w:rsidR="00060E60" w:rsidRDefault="00C4001B">
      <w:pPr>
        <w:jc w:val="both"/>
        <w:rPr>
          <w:rFonts w:ascii="Times New Roman" w:eastAsia="Times New Roman" w:hAnsi="Times New Roman" w:cs="Times New Roman"/>
          <w:noProof/>
          <w:color w:val="000000"/>
        </w:rPr>
      </w:pPr>
      <w:r>
        <w:rPr>
          <w:rFonts w:ascii="Times New Roman" w:hAnsi="Times New Roman"/>
          <w:noProof/>
          <w:color w:val="000000"/>
        </w:rPr>
        <w:t>В периода 2007—2016 г. от ЕФПГ беше поискана обща сума в размер на 592 894 194 EUR от 20 държави членки. Най-висок размер на съфинансиране от ЕФПГ е заявила Франция (89 760 859 EUR за 8 заявления), следвана от Ирландия (67 720 204 EUR за 10 заявления), Дан</w:t>
      </w:r>
      <w:r>
        <w:rPr>
          <w:rFonts w:ascii="Times New Roman" w:hAnsi="Times New Roman"/>
          <w:noProof/>
          <w:color w:val="000000"/>
        </w:rPr>
        <w:t xml:space="preserve">ия (63 680 782 EUR за10 заявления) и Италия (60 537 811 EUR за 13 заявления). </w:t>
      </w:r>
    </w:p>
    <w:p w:rsidR="00060E60" w:rsidRDefault="00C4001B">
      <w:pPr>
        <w:jc w:val="both"/>
        <w:rPr>
          <w:rFonts w:ascii="Calibri" w:eastAsia="Times New Roman" w:hAnsi="Calibri" w:cs="Times New Roman"/>
          <w:noProof/>
          <w:color w:val="000000"/>
        </w:rPr>
      </w:pPr>
      <w:r>
        <w:rPr>
          <w:rFonts w:ascii="Times New Roman" w:hAnsi="Times New Roman"/>
          <w:noProof/>
          <w:color w:val="000000"/>
        </w:rPr>
        <w:t xml:space="preserve">Подробна информация относно заявленията по години и по държави членки е представена в таблица 2 от приложението. </w:t>
      </w:r>
    </w:p>
    <w:p w:rsidR="00060E60" w:rsidRDefault="00C4001B">
      <w:pPr>
        <w:rPr>
          <w:rFonts w:ascii="Times New Roman" w:hAnsi="Times New Roman"/>
          <w:b/>
          <w:i/>
          <w:noProof/>
        </w:rPr>
      </w:pPr>
      <w:r>
        <w:rPr>
          <w:rFonts w:ascii="Times New Roman" w:hAnsi="Times New Roman"/>
          <w:b/>
          <w:i/>
          <w:noProof/>
        </w:rPr>
        <w:t>Графика 8: Брой работници от целевата група по държави членки з</w:t>
      </w:r>
      <w:r>
        <w:rPr>
          <w:rFonts w:ascii="Times New Roman" w:hAnsi="Times New Roman"/>
          <w:b/>
          <w:i/>
          <w:noProof/>
        </w:rPr>
        <w:t>а периода 2007—2016 г.</w:t>
      </w:r>
    </w:p>
    <w:p w:rsidR="00060E60" w:rsidRDefault="00C4001B">
      <w:pPr>
        <w:rPr>
          <w:rFonts w:ascii="Times New Roman" w:hAnsi="Times New Roman"/>
          <w:noProof/>
        </w:rPr>
      </w:pPr>
      <w:r>
        <w:rPr>
          <w:rFonts w:ascii="Times New Roman" w:hAnsi="Times New Roman"/>
          <w:noProof/>
          <w:lang w:val="en-GB" w:eastAsia="en-GB" w:bidi="ar-SA"/>
        </w:rPr>
        <w:drawing>
          <wp:inline distT="0" distB="0" distL="0" distR="0">
            <wp:extent cx="6177963" cy="395951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8576" cy="3959903"/>
                    </a:xfrm>
                    <a:prstGeom prst="rect">
                      <a:avLst/>
                    </a:prstGeom>
                    <a:noFill/>
                  </pic:spPr>
                </pic:pic>
              </a:graphicData>
            </a:graphic>
          </wp:inline>
        </w:drawing>
      </w:r>
    </w:p>
    <w:p w:rsidR="00060E60" w:rsidRDefault="00C4001B">
      <w:pPr>
        <w:spacing w:after="0"/>
        <w:rPr>
          <w:rFonts w:ascii="Calibri" w:eastAsia="Times New Roman" w:hAnsi="Calibri" w:cs="Calibri"/>
          <w:noProof/>
          <w:color w:val="000000"/>
        </w:rPr>
      </w:pPr>
      <w:r>
        <w:rPr>
          <w:rFonts w:ascii="Times New Roman" w:hAnsi="Times New Roman"/>
          <w:b/>
          <w:noProof/>
          <w:color w:val="000000"/>
        </w:rPr>
        <w:t xml:space="preserve">Общ брой работници от целевата група по държави членки: </w:t>
      </w:r>
      <w:r>
        <w:rPr>
          <w:noProof/>
        </w:rPr>
        <w:tab/>
      </w:r>
      <w:r>
        <w:rPr>
          <w:noProof/>
        </w:rPr>
        <w:tab/>
      </w:r>
      <w:r>
        <w:rPr>
          <w:rFonts w:ascii="Times New Roman" w:hAnsi="Times New Roman"/>
          <w:b/>
          <w:noProof/>
          <w:color w:val="000000"/>
        </w:rPr>
        <w:t>137 601</w:t>
      </w:r>
    </w:p>
    <w:p w:rsidR="00060E60" w:rsidRDefault="00C4001B">
      <w:pPr>
        <w:jc w:val="both"/>
        <w:rPr>
          <w:rFonts w:ascii="Times New Roman" w:eastAsia="Times New Roman" w:hAnsi="Times New Roman"/>
          <w:noProof/>
          <w:color w:val="000000"/>
        </w:rPr>
      </w:pPr>
      <w:r>
        <w:rPr>
          <w:rFonts w:ascii="Times New Roman" w:hAnsi="Times New Roman"/>
          <w:b/>
          <w:noProof/>
          <w:color w:val="000000"/>
        </w:rPr>
        <w:t>Усреднен брой работници от целевата група по държави членки:</w:t>
      </w:r>
      <w:r>
        <w:rPr>
          <w:rFonts w:ascii="Times New Roman" w:hAnsi="Times New Roman"/>
          <w:b/>
          <w:noProof/>
          <w:color w:val="000000"/>
        </w:rPr>
        <w:tab/>
        <w:t>6 880</w:t>
      </w:r>
    </w:p>
    <w:p w:rsidR="00060E60" w:rsidRDefault="00C4001B">
      <w:pPr>
        <w:jc w:val="both"/>
        <w:rPr>
          <w:rFonts w:ascii="Times New Roman" w:eastAsia="Times New Roman" w:hAnsi="Times New Roman"/>
          <w:noProof/>
          <w:color w:val="000000"/>
        </w:rPr>
      </w:pPr>
      <w:r>
        <w:rPr>
          <w:rFonts w:ascii="Times New Roman" w:hAnsi="Times New Roman"/>
          <w:noProof/>
          <w:color w:val="000000"/>
        </w:rPr>
        <w:t>Заявленията, получени в периода 2007—2016 г. (с изключение на оттеглените или отхвърлените заявлен</w:t>
      </w:r>
      <w:r>
        <w:rPr>
          <w:rFonts w:ascii="Times New Roman" w:hAnsi="Times New Roman"/>
          <w:noProof/>
          <w:color w:val="000000"/>
        </w:rPr>
        <w:t xml:space="preserve">ия), от 20-те държави членки са засегнали 137 601 работници. През последните 10 години Франция е заявила помощ за най-голям брой работници (17 586), следвана от Германия (14 517), Испания (14 468) и Белгия (14 162). </w:t>
      </w:r>
    </w:p>
    <w:p w:rsidR="00060E60" w:rsidRDefault="00C4001B">
      <w:pPr>
        <w:jc w:val="both"/>
        <w:rPr>
          <w:rFonts w:ascii="Times New Roman" w:eastAsia="Times New Roman" w:hAnsi="Times New Roman" w:cs="Times New Roman"/>
          <w:noProof/>
          <w:color w:val="000000"/>
        </w:rPr>
      </w:pPr>
      <w:r>
        <w:rPr>
          <w:rFonts w:ascii="Times New Roman" w:hAnsi="Times New Roman"/>
          <w:noProof/>
          <w:color w:val="000000"/>
        </w:rPr>
        <w:t>Девет заявления, подадени от три държав</w:t>
      </w:r>
      <w:r>
        <w:rPr>
          <w:rFonts w:ascii="Times New Roman" w:hAnsi="Times New Roman"/>
          <w:noProof/>
          <w:color w:val="000000"/>
        </w:rPr>
        <w:t>и членки в периода 2014—2016 г., бяха насочени към 2 944 ННОО млади хора. Държавите членки, подали заявления за подкрепа на ННОО млади хора, са: Белгия (2 заявления – 400 ННОО), Гърция (4 заявления – 2 098 ННОО) и Ирландия (3 заявления – 446 ННОО).</w:t>
      </w:r>
    </w:p>
    <w:p w:rsidR="00060E60" w:rsidRDefault="00C4001B">
      <w:pPr>
        <w:jc w:val="both"/>
        <w:rPr>
          <w:rFonts w:ascii="Times New Roman" w:eastAsia="Times New Roman" w:hAnsi="Times New Roman" w:cs="Times New Roman"/>
          <w:noProof/>
          <w:color w:val="000000"/>
        </w:rPr>
      </w:pPr>
      <w:r>
        <w:rPr>
          <w:rFonts w:ascii="Times New Roman" w:hAnsi="Times New Roman"/>
          <w:noProof/>
          <w:color w:val="000000"/>
        </w:rPr>
        <w:t>Подробн</w:t>
      </w:r>
      <w:r>
        <w:rPr>
          <w:rFonts w:ascii="Times New Roman" w:hAnsi="Times New Roman"/>
          <w:noProof/>
          <w:color w:val="000000"/>
        </w:rPr>
        <w:t xml:space="preserve">а информация относно заявленията по години и по държави членки е представена в таблица 2 от приложението. </w:t>
      </w:r>
    </w:p>
    <w:p w:rsidR="00060E60" w:rsidRDefault="00C4001B">
      <w:pPr>
        <w:rPr>
          <w:rFonts w:ascii="Times New Roman" w:hAnsi="Times New Roman"/>
          <w:b/>
          <w:i/>
          <w:noProof/>
        </w:rPr>
      </w:pPr>
      <w:r>
        <w:rPr>
          <w:noProof/>
        </w:rPr>
        <w:br w:type="page"/>
      </w:r>
    </w:p>
    <w:p w:rsidR="00060E60" w:rsidRDefault="00C4001B">
      <w:pPr>
        <w:rPr>
          <w:rFonts w:ascii="Times New Roman" w:hAnsi="Times New Roman"/>
          <w:b/>
          <w:i/>
          <w:noProof/>
        </w:rPr>
      </w:pPr>
      <w:r>
        <w:rPr>
          <w:rFonts w:ascii="Times New Roman" w:hAnsi="Times New Roman"/>
          <w:b/>
          <w:i/>
          <w:noProof/>
        </w:rPr>
        <w:t>Графика 9: Брой заявления по сектори (NACE Rev. 2) за периода 2007—2016 г.*</w:t>
      </w:r>
    </w:p>
    <w:p w:rsidR="00060E60" w:rsidRDefault="00C4001B">
      <w:pPr>
        <w:rPr>
          <w:rFonts w:ascii="Times New Roman" w:hAnsi="Times New Roman"/>
          <w:noProof/>
        </w:rPr>
      </w:pPr>
      <w:r>
        <w:rPr>
          <w:noProof/>
          <w:lang w:val="en-GB" w:eastAsia="en-GB" w:bidi="ar-SA"/>
        </w:rPr>
        <w:drawing>
          <wp:inline distT="0" distB="0" distL="0" distR="0">
            <wp:extent cx="5760720" cy="45747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4574724"/>
                    </a:xfrm>
                    <a:prstGeom prst="rect">
                      <a:avLst/>
                    </a:prstGeom>
                  </pic:spPr>
                </pic:pic>
              </a:graphicData>
            </a:graphic>
          </wp:inline>
        </w:drawing>
      </w:r>
    </w:p>
    <w:p w:rsidR="00060E60" w:rsidRDefault="00C4001B">
      <w:pPr>
        <w:jc w:val="both"/>
        <w:rPr>
          <w:rFonts w:ascii="Times New Roman" w:hAnsi="Times New Roman"/>
          <w:i/>
          <w:noProof/>
          <w:sz w:val="18"/>
          <w:szCs w:val="18"/>
        </w:rPr>
      </w:pPr>
      <w:r>
        <w:rPr>
          <w:rFonts w:ascii="Times New Roman" w:hAnsi="Times New Roman"/>
          <w:i/>
          <w:noProof/>
          <w:sz w:val="18"/>
        </w:rPr>
        <w:t xml:space="preserve">* Случай EGF/2016/003 EE/Petroleum and chemicals е свързан с два </w:t>
      </w:r>
      <w:r>
        <w:rPr>
          <w:rFonts w:ascii="Times New Roman" w:hAnsi="Times New Roman"/>
          <w:i/>
          <w:noProof/>
          <w:sz w:val="18"/>
        </w:rPr>
        <w:t>различни сектора (19 и 20) и затова е отчетен два пъти.</w:t>
      </w:r>
    </w:p>
    <w:p w:rsidR="00060E60" w:rsidRDefault="00C4001B">
      <w:pPr>
        <w:spacing w:after="0"/>
        <w:jc w:val="both"/>
        <w:rPr>
          <w:rFonts w:ascii="Times New Roman" w:hAnsi="Times New Roman"/>
          <w:b/>
          <w:noProof/>
        </w:rPr>
      </w:pPr>
      <w:r>
        <w:rPr>
          <w:rFonts w:ascii="Times New Roman" w:hAnsi="Times New Roman"/>
          <w:b/>
          <w:noProof/>
        </w:rPr>
        <w:t>Общ брой сектори: 34</w:t>
      </w:r>
    </w:p>
    <w:p w:rsidR="00060E60" w:rsidRDefault="00060E60">
      <w:pPr>
        <w:spacing w:after="0"/>
        <w:jc w:val="both"/>
        <w:rPr>
          <w:rFonts w:ascii="Times New Roman" w:eastAsia="Times New Roman" w:hAnsi="Times New Roman" w:cs="Times New Roman"/>
          <w:noProof/>
          <w:color w:val="000000"/>
        </w:rPr>
      </w:pPr>
    </w:p>
    <w:p w:rsidR="00060E60" w:rsidRDefault="00060E60">
      <w:pPr>
        <w:spacing w:after="0"/>
        <w:jc w:val="both"/>
        <w:rPr>
          <w:rFonts w:ascii="Times New Roman" w:eastAsia="Times New Roman" w:hAnsi="Times New Roman" w:cs="Times New Roman"/>
          <w:noProof/>
          <w:color w:val="000000"/>
        </w:rPr>
      </w:pPr>
    </w:p>
    <w:p w:rsidR="00060E60" w:rsidRDefault="00C4001B">
      <w:pPr>
        <w:spacing w:after="0"/>
        <w:jc w:val="both"/>
        <w:rPr>
          <w:rFonts w:ascii="Times New Roman" w:eastAsia="Times New Roman" w:hAnsi="Times New Roman" w:cs="Times New Roman"/>
          <w:noProof/>
          <w:color w:val="000000"/>
        </w:rPr>
      </w:pPr>
      <w:r>
        <w:rPr>
          <w:rFonts w:ascii="Times New Roman" w:hAnsi="Times New Roman"/>
          <w:noProof/>
          <w:color w:val="000000"/>
        </w:rPr>
        <w:t>От 2007 до 2016 г. Комисията получи 147 заявления до ЕФПГ, свързани с широк набор от сектори (34). Най-голям брой заявления бяха получени за секторите „автомобили, ремаркета и п</w:t>
      </w:r>
      <w:r>
        <w:rPr>
          <w:rFonts w:ascii="Times New Roman" w:hAnsi="Times New Roman"/>
          <w:noProof/>
          <w:color w:val="000000"/>
        </w:rPr>
        <w:t xml:space="preserve">олуремаркета“ (23 заявления), следвани от „компютърна техника, електронни и оптични продукти“ (16 заявления) и „машини и оборудване“ (14 заявления). </w:t>
      </w:r>
    </w:p>
    <w:p w:rsidR="00060E60" w:rsidRDefault="00C4001B">
      <w:pPr>
        <w:jc w:val="both"/>
        <w:rPr>
          <w:rFonts w:ascii="Times New Roman" w:eastAsia="Times New Roman" w:hAnsi="Times New Roman" w:cs="Times New Roman"/>
          <w:noProof/>
          <w:color w:val="000000"/>
        </w:rPr>
      </w:pPr>
      <w:r>
        <w:rPr>
          <w:rFonts w:ascii="Times New Roman" w:hAnsi="Times New Roman"/>
          <w:noProof/>
          <w:color w:val="000000"/>
        </w:rPr>
        <w:t>Подробна информация относно получените заявления по сектори е представена в таблица 1 от приложението.</w:t>
      </w:r>
    </w:p>
    <w:p w:rsidR="00060E60" w:rsidRDefault="00C4001B">
      <w:pPr>
        <w:rPr>
          <w:rFonts w:ascii="Times New Roman" w:hAnsi="Times New Roman"/>
          <w:b/>
          <w:i/>
          <w:noProof/>
        </w:rPr>
      </w:pPr>
      <w:r>
        <w:rPr>
          <w:noProof/>
        </w:rPr>
        <w:br w:type="page"/>
      </w:r>
    </w:p>
    <w:p w:rsidR="00060E60" w:rsidRDefault="00C4001B">
      <w:pPr>
        <w:rPr>
          <w:rFonts w:ascii="Times New Roman" w:hAnsi="Times New Roman"/>
          <w:b/>
          <w:i/>
          <w:noProof/>
        </w:rPr>
      </w:pPr>
      <w:r>
        <w:rPr>
          <w:rFonts w:ascii="Times New Roman" w:hAnsi="Times New Roman"/>
          <w:b/>
          <w:i/>
          <w:noProof/>
        </w:rPr>
        <w:t>Графика 10: Брой работници от целевата група по сектори (NACE Rev. 2) за периода 2007—2016 г.*</w:t>
      </w:r>
    </w:p>
    <w:p w:rsidR="00060E60" w:rsidRDefault="00C4001B">
      <w:pPr>
        <w:rPr>
          <w:rFonts w:ascii="Times New Roman" w:hAnsi="Times New Roman"/>
          <w:noProof/>
        </w:rPr>
      </w:pPr>
      <w:r>
        <w:rPr>
          <w:noProof/>
          <w:lang w:val="en-GB" w:eastAsia="en-GB" w:bidi="ar-SA"/>
        </w:rPr>
        <w:drawing>
          <wp:inline distT="0" distB="0" distL="0" distR="0">
            <wp:extent cx="5760720" cy="373360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3733605"/>
                    </a:xfrm>
                    <a:prstGeom prst="rect">
                      <a:avLst/>
                    </a:prstGeom>
                  </pic:spPr>
                </pic:pic>
              </a:graphicData>
            </a:graphic>
          </wp:inline>
        </w:drawing>
      </w:r>
    </w:p>
    <w:p w:rsidR="00060E60" w:rsidRDefault="00C4001B">
      <w:pPr>
        <w:jc w:val="both"/>
        <w:rPr>
          <w:rFonts w:ascii="Times New Roman" w:hAnsi="Times New Roman"/>
          <w:i/>
          <w:noProof/>
          <w:sz w:val="18"/>
          <w:szCs w:val="18"/>
        </w:rPr>
      </w:pPr>
      <w:r>
        <w:rPr>
          <w:rFonts w:ascii="Times New Roman" w:hAnsi="Times New Roman"/>
          <w:i/>
          <w:noProof/>
          <w:sz w:val="18"/>
        </w:rPr>
        <w:t xml:space="preserve">* Случай EGF/2016/003 EE/Petroleum and chemicals е свързан с два различни сектора (19 и 20). По тази причина 800-те работници от целевата група по този случай </w:t>
      </w:r>
      <w:r>
        <w:rPr>
          <w:rFonts w:ascii="Times New Roman" w:hAnsi="Times New Roman"/>
          <w:i/>
          <w:noProof/>
          <w:sz w:val="18"/>
        </w:rPr>
        <w:t>присъстват два пъти в графиката.</w:t>
      </w:r>
    </w:p>
    <w:p w:rsidR="00060E60" w:rsidRDefault="00C4001B">
      <w:pPr>
        <w:spacing w:after="0"/>
        <w:jc w:val="both"/>
        <w:rPr>
          <w:rFonts w:ascii="Times New Roman" w:hAnsi="Times New Roman"/>
          <w:b/>
          <w:noProof/>
        </w:rPr>
      </w:pPr>
      <w:r>
        <w:rPr>
          <w:rFonts w:ascii="Times New Roman" w:hAnsi="Times New Roman"/>
          <w:b/>
          <w:noProof/>
        </w:rPr>
        <w:t xml:space="preserve">Общ брой работници от целевата група в 34-те сектора: </w:t>
      </w:r>
      <w:r>
        <w:rPr>
          <w:noProof/>
        </w:rPr>
        <w:tab/>
      </w:r>
      <w:r>
        <w:rPr>
          <w:noProof/>
        </w:rPr>
        <w:tab/>
      </w:r>
      <w:r>
        <w:rPr>
          <w:rFonts w:ascii="Times New Roman" w:hAnsi="Times New Roman"/>
          <w:b/>
          <w:noProof/>
        </w:rPr>
        <w:t>137 601</w:t>
      </w:r>
    </w:p>
    <w:p w:rsidR="00060E60" w:rsidRDefault="00060E60">
      <w:pPr>
        <w:spacing w:after="0"/>
        <w:jc w:val="both"/>
        <w:rPr>
          <w:rFonts w:ascii="Times New Roman" w:hAnsi="Times New Roman"/>
          <w:b/>
          <w:noProof/>
        </w:rPr>
      </w:pPr>
    </w:p>
    <w:p w:rsidR="00060E60" w:rsidRDefault="00060E60">
      <w:pPr>
        <w:spacing w:after="0"/>
        <w:jc w:val="both"/>
        <w:rPr>
          <w:rFonts w:ascii="Times New Roman" w:hAnsi="Times New Roman"/>
          <w:b/>
          <w:noProof/>
        </w:rPr>
      </w:pPr>
    </w:p>
    <w:p w:rsidR="00060E60" w:rsidRDefault="00C4001B">
      <w:pPr>
        <w:jc w:val="both"/>
        <w:rPr>
          <w:rFonts w:ascii="Times New Roman" w:hAnsi="Times New Roman"/>
          <w:noProof/>
        </w:rPr>
      </w:pPr>
      <w:r>
        <w:rPr>
          <w:rFonts w:ascii="Times New Roman" w:hAnsi="Times New Roman"/>
          <w:noProof/>
        </w:rPr>
        <w:t>От 2007 до 2016 г. Комисията получи заявления до ЕФПГ, подадени от 20 държави членки във връзка с 137 601 съкратени работници в 34 различни сектора. Най-голя</w:t>
      </w:r>
      <w:r>
        <w:rPr>
          <w:rFonts w:ascii="Times New Roman" w:hAnsi="Times New Roman"/>
          <w:noProof/>
        </w:rPr>
        <w:t xml:space="preserve">м е броят на работниците в сектор „автомобили, ремаркета и полуремаркета“ (33 202), следван от сектор „компютърна техника, електронни и оптични продукти“ (19 488) и „текстил“ (12 008). </w:t>
      </w:r>
    </w:p>
    <w:p w:rsidR="00060E60" w:rsidRDefault="00C4001B">
      <w:pPr>
        <w:rPr>
          <w:rFonts w:ascii="Times New Roman" w:hAnsi="Times New Roman"/>
          <w:b/>
          <w:i/>
          <w:noProof/>
          <w:sz w:val="24"/>
          <w:szCs w:val="24"/>
        </w:rPr>
      </w:pPr>
      <w:r>
        <w:rPr>
          <w:noProof/>
        </w:rPr>
        <w:br w:type="page"/>
      </w:r>
    </w:p>
    <w:p w:rsidR="00060E60" w:rsidRDefault="00C4001B">
      <w:pPr>
        <w:rPr>
          <w:rFonts w:ascii="Times New Roman" w:hAnsi="Times New Roman"/>
          <w:b/>
          <w:i/>
          <w:noProof/>
        </w:rPr>
      </w:pPr>
      <w:r>
        <w:rPr>
          <w:rFonts w:ascii="Times New Roman" w:hAnsi="Times New Roman"/>
          <w:b/>
          <w:i/>
          <w:noProof/>
        </w:rPr>
        <w:t>Графика 11: Усреднен размер на заявените пред ЕФПГ суми за отделен б</w:t>
      </w:r>
      <w:r>
        <w:rPr>
          <w:rFonts w:ascii="Times New Roman" w:hAnsi="Times New Roman"/>
          <w:b/>
          <w:i/>
          <w:noProof/>
        </w:rPr>
        <w:t>енефициер от целевата група и по държави членки за периода 2007—2016 г.</w:t>
      </w:r>
    </w:p>
    <w:p w:rsidR="00060E60" w:rsidRDefault="00C4001B">
      <w:pPr>
        <w:rPr>
          <w:rFonts w:ascii="Times New Roman" w:hAnsi="Times New Roman"/>
          <w:i/>
          <w:noProof/>
        </w:rPr>
      </w:pPr>
      <w:r>
        <w:rPr>
          <w:rFonts w:ascii="Times New Roman" w:hAnsi="Times New Roman"/>
          <w:i/>
          <w:noProof/>
          <w:lang w:val="en-GB" w:eastAsia="en-GB" w:bidi="ar-SA"/>
        </w:rPr>
        <w:drawing>
          <wp:inline distT="0" distB="0" distL="0" distR="0">
            <wp:extent cx="5975268" cy="394959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1990" cy="3954037"/>
                    </a:xfrm>
                    <a:prstGeom prst="rect">
                      <a:avLst/>
                    </a:prstGeom>
                    <a:noFill/>
                  </pic:spPr>
                </pic:pic>
              </a:graphicData>
            </a:graphic>
          </wp:inline>
        </w:drawing>
      </w:r>
    </w:p>
    <w:p w:rsidR="00060E60" w:rsidRDefault="00060E60">
      <w:pPr>
        <w:spacing w:after="0"/>
        <w:rPr>
          <w:rFonts w:ascii="Times New Roman" w:hAnsi="Times New Roman"/>
          <w:b/>
          <w:noProof/>
        </w:rPr>
      </w:pPr>
    </w:p>
    <w:p w:rsidR="00060E60" w:rsidRDefault="00C4001B">
      <w:pPr>
        <w:spacing w:after="0"/>
        <w:rPr>
          <w:rFonts w:ascii="Times New Roman" w:hAnsi="Times New Roman"/>
          <w:b/>
          <w:noProof/>
        </w:rPr>
      </w:pPr>
      <w:r>
        <w:rPr>
          <w:rFonts w:ascii="Times New Roman" w:hAnsi="Times New Roman"/>
          <w:b/>
          <w:noProof/>
        </w:rPr>
        <w:t>Усреднен размер на заявените пред ЕФПГ суми за отделен бенефициер и по държави членки:</w:t>
      </w:r>
      <w:r>
        <w:rPr>
          <w:rFonts w:ascii="Times New Roman" w:hAnsi="Times New Roman"/>
          <w:b/>
          <w:noProof/>
        </w:rPr>
        <w:tab/>
        <w:t>4 229 EUR</w:t>
      </w:r>
    </w:p>
    <w:p w:rsidR="00060E60" w:rsidRDefault="00060E60">
      <w:pPr>
        <w:spacing w:after="0"/>
        <w:rPr>
          <w:rFonts w:ascii="Times New Roman" w:hAnsi="Times New Roman"/>
          <w:b/>
          <w:noProof/>
        </w:rPr>
      </w:pPr>
    </w:p>
    <w:p w:rsidR="00060E60" w:rsidRDefault="00C4001B">
      <w:pPr>
        <w:jc w:val="both"/>
        <w:rPr>
          <w:rFonts w:ascii="Times New Roman" w:hAnsi="Times New Roman"/>
          <w:noProof/>
        </w:rPr>
      </w:pPr>
      <w:r>
        <w:rPr>
          <w:rFonts w:ascii="Times New Roman" w:hAnsi="Times New Roman"/>
          <w:noProof/>
        </w:rPr>
        <w:t>Средно всяка от 20-те държави членки, подали заявление за подкрепа от ЕФПГ в периода 2007—2016 г., е поискала по 4 219 EUR за всеки отделен бенефициер от целевата група. Поисканата сума за отделен бенефициер от целевата група може да варира в зависимост от</w:t>
      </w:r>
      <w:r>
        <w:rPr>
          <w:rFonts w:ascii="Times New Roman" w:hAnsi="Times New Roman"/>
          <w:noProof/>
        </w:rPr>
        <w:t xml:space="preserve"> мащаба на уволненията, ситуацията на съответния пазар на труда, конкретните обстоятелства при бенефициерите от целевата група, вече предвидените от държавата членка мерки и разходите за предоставянето на услугите в съответната държава членка или регион. Н</w:t>
      </w:r>
      <w:r>
        <w:rPr>
          <w:rFonts w:ascii="Times New Roman" w:hAnsi="Times New Roman"/>
          <w:noProof/>
        </w:rPr>
        <w:t xml:space="preserve">ай-голяма сума на бенефициер беше заявена от Австрия (14 343 EUR), следвана от Дания (10 215 EUR). </w:t>
      </w:r>
    </w:p>
    <w:sectPr w:rsidR="00060E60">
      <w:headerReference w:type="even" r:id="rId71"/>
      <w:headerReference w:type="default" r:id="rId72"/>
      <w:footerReference w:type="even" r:id="rId73"/>
      <w:footerReference w:type="default" r:id="rId74"/>
      <w:headerReference w:type="first" r:id="rId75"/>
      <w:footerReference w:type="firs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E60" w:rsidRDefault="00C4001B">
      <w:pPr>
        <w:spacing w:after="0" w:line="240" w:lineRule="auto"/>
      </w:pPr>
      <w:r>
        <w:separator/>
      </w:r>
    </w:p>
  </w:endnote>
  <w:endnote w:type="continuationSeparator" w:id="0">
    <w:p w:rsidR="00060E60" w:rsidRDefault="00C4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50385"/>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sidR="002573AB">
          <w:rPr>
            <w:noProof/>
          </w:rPr>
          <w:t>15</w:t>
        </w:r>
        <w:r>
          <w:rPr>
            <w:noProof/>
          </w:rPr>
          <w:fldChar w:fldCharType="end"/>
        </w:r>
      </w:p>
    </w:sdtContent>
  </w:sdt>
  <w:p w:rsidR="00060E60" w:rsidRDefault="00060E6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170827"/>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sidR="002573AB">
          <w:rPr>
            <w:noProof/>
          </w:rPr>
          <w:t>17</w:t>
        </w:r>
        <w:r>
          <w:rPr>
            <w:noProof/>
          </w:rPr>
          <w:fldChar w:fldCharType="end"/>
        </w:r>
      </w:p>
    </w:sdtContent>
  </w:sdt>
  <w:p w:rsidR="00060E60" w:rsidRDefault="00060E6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144"/>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sidR="002573AB">
          <w:rPr>
            <w:noProof/>
          </w:rPr>
          <w:t>21</w:t>
        </w:r>
        <w:r>
          <w:rPr>
            <w:noProof/>
          </w:rPr>
          <w:fldChar w:fldCharType="end"/>
        </w:r>
      </w:p>
    </w:sdtContent>
  </w:sdt>
  <w:p w:rsidR="00060E60" w:rsidRDefault="00060E6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C4001B">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121334"/>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sidR="002573AB">
          <w:rPr>
            <w:noProof/>
          </w:rPr>
          <w:t>24</w:t>
        </w:r>
        <w:r>
          <w:rPr>
            <w:noProof/>
          </w:rPr>
          <w:fldChar w:fldCharType="end"/>
        </w:r>
      </w:p>
    </w:sdtContent>
  </w:sdt>
  <w:p w:rsidR="00060E60" w:rsidRDefault="00060E6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019227"/>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rsidR="00060E60" w:rsidRDefault="00060E6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92784"/>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60E60" w:rsidRDefault="00060E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638106"/>
      <w:docPartObj>
        <w:docPartGallery w:val="Page Numbers (Bottom of Page)"/>
        <w:docPartUnique/>
      </w:docPartObj>
    </w:sdtPr>
    <w:sdtEndPr>
      <w:rPr>
        <w:noProof/>
      </w:rPr>
    </w:sdtEndPr>
    <w:sdtContent>
      <w:p w:rsidR="00060E60" w:rsidRDefault="00C4001B">
        <w:pPr>
          <w:pStyle w:val="Footer"/>
          <w:jc w:val="center"/>
        </w:pPr>
        <w:r>
          <w:fldChar w:fldCharType="begin"/>
        </w:r>
        <w:r>
          <w:instrText xml:space="preserve"> PAGE   \* MERGEFORMAT </w:instrText>
        </w:r>
        <w:r>
          <w:fldChar w:fldCharType="separate"/>
        </w:r>
        <w:r w:rsidR="002573AB">
          <w:rPr>
            <w:noProof/>
          </w:rPr>
          <w:t>7</w:t>
        </w:r>
        <w:r>
          <w:rPr>
            <w:noProof/>
          </w:rPr>
          <w:fldChar w:fldCharType="end"/>
        </w:r>
      </w:p>
    </w:sdtContent>
  </w:sdt>
  <w:p w:rsidR="00060E60" w:rsidRDefault="00060E6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E60" w:rsidRDefault="00C4001B">
      <w:pPr>
        <w:spacing w:after="0" w:line="240" w:lineRule="auto"/>
      </w:pPr>
      <w:r>
        <w:separator/>
      </w:r>
    </w:p>
  </w:footnote>
  <w:footnote w:type="continuationSeparator" w:id="0">
    <w:p w:rsidR="00060E60" w:rsidRDefault="00C4001B">
      <w:pPr>
        <w:spacing w:after="0" w:line="240" w:lineRule="auto"/>
      </w:pPr>
      <w:r>
        <w:continuationSeparator/>
      </w:r>
    </w:p>
  </w:footnote>
  <w:footnote w:id="1">
    <w:p w:rsidR="00060E60" w:rsidRDefault="00C4001B">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Регламент (ЕО) № 1927/2006 на Европейския парламент и на Съвета от 20 декември 2006 г. за създаване на Европейски фонд за приспособяване към глобализацията. </w:t>
      </w:r>
    </w:p>
    <w:p w:rsidR="00060E60" w:rsidRDefault="00060E60">
      <w:pPr>
        <w:pStyle w:val="FootnoteText"/>
        <w:jc w:val="both"/>
        <w:rPr>
          <w:rFonts w:cs="Times New Roman"/>
          <w:sz w:val="18"/>
          <w:szCs w:val="18"/>
        </w:rPr>
      </w:pPr>
    </w:p>
  </w:footnote>
  <w:footnote w:id="2">
    <w:p w:rsidR="00060E60" w:rsidRDefault="00C4001B">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Регламент (ЕО) № 546/2009 на Европейския парламент и на Съвета от 18 юни 2009 г. за изменение </w:t>
      </w:r>
      <w:r>
        <w:rPr>
          <w:rFonts w:cs="Times New Roman"/>
          <w:sz w:val="18"/>
          <w:szCs w:val="18"/>
        </w:rPr>
        <w:t>на Регламент (ЕО) № 1927/2006 за създаване на Европейски фонд за приспособяване към глобализацията въвежда временна дерогация за разширяване на обхвата на ЕФПГ с включването в него на глобалната финансова и икономическа криза и увеличаване на съфинансиране</w:t>
      </w:r>
      <w:r>
        <w:rPr>
          <w:rFonts w:cs="Times New Roman"/>
          <w:sz w:val="18"/>
          <w:szCs w:val="18"/>
        </w:rPr>
        <w:t xml:space="preserve">то от ЕФПГ на 65 % от общия размер на разходите, което се прилага за всички заявления, получени от 1 май 2009 г. до 31 декември 2011 г. </w:t>
      </w:r>
    </w:p>
    <w:p w:rsidR="00060E60" w:rsidRDefault="00060E60">
      <w:pPr>
        <w:pStyle w:val="FootnoteText"/>
        <w:jc w:val="both"/>
        <w:rPr>
          <w:rFonts w:cs="Times New Roman"/>
          <w:sz w:val="18"/>
          <w:szCs w:val="18"/>
        </w:rPr>
      </w:pPr>
    </w:p>
  </w:footnote>
  <w:footnote w:id="3">
    <w:p w:rsidR="00060E60" w:rsidRDefault="00C4001B">
      <w:pPr>
        <w:pStyle w:val="FootnoteText"/>
        <w:jc w:val="both"/>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Регламент (ЕС) № 1309/2013 на Европейския парламент и на Съвета от 17 декември 2013 г. относно Европейския фонд за п</w:t>
      </w:r>
      <w:r>
        <w:rPr>
          <w:rFonts w:cs="Times New Roman"/>
          <w:sz w:val="18"/>
          <w:szCs w:val="18"/>
        </w:rPr>
        <w:t>риспособяване към глобализацията (2014—2020 г.) и за отмяна на Регламент (ЕО) № 1927/2006.</w:t>
      </w:r>
    </w:p>
    <w:p w:rsidR="00060E60" w:rsidRDefault="00060E60">
      <w:pPr>
        <w:pStyle w:val="FootnoteText"/>
        <w:jc w:val="both"/>
        <w:rPr>
          <w:rFonts w:cs="Times New Roman"/>
          <w:sz w:val="18"/>
          <w:szCs w:val="18"/>
        </w:rPr>
      </w:pPr>
    </w:p>
  </w:footnote>
  <w:footnote w:id="4">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Удължаването на тази дерогация до края на програмния период 2014—2020 г. беше предложено от Комисията и в момента се обсъжда в рамките на прегледа на МФР.</w:t>
      </w:r>
    </w:p>
  </w:footnote>
  <w:footnote w:id="5">
    <w:p w:rsidR="00060E60" w:rsidRDefault="00C4001B">
      <w:pPr>
        <w:pStyle w:val="FootnoteText"/>
        <w:rPr>
          <w:rFonts w:cs="Times New Roman"/>
          <w:color w:val="000000" w:themeColor="text1"/>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color w:val="000000" w:themeColor="text1"/>
          <w:sz w:val="18"/>
          <w:szCs w:val="18"/>
        </w:rPr>
        <w:t>Заявл</w:t>
      </w:r>
      <w:r>
        <w:rPr>
          <w:rFonts w:cs="Times New Roman"/>
          <w:color w:val="000000" w:themeColor="text1"/>
          <w:sz w:val="18"/>
          <w:szCs w:val="18"/>
        </w:rPr>
        <w:t xml:space="preserve">ения, получени от 1 януари 2015 г. до 31 декември 2016 г. </w:t>
      </w:r>
    </w:p>
  </w:footnote>
  <w:footnote w:id="6">
    <w:p w:rsidR="00060E60" w:rsidRDefault="00C4001B">
      <w:pPr>
        <w:spacing w:after="0"/>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color w:val="000000" w:themeColor="text1"/>
          <w:sz w:val="18"/>
          <w:szCs w:val="18"/>
        </w:rPr>
        <w:t>Подробна информация относно оттеглените заявления е предоставена в раздел 3.3.</w:t>
      </w:r>
      <w:r>
        <w:rPr>
          <w:rFonts w:ascii="Times New Roman" w:hAnsi="Times New Roman" w:cs="Times New Roman"/>
          <w:sz w:val="18"/>
          <w:szCs w:val="18"/>
        </w:rPr>
        <w:t xml:space="preserve"> </w:t>
      </w:r>
    </w:p>
  </w:footnote>
  <w:footnote w:id="7">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В тази сума не се включват решенията за техническа помощ. </w:t>
      </w:r>
    </w:p>
  </w:footnote>
  <w:footnote w:id="8">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COM(2016) 605 final.</w:t>
      </w:r>
    </w:p>
  </w:footnote>
  <w:footnote w:id="9">
    <w:p w:rsidR="00060E60" w:rsidRDefault="00C4001B">
      <w:pPr>
        <w:spacing w:after="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 xml:space="preserve">В настоящия доклад терминът </w:t>
      </w:r>
      <w:r>
        <w:rPr>
          <w:rFonts w:ascii="Times New Roman" w:hAnsi="Times New Roman" w:cs="Times New Roman"/>
          <w:sz w:val="18"/>
          <w:szCs w:val="18"/>
        </w:rPr>
        <w:t>„бенефициер“ се отнася до целеви работници и до неактивни, неангажирани с образование или обучение (ННОО) млади хора.</w:t>
      </w:r>
    </w:p>
  </w:footnote>
  <w:footnote w:id="10">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В таблица 2 е представена подробна информация относно средствата, предоставени под формата на финансово участие през 2015 и 2016 г., док</w:t>
      </w:r>
      <w:r>
        <w:rPr>
          <w:rFonts w:cs="Times New Roman"/>
          <w:sz w:val="18"/>
          <w:szCs w:val="18"/>
        </w:rPr>
        <w:t xml:space="preserve">ато в таблица 1 е представена подробна информация относно получените през 2015 и 2016 г. заявления. Случаите в различните таблици може да се различават. </w:t>
      </w:r>
    </w:p>
  </w:footnote>
  <w:footnote w:id="11">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Трите случая EGF/2013/007 BE/Hainaut Steel, EGF/2013/009 PL/Zachem и EGF/2013/011, както и BE/Saint-</w:t>
      </w:r>
      <w:r>
        <w:rPr>
          <w:rFonts w:cs="Times New Roman"/>
          <w:sz w:val="18"/>
          <w:szCs w:val="18"/>
        </w:rPr>
        <w:t xml:space="preserve">Gobain Sekurit бяха получени преди 2014 г., поради което за тях беше приложен старият Регламент (ЕО) № 1927/2006. </w:t>
      </w:r>
    </w:p>
  </w:footnote>
  <w:footnote w:id="12">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В тази сума не се включват решенията за техническа помощ.</w:t>
      </w:r>
    </w:p>
  </w:footnote>
  <w:footnote w:id="13">
    <w:p w:rsidR="00060E60" w:rsidRDefault="00C4001B">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Препоръка на Съвета от 22 април 2013 г. за създаване на гаранция за младежта (О</w:t>
      </w:r>
      <w:r>
        <w:rPr>
          <w:rFonts w:cs="Times New Roman"/>
          <w:sz w:val="18"/>
          <w:szCs w:val="18"/>
        </w:rPr>
        <w:t xml:space="preserve">В C 120, 26.4.2013 г.). Броят на ННОО млади хора, подкрепени от ЕФПГ, не трябва да надвишава броя на бенефициерите от целевата група. </w:t>
      </w:r>
    </w:p>
  </w:footnote>
  <w:footnote w:id="14">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Резултатите по случая EGF/2012/006 FI/Nokia Salo бяха представени в предишния двугодишен доклад, тъй като окончателният</w:t>
      </w:r>
      <w:r>
        <w:rPr>
          <w:rFonts w:cs="Times New Roman"/>
          <w:sz w:val="18"/>
          <w:szCs w:val="18"/>
        </w:rPr>
        <w:t xml:space="preserve"> доклад беше представен през 2014 г., независимо че крайният срок беше определен за 2015 г.</w:t>
      </w:r>
    </w:p>
  </w:footnote>
  <w:footnote w:id="15">
    <w:p w:rsidR="00060E60" w:rsidRDefault="00C4001B">
      <w:pPr>
        <w:pStyle w:val="FootnoteText"/>
        <w:jc w:val="both"/>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 xml:space="preserve">Окончателните доклади се представят в срок от шест месеца след приключване на изпълнението. </w:t>
      </w:r>
    </w:p>
    <w:p w:rsidR="00060E60" w:rsidRDefault="00060E60">
      <w:pPr>
        <w:pStyle w:val="FootnoteText"/>
        <w:jc w:val="both"/>
        <w:rPr>
          <w:rStyle w:val="FootnoteReference"/>
          <w:rFonts w:cs="Times New Roman"/>
          <w:sz w:val="18"/>
          <w:szCs w:val="18"/>
        </w:rPr>
      </w:pPr>
    </w:p>
  </w:footnote>
  <w:footnote w:id="16">
    <w:p w:rsidR="00060E60" w:rsidRDefault="00C4001B">
      <w:pPr>
        <w:pStyle w:val="FootnoteText"/>
        <w:rPr>
          <w:rFonts w:cs="Times New Roman"/>
          <w:spacing w:val="-6"/>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pacing w:val="-6"/>
          <w:sz w:val="18"/>
          <w:szCs w:val="18"/>
        </w:rPr>
        <w:t xml:space="preserve">След влизането в сила на Регламент (ЕС) № 1309/2013 помощите бяха </w:t>
      </w:r>
      <w:r>
        <w:rPr>
          <w:rFonts w:cs="Times New Roman"/>
          <w:spacing w:val="-6"/>
          <w:sz w:val="18"/>
          <w:szCs w:val="18"/>
        </w:rPr>
        <w:t>ограничени до максимум 35 % от общите разходи.</w:t>
      </w:r>
      <w:r>
        <w:rPr>
          <w:rFonts w:cs="Times New Roman"/>
          <w:color w:val="000000" w:themeColor="text1"/>
          <w:spacing w:val="-6"/>
          <w:sz w:val="18"/>
          <w:szCs w:val="18"/>
        </w:rPr>
        <w:t xml:space="preserve"> </w:t>
      </w:r>
    </w:p>
  </w:footnote>
  <w:footnote w:id="17">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Да се отбележи, че тези случаи са различни от онези, които са част от настоящия двугодишен доклад.</w:t>
      </w:r>
      <w:r>
        <w:rPr>
          <w:rFonts w:cs="Times New Roman"/>
          <w:color w:val="000000" w:themeColor="text1"/>
          <w:sz w:val="18"/>
          <w:szCs w:val="18"/>
        </w:rPr>
        <w:t xml:space="preserve"> </w:t>
      </w:r>
      <w:r>
        <w:rPr>
          <w:rFonts w:cs="Times New Roman"/>
          <w:sz w:val="18"/>
          <w:szCs w:val="18"/>
        </w:rPr>
        <w:t xml:space="preserve">Докато настоящият доклад обхваща дейностите на ЕФПГ през 2015 и 2016 г. и включва случаи на мерки за </w:t>
      </w:r>
      <w:r>
        <w:rPr>
          <w:rFonts w:cs="Times New Roman"/>
          <w:sz w:val="18"/>
          <w:szCs w:val="18"/>
        </w:rPr>
        <w:t>подпомагане по линия на ЕФПГ, които са били подадени по предишния Регламент (ЕО) № 1927/2006, средносрочната оценка обхваща всички случаи, подадени по Регламент (ЕС) № 1309/2013.</w:t>
      </w:r>
    </w:p>
    <w:p w:rsidR="00060E60" w:rsidRDefault="00060E60">
      <w:pPr>
        <w:pStyle w:val="FootnoteText"/>
        <w:rPr>
          <w:rFonts w:cs="Times New Roman"/>
          <w:sz w:val="18"/>
          <w:szCs w:val="18"/>
        </w:rPr>
      </w:pPr>
    </w:p>
  </w:footnote>
  <w:footnote w:id="18">
    <w:p w:rsidR="00060E60" w:rsidRPr="002573AB" w:rsidRDefault="00C4001B">
      <w:pPr>
        <w:pStyle w:val="FootnoteText"/>
        <w:rPr>
          <w:rFonts w:cs="Times New Roman"/>
          <w:sz w:val="18"/>
          <w:szCs w:val="18"/>
          <w:lang w:val="ru-RU"/>
        </w:rPr>
      </w:pPr>
      <w:r>
        <w:rPr>
          <w:rStyle w:val="FootnoteReference"/>
          <w:rFonts w:cs="Times New Roman"/>
          <w:sz w:val="18"/>
          <w:szCs w:val="18"/>
        </w:rPr>
        <w:footnoteRef/>
      </w:r>
      <w:r>
        <w:rPr>
          <w:rFonts w:cs="Times New Roman"/>
          <w:sz w:val="18"/>
          <w:szCs w:val="18"/>
        </w:rPr>
        <w:t xml:space="preserve"> COM(2016) 605 final</w:t>
      </w:r>
      <w:r w:rsidRPr="002573AB">
        <w:rPr>
          <w:rFonts w:cs="Times New Roman"/>
          <w:sz w:val="18"/>
          <w:szCs w:val="18"/>
          <w:lang w:val="ru-RU"/>
        </w:rPr>
        <w:t>.</w:t>
      </w:r>
    </w:p>
  </w:footnote>
  <w:footnote w:id="19">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В тази сума не се включват решенията за техническа </w:t>
      </w:r>
      <w:r>
        <w:rPr>
          <w:rFonts w:cs="Times New Roman"/>
          <w:sz w:val="18"/>
          <w:szCs w:val="18"/>
        </w:rPr>
        <w:t>помощ.</w:t>
      </w:r>
    </w:p>
  </w:footnote>
  <w:footnote w:id="20">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ОВ L 347, 20.12.2013 г.</w:t>
      </w:r>
    </w:p>
  </w:footnote>
  <w:footnote w:id="21">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Тези суми се отнасят до гласувания бюджет. </w:t>
      </w:r>
    </w:p>
  </w:footnote>
  <w:footnote w:id="22">
    <w:p w:rsidR="00060E60" w:rsidRDefault="00C4001B">
      <w:pPr>
        <w:pStyle w:val="CommentText"/>
        <w:spacing w:after="0"/>
        <w:rPr>
          <w:rFonts w:cs="Times New Roman"/>
          <w:spacing w:val="-2"/>
          <w:sz w:val="18"/>
          <w:szCs w:val="18"/>
        </w:rPr>
      </w:pPr>
      <w:r>
        <w:rPr>
          <w:rStyle w:val="FootnoteReference"/>
          <w:rFonts w:cs="Times New Roman"/>
          <w:spacing w:val="-2"/>
          <w:sz w:val="18"/>
          <w:szCs w:val="18"/>
        </w:rPr>
        <w:footnoteRef/>
      </w:r>
      <w:r>
        <w:rPr>
          <w:rStyle w:val="FootnoteReference"/>
          <w:rFonts w:cs="Times New Roman"/>
          <w:spacing w:val="-2"/>
          <w:sz w:val="18"/>
          <w:szCs w:val="18"/>
        </w:rPr>
        <w:t xml:space="preserve"> </w:t>
      </w:r>
      <w:r>
        <w:rPr>
          <w:rFonts w:cs="Times New Roman"/>
          <w:spacing w:val="-2"/>
          <w:sz w:val="18"/>
          <w:szCs w:val="18"/>
        </w:rPr>
        <w:t>Участието на ЕФПГ се изплаща на държавите членки на един транш под формата на 100-процентово авансово финансиране в срок от 15 дни след одобрението на решението за мобилизиран</w:t>
      </w:r>
      <w:r>
        <w:rPr>
          <w:rFonts w:cs="Times New Roman"/>
          <w:spacing w:val="-2"/>
          <w:sz w:val="18"/>
          <w:szCs w:val="18"/>
        </w:rPr>
        <w:t>е на ЕФПГ от страна бюджетния орган.</w:t>
      </w:r>
    </w:p>
  </w:footnote>
  <w:footnote w:id="23">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Включително четири решения, мобилизирани през 2014 г. и изплатени през 2015 г.</w:t>
      </w:r>
    </w:p>
  </w:footnote>
  <w:footnote w:id="24">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http://ec.europa.eu/egf — на разположение на всичките 23 езика на ЕС, включително ирландски. </w:t>
      </w:r>
    </w:p>
    <w:p w:rsidR="00060E60" w:rsidRDefault="00060E60">
      <w:pPr>
        <w:pStyle w:val="FootnoteText"/>
        <w:rPr>
          <w:rFonts w:cs="Times New Roman"/>
          <w:sz w:val="18"/>
          <w:szCs w:val="18"/>
        </w:rPr>
      </w:pPr>
    </w:p>
  </w:footnote>
  <w:footnote w:id="25">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 xml:space="preserve">Ако се вземат предвид и 19-те оттеглени или отхвърлени заявления, броят на случаите се увеличава на 166. Оттеглените и отхвърлените заявления не са отчетени в статистиката. </w:t>
      </w:r>
    </w:p>
  </w:footnote>
  <w:footnote w:id="26">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 xml:space="preserve">Брой на бенефициерите от целевата група съгласно оценките на държавите членки. </w:t>
      </w:r>
    </w:p>
  </w:footnote>
  <w:footnote w:id="27">
    <w:p w:rsidR="00060E60" w:rsidRDefault="00C4001B">
      <w:pPr>
        <w:pStyle w:val="FootnoteText"/>
        <w:rPr>
          <w:rFonts w:cs="Times New Roman"/>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През 2007, 2008, 2012 и 2013 г. търговията беше единственият критерий за допустимост.</w:t>
      </w:r>
    </w:p>
  </w:footnote>
  <w:footnote w:id="28">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България подаде заявление EGF/2009/022 Kremikovtsi AD Basic metals, но то беше отхвърлено. </w:t>
      </w:r>
    </w:p>
  </w:footnote>
  <w:footnote w:id="29">
    <w:p w:rsidR="00060E60" w:rsidRDefault="00C4001B">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България заяви 1 082 337 EUR, които обаче не бяха отпуснати, тъй като за</w:t>
      </w:r>
      <w:r>
        <w:rPr>
          <w:rFonts w:cs="Times New Roman"/>
          <w:sz w:val="18"/>
          <w:szCs w:val="18"/>
        </w:rPr>
        <w:t>явлението беше отхвърлено. Ето защо заявената от България сума не е включена в общата сума.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60" w:rsidRDefault="00060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5E6"/>
    <w:multiLevelType w:val="hybridMultilevel"/>
    <w:tmpl w:val="36C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9415E0"/>
    <w:multiLevelType w:val="hybridMultilevel"/>
    <w:tmpl w:val="E39A47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D5703C"/>
    <w:multiLevelType w:val="hybridMultilevel"/>
    <w:tmpl w:val="184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B51E3"/>
    <w:multiLevelType w:val="hybridMultilevel"/>
    <w:tmpl w:val="6E1C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CB8204E"/>
    <w:multiLevelType w:val="hybridMultilevel"/>
    <w:tmpl w:val="0F14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4475EE"/>
    <w:multiLevelType w:val="hybridMultilevel"/>
    <w:tmpl w:val="02FA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F9021B"/>
    <w:multiLevelType w:val="hybridMultilevel"/>
    <w:tmpl w:val="0DE68E32"/>
    <w:lvl w:ilvl="0" w:tplc="08090001">
      <w:start w:val="1"/>
      <w:numFmt w:val="bullet"/>
      <w:lvlText w:val=""/>
      <w:lvlJc w:val="left"/>
      <w:pPr>
        <w:ind w:left="912" w:hanging="360"/>
      </w:pPr>
      <w:rPr>
        <w:rFonts w:ascii="Symbol" w:hAnsi="Symbol" w:hint="default"/>
      </w:rPr>
    </w:lvl>
    <w:lvl w:ilvl="1" w:tplc="08090003">
      <w:start w:val="1"/>
      <w:numFmt w:val="bullet"/>
      <w:lvlText w:val="o"/>
      <w:lvlJc w:val="left"/>
      <w:pPr>
        <w:ind w:left="1632" w:hanging="360"/>
      </w:pPr>
      <w:rPr>
        <w:rFonts w:ascii="Courier New" w:hAnsi="Courier New" w:cs="Times New Roman" w:hint="default"/>
      </w:rPr>
    </w:lvl>
    <w:lvl w:ilvl="2" w:tplc="08090005">
      <w:start w:val="1"/>
      <w:numFmt w:val="bullet"/>
      <w:lvlText w:val=""/>
      <w:lvlJc w:val="left"/>
      <w:pPr>
        <w:ind w:left="2352" w:hanging="360"/>
      </w:pPr>
      <w:rPr>
        <w:rFonts w:ascii="Wingdings" w:hAnsi="Wingdings" w:hint="default"/>
      </w:rPr>
    </w:lvl>
    <w:lvl w:ilvl="3" w:tplc="08090001">
      <w:start w:val="1"/>
      <w:numFmt w:val="bullet"/>
      <w:lvlText w:val=""/>
      <w:lvlJc w:val="left"/>
      <w:pPr>
        <w:ind w:left="3072" w:hanging="360"/>
      </w:pPr>
      <w:rPr>
        <w:rFonts w:ascii="Symbol" w:hAnsi="Symbol" w:hint="default"/>
      </w:rPr>
    </w:lvl>
    <w:lvl w:ilvl="4" w:tplc="08090003">
      <w:start w:val="1"/>
      <w:numFmt w:val="bullet"/>
      <w:lvlText w:val="o"/>
      <w:lvlJc w:val="left"/>
      <w:pPr>
        <w:ind w:left="3792" w:hanging="360"/>
      </w:pPr>
      <w:rPr>
        <w:rFonts w:ascii="Courier New" w:hAnsi="Courier New" w:cs="Times New Roman" w:hint="default"/>
      </w:rPr>
    </w:lvl>
    <w:lvl w:ilvl="5" w:tplc="08090005">
      <w:start w:val="1"/>
      <w:numFmt w:val="bullet"/>
      <w:lvlText w:val=""/>
      <w:lvlJc w:val="left"/>
      <w:pPr>
        <w:ind w:left="4512" w:hanging="360"/>
      </w:pPr>
      <w:rPr>
        <w:rFonts w:ascii="Wingdings" w:hAnsi="Wingdings" w:hint="default"/>
      </w:rPr>
    </w:lvl>
    <w:lvl w:ilvl="6" w:tplc="08090001">
      <w:start w:val="1"/>
      <w:numFmt w:val="bullet"/>
      <w:lvlText w:val=""/>
      <w:lvlJc w:val="left"/>
      <w:pPr>
        <w:ind w:left="5232" w:hanging="360"/>
      </w:pPr>
      <w:rPr>
        <w:rFonts w:ascii="Symbol" w:hAnsi="Symbol" w:hint="default"/>
      </w:rPr>
    </w:lvl>
    <w:lvl w:ilvl="7" w:tplc="08090003">
      <w:start w:val="1"/>
      <w:numFmt w:val="bullet"/>
      <w:lvlText w:val="o"/>
      <w:lvlJc w:val="left"/>
      <w:pPr>
        <w:ind w:left="5952" w:hanging="360"/>
      </w:pPr>
      <w:rPr>
        <w:rFonts w:ascii="Courier New" w:hAnsi="Courier New" w:cs="Times New Roman" w:hint="default"/>
      </w:rPr>
    </w:lvl>
    <w:lvl w:ilvl="8" w:tplc="08090005">
      <w:start w:val="1"/>
      <w:numFmt w:val="bullet"/>
      <w:lvlText w:val=""/>
      <w:lvlJc w:val="left"/>
      <w:pPr>
        <w:ind w:left="6672" w:hanging="360"/>
      </w:pPr>
      <w:rPr>
        <w:rFonts w:ascii="Wingdings" w:hAnsi="Wingdings" w:hint="default"/>
      </w:rPr>
    </w:lvl>
  </w:abstractNum>
  <w:abstractNum w:abstractNumId="7">
    <w:nsid w:val="5FA8089B"/>
    <w:multiLevelType w:val="hybridMultilevel"/>
    <w:tmpl w:val="A81A6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66139F"/>
    <w:multiLevelType w:val="hybridMultilevel"/>
    <w:tmpl w:val="F5A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066A71"/>
    <w:multiLevelType w:val="hybridMultilevel"/>
    <w:tmpl w:val="A300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0067F4"/>
    <w:multiLevelType w:val="hybridMultilevel"/>
    <w:tmpl w:val="A844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74005A"/>
    <w:multiLevelType w:val="hybridMultilevel"/>
    <w:tmpl w:val="5F50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3"/>
  </w:num>
  <w:num w:numId="5">
    <w:abstractNumId w:val="2"/>
  </w:num>
  <w:num w:numId="6">
    <w:abstractNumId w:val="4"/>
  </w:num>
  <w:num w:numId="7">
    <w:abstractNumId w:val="10"/>
  </w:num>
  <w:num w:numId="8">
    <w:abstractNumId w:val="8"/>
  </w:num>
  <w:num w:numId="9">
    <w:abstractNumId w:val="6"/>
  </w:num>
  <w:num w:numId="10">
    <w:abstractNumId w:val="0"/>
  </w:num>
  <w:num w:numId="11">
    <w:abstractNumId w:val="1"/>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zyna Meyers">
    <w15:presenceInfo w15:providerId="Windows Live" w15:userId="987b20b895e449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4926164-46CB-4391-8D73-8565E8C6535F"/>
    <w:docVar w:name="LW_COVERPAGE_TYPE" w:val="1"/>
    <w:docVar w:name="LW_CROSSREFERENCE" w:val="&lt;UNUSED&gt;"/>
    <w:docVar w:name="LW_DocType" w:val="NORMAL"/>
    <w:docVar w:name="LW_EMISSION" w:val="31.10.2017"/>
    <w:docVar w:name="LW_EMISSION_ISODATE" w:val="2017-10-31"/>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63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1086?\u1090?\u1085?\u1086?\u1089?\u1085?\u1086? \u1076?\u1077?\u1081?\u1085?\u1086?\u1089?\u1090?\u1080?\u1090?\u1077? \u1085?\u1072? \u1045?\u1074?\u1088?\u1086?\u1087?\u1077?\u1081?\u1089?\u1082?\u1080?\u1103? \u1092?\u1086?\u1085?\u1076? \u1079?\u1072? \u1087?\u1088?\u1080?\u1089?\u1087?\u1086?\u1089?\u1086?\u1073?\u1103?\u1074?\u1072?\u1085?\u1077? \u1082?\u1098?\u1084? \u1075?\u1083?\u1086?\u1073?\u1072?\u1083?\u1080?\u1079?\u1072?\u1094?\u1080?\u1103?\u1090?\u1072? \u1087?\u1088?\u1077?\u1079? 2015 \u1080? 2016 \u1075?."/>
    <w:docVar w:name="LW_TYPE.DOC.CP" w:val="\u1044?\u1054?\u1050?\u1051?\u1040?\u1044? \u1053?\u1040? \u1050?\u1054?\u1052?\u1048?\u1057?\u1048?\u1071?\u1058?\u1040? \u1044?\u1054? \u1045?\u1042?\u1056?\u1054?\u1055?\u1045?\u1049?\u1057?\u1050?\u1048?\u1071? \u1055?\u1040?\u1056?\u1051?\u1040?\u1052?\u1045?\u1053?\u1058? \u1048? \u1057?\u1066?\u1042?\u1045?\u1058?\u1040?"/>
  </w:docVars>
  <w:rsids>
    <w:rsidRoot w:val="00060E60"/>
    <w:rsid w:val="00060E60"/>
    <w:rsid w:val="002573AB"/>
    <w:rsid w:val="00C4001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lang w:eastAsia="en-US" w:bidi="ar-SA"/>
    </w:rPr>
  </w:style>
  <w:style w:type="character" w:customStyle="1" w:styleId="FooterChar">
    <w:name w:val="Footer Char"/>
    <w:basedOn w:val="DefaultParagraphFont"/>
    <w:link w:val="Footer"/>
    <w:uiPriority w:val="99"/>
    <w:rPr>
      <w:rFonts w:ascii="Times New Roman" w:hAnsi="Times New Roman" w:cs="Times New Roman"/>
      <w:sz w:val="24"/>
      <w:lang w:eastAsia="en-US" w:bidi="ar-SA"/>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bg-BG"/>
    </w:rPr>
  </w:style>
  <w:style w:type="character" w:customStyle="1" w:styleId="FooterCoverPageChar">
    <w:name w:val="Footer Cover Page Char"/>
    <w:basedOn w:val="TypedudocumentChar"/>
    <w:link w:val="FooterCoverPage"/>
    <w:rPr>
      <w:rFonts w:ascii="Times New Roman" w:hAnsi="Times New Roman" w:cs="Times New Roman"/>
      <w:b w:val="0"/>
      <w:sz w:val="24"/>
      <w:lang w:val="bg-BG"/>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bg-BG"/>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bg-BG"/>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bg-BG"/>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bg-BG"/>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pPr>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spacing w:after="100"/>
      <w:ind w:left="220"/>
    </w:pPr>
    <w:rPr>
      <w:rFonts w:ascii="Times New Roman" w:eastAsiaTheme="minorEastAsia" w:hAnsi="Times New Roman"/>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bg-BG"/>
    </w:rPr>
  </w:style>
  <w:style w:type="character" w:styleId="FootnoteReference">
    <w:name w:val="footnote reference"/>
    <w:basedOn w:val="DefaultParagraphFont"/>
    <w:uiPriority w:val="99"/>
    <w:semiHidden/>
    <w:unhideWhenUsed/>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bg-BG"/>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bg-BG"/>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paragraph" w:styleId="BodyText">
    <w:name w:val="Body Text"/>
    <w:aliases w:val="F2 Body Text,Document,Doc,Body Text2,doc,Standard paragraph,Text,(Norm),Body Text 12,bt,gl,uvlaka 2,heading3,Body Text - Level 2,1body,BodText,body text,Body Txt,Body Text-10,Τίτλος Μελέτης,- TF,Text Char1,-,b., (Norm),- "/>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Norm) Char,Body Text 12 Char,bt Char,gl Char,uvlaka 2 Char,heading3 Char,Body Text - Level 2 Char,1body Char,BodText Char,body text Char"/>
    <w:basedOn w:val="DefaultParagraphFont"/>
    <w:link w:val="BodyText"/>
    <w:uiPriority w:val="1"/>
    <w:rPr>
      <w:rFonts w:ascii="Verdana" w:hAnsi="Verdana"/>
      <w:color w:val="000000" w:themeColor="text1"/>
      <w:sz w:val="20"/>
      <w:lang w:val="bg-BG"/>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lang w:eastAsia="en-US" w:bidi="ar-SA"/>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lang w:eastAsia="en-US" w:bidi="ar-SA"/>
    </w:rPr>
  </w:style>
  <w:style w:type="character" w:customStyle="1" w:styleId="FooterChar">
    <w:name w:val="Footer Char"/>
    <w:basedOn w:val="DefaultParagraphFont"/>
    <w:link w:val="Footer"/>
    <w:uiPriority w:val="99"/>
    <w:rPr>
      <w:rFonts w:ascii="Times New Roman" w:hAnsi="Times New Roman" w:cs="Times New Roman"/>
      <w:sz w:val="24"/>
      <w:lang w:eastAsia="en-US" w:bidi="ar-SA"/>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bg-BG"/>
    </w:rPr>
  </w:style>
  <w:style w:type="character" w:customStyle="1" w:styleId="FooterCoverPageChar">
    <w:name w:val="Footer Cover Page Char"/>
    <w:basedOn w:val="TypedudocumentChar"/>
    <w:link w:val="FooterCoverPage"/>
    <w:rPr>
      <w:rFonts w:ascii="Times New Roman" w:hAnsi="Times New Roman" w:cs="Times New Roman"/>
      <w:b w:val="0"/>
      <w:sz w:val="24"/>
      <w:lang w:val="bg-BG"/>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bg-BG"/>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bg-BG"/>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bg-BG"/>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bg-BG"/>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pPr>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spacing w:after="100"/>
      <w:ind w:left="220"/>
    </w:pPr>
    <w:rPr>
      <w:rFonts w:ascii="Times New Roman" w:eastAsiaTheme="minorEastAsia" w:hAnsi="Times New Roman"/>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bg-BG"/>
    </w:rPr>
  </w:style>
  <w:style w:type="character" w:styleId="FootnoteReference">
    <w:name w:val="footnote reference"/>
    <w:basedOn w:val="DefaultParagraphFont"/>
    <w:uiPriority w:val="99"/>
    <w:semiHidden/>
    <w:unhideWhenUsed/>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bg-BG"/>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bg-BG"/>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paragraph" w:styleId="BodyText">
    <w:name w:val="Body Text"/>
    <w:aliases w:val="F2 Body Text,Document,Doc,Body Text2,doc,Standard paragraph,Text,(Norm),Body Text 12,bt,gl,uvlaka 2,heading3,Body Text - Level 2,1body,BodText,body text,Body Txt,Body Text-10,Τίτλος Μελέτης,- TF,Text Char1,-,b., (Norm),- "/>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Norm) Char,Body Text 12 Char,bt Char,gl Char,uvlaka 2 Char,heading3 Char,Body Text - Level 2 Char,1body Char,BodText Char,body text Char"/>
    <w:basedOn w:val="DefaultParagraphFont"/>
    <w:link w:val="BodyText"/>
    <w:uiPriority w:val="1"/>
    <w:rPr>
      <w:rFonts w:ascii="Verdana" w:hAnsi="Verdana"/>
      <w:color w:val="000000" w:themeColor="text1"/>
      <w:sz w:val="20"/>
      <w:lang w:val="bg-BG"/>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lang w:eastAsia="en-US" w:bidi="ar-SA"/>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82616">
      <w:bodyDiv w:val="1"/>
      <w:marLeft w:val="0"/>
      <w:marRight w:val="0"/>
      <w:marTop w:val="0"/>
      <w:marBottom w:val="0"/>
      <w:divBdr>
        <w:top w:val="none" w:sz="0" w:space="0" w:color="auto"/>
        <w:left w:val="none" w:sz="0" w:space="0" w:color="auto"/>
        <w:bottom w:val="none" w:sz="0" w:space="0" w:color="auto"/>
        <w:right w:val="none" w:sz="0" w:space="0" w:color="auto"/>
      </w:divBdr>
    </w:div>
    <w:div w:id="132334785">
      <w:bodyDiv w:val="1"/>
      <w:marLeft w:val="0"/>
      <w:marRight w:val="0"/>
      <w:marTop w:val="0"/>
      <w:marBottom w:val="0"/>
      <w:divBdr>
        <w:top w:val="none" w:sz="0" w:space="0" w:color="auto"/>
        <w:left w:val="none" w:sz="0" w:space="0" w:color="auto"/>
        <w:bottom w:val="none" w:sz="0" w:space="0" w:color="auto"/>
        <w:right w:val="none" w:sz="0" w:space="0" w:color="auto"/>
      </w:divBdr>
    </w:div>
    <w:div w:id="147670809">
      <w:bodyDiv w:val="1"/>
      <w:marLeft w:val="0"/>
      <w:marRight w:val="0"/>
      <w:marTop w:val="0"/>
      <w:marBottom w:val="0"/>
      <w:divBdr>
        <w:top w:val="none" w:sz="0" w:space="0" w:color="auto"/>
        <w:left w:val="none" w:sz="0" w:space="0" w:color="auto"/>
        <w:bottom w:val="none" w:sz="0" w:space="0" w:color="auto"/>
        <w:right w:val="none" w:sz="0" w:space="0" w:color="auto"/>
      </w:divBdr>
    </w:div>
    <w:div w:id="150408134">
      <w:bodyDiv w:val="1"/>
      <w:marLeft w:val="0"/>
      <w:marRight w:val="0"/>
      <w:marTop w:val="0"/>
      <w:marBottom w:val="0"/>
      <w:divBdr>
        <w:top w:val="none" w:sz="0" w:space="0" w:color="auto"/>
        <w:left w:val="none" w:sz="0" w:space="0" w:color="auto"/>
        <w:bottom w:val="none" w:sz="0" w:space="0" w:color="auto"/>
        <w:right w:val="none" w:sz="0" w:space="0" w:color="auto"/>
      </w:divBdr>
    </w:div>
    <w:div w:id="236062788">
      <w:bodyDiv w:val="1"/>
      <w:marLeft w:val="0"/>
      <w:marRight w:val="0"/>
      <w:marTop w:val="0"/>
      <w:marBottom w:val="0"/>
      <w:divBdr>
        <w:top w:val="none" w:sz="0" w:space="0" w:color="auto"/>
        <w:left w:val="none" w:sz="0" w:space="0" w:color="auto"/>
        <w:bottom w:val="none" w:sz="0" w:space="0" w:color="auto"/>
        <w:right w:val="none" w:sz="0" w:space="0" w:color="auto"/>
      </w:divBdr>
    </w:div>
    <w:div w:id="287668843">
      <w:bodyDiv w:val="1"/>
      <w:marLeft w:val="0"/>
      <w:marRight w:val="0"/>
      <w:marTop w:val="0"/>
      <w:marBottom w:val="0"/>
      <w:divBdr>
        <w:top w:val="none" w:sz="0" w:space="0" w:color="auto"/>
        <w:left w:val="none" w:sz="0" w:space="0" w:color="auto"/>
        <w:bottom w:val="none" w:sz="0" w:space="0" w:color="auto"/>
        <w:right w:val="none" w:sz="0" w:space="0" w:color="auto"/>
      </w:divBdr>
    </w:div>
    <w:div w:id="388891400">
      <w:bodyDiv w:val="1"/>
      <w:marLeft w:val="0"/>
      <w:marRight w:val="0"/>
      <w:marTop w:val="0"/>
      <w:marBottom w:val="0"/>
      <w:divBdr>
        <w:top w:val="none" w:sz="0" w:space="0" w:color="auto"/>
        <w:left w:val="none" w:sz="0" w:space="0" w:color="auto"/>
        <w:bottom w:val="none" w:sz="0" w:space="0" w:color="auto"/>
        <w:right w:val="none" w:sz="0" w:space="0" w:color="auto"/>
      </w:divBdr>
    </w:div>
    <w:div w:id="527111329">
      <w:bodyDiv w:val="1"/>
      <w:marLeft w:val="0"/>
      <w:marRight w:val="0"/>
      <w:marTop w:val="0"/>
      <w:marBottom w:val="0"/>
      <w:divBdr>
        <w:top w:val="none" w:sz="0" w:space="0" w:color="auto"/>
        <w:left w:val="none" w:sz="0" w:space="0" w:color="auto"/>
        <w:bottom w:val="none" w:sz="0" w:space="0" w:color="auto"/>
        <w:right w:val="none" w:sz="0" w:space="0" w:color="auto"/>
      </w:divBdr>
    </w:div>
    <w:div w:id="574239743">
      <w:bodyDiv w:val="1"/>
      <w:marLeft w:val="0"/>
      <w:marRight w:val="0"/>
      <w:marTop w:val="0"/>
      <w:marBottom w:val="0"/>
      <w:divBdr>
        <w:top w:val="none" w:sz="0" w:space="0" w:color="auto"/>
        <w:left w:val="none" w:sz="0" w:space="0" w:color="auto"/>
        <w:bottom w:val="none" w:sz="0" w:space="0" w:color="auto"/>
        <w:right w:val="none" w:sz="0" w:space="0" w:color="auto"/>
      </w:divBdr>
    </w:div>
    <w:div w:id="611592543">
      <w:bodyDiv w:val="1"/>
      <w:marLeft w:val="0"/>
      <w:marRight w:val="0"/>
      <w:marTop w:val="0"/>
      <w:marBottom w:val="0"/>
      <w:divBdr>
        <w:top w:val="none" w:sz="0" w:space="0" w:color="auto"/>
        <w:left w:val="none" w:sz="0" w:space="0" w:color="auto"/>
        <w:bottom w:val="none" w:sz="0" w:space="0" w:color="auto"/>
        <w:right w:val="none" w:sz="0" w:space="0" w:color="auto"/>
      </w:divBdr>
    </w:div>
    <w:div w:id="634455416">
      <w:bodyDiv w:val="1"/>
      <w:marLeft w:val="0"/>
      <w:marRight w:val="0"/>
      <w:marTop w:val="0"/>
      <w:marBottom w:val="0"/>
      <w:divBdr>
        <w:top w:val="none" w:sz="0" w:space="0" w:color="auto"/>
        <w:left w:val="none" w:sz="0" w:space="0" w:color="auto"/>
        <w:bottom w:val="none" w:sz="0" w:space="0" w:color="auto"/>
        <w:right w:val="none" w:sz="0" w:space="0" w:color="auto"/>
      </w:divBdr>
    </w:div>
    <w:div w:id="647898903">
      <w:bodyDiv w:val="1"/>
      <w:marLeft w:val="0"/>
      <w:marRight w:val="0"/>
      <w:marTop w:val="0"/>
      <w:marBottom w:val="0"/>
      <w:divBdr>
        <w:top w:val="none" w:sz="0" w:space="0" w:color="auto"/>
        <w:left w:val="none" w:sz="0" w:space="0" w:color="auto"/>
        <w:bottom w:val="none" w:sz="0" w:space="0" w:color="auto"/>
        <w:right w:val="none" w:sz="0" w:space="0" w:color="auto"/>
      </w:divBdr>
    </w:div>
    <w:div w:id="730688892">
      <w:bodyDiv w:val="1"/>
      <w:marLeft w:val="0"/>
      <w:marRight w:val="0"/>
      <w:marTop w:val="0"/>
      <w:marBottom w:val="0"/>
      <w:divBdr>
        <w:top w:val="none" w:sz="0" w:space="0" w:color="auto"/>
        <w:left w:val="none" w:sz="0" w:space="0" w:color="auto"/>
        <w:bottom w:val="none" w:sz="0" w:space="0" w:color="auto"/>
        <w:right w:val="none" w:sz="0" w:space="0" w:color="auto"/>
      </w:divBdr>
    </w:div>
    <w:div w:id="770392620">
      <w:bodyDiv w:val="1"/>
      <w:marLeft w:val="0"/>
      <w:marRight w:val="0"/>
      <w:marTop w:val="0"/>
      <w:marBottom w:val="0"/>
      <w:divBdr>
        <w:top w:val="none" w:sz="0" w:space="0" w:color="auto"/>
        <w:left w:val="none" w:sz="0" w:space="0" w:color="auto"/>
        <w:bottom w:val="none" w:sz="0" w:space="0" w:color="auto"/>
        <w:right w:val="none" w:sz="0" w:space="0" w:color="auto"/>
      </w:divBdr>
    </w:div>
    <w:div w:id="845940971">
      <w:bodyDiv w:val="1"/>
      <w:marLeft w:val="0"/>
      <w:marRight w:val="0"/>
      <w:marTop w:val="0"/>
      <w:marBottom w:val="0"/>
      <w:divBdr>
        <w:top w:val="none" w:sz="0" w:space="0" w:color="auto"/>
        <w:left w:val="none" w:sz="0" w:space="0" w:color="auto"/>
        <w:bottom w:val="none" w:sz="0" w:space="0" w:color="auto"/>
        <w:right w:val="none" w:sz="0" w:space="0" w:color="auto"/>
      </w:divBdr>
    </w:div>
    <w:div w:id="871914435">
      <w:bodyDiv w:val="1"/>
      <w:marLeft w:val="0"/>
      <w:marRight w:val="0"/>
      <w:marTop w:val="0"/>
      <w:marBottom w:val="0"/>
      <w:divBdr>
        <w:top w:val="none" w:sz="0" w:space="0" w:color="auto"/>
        <w:left w:val="none" w:sz="0" w:space="0" w:color="auto"/>
        <w:bottom w:val="none" w:sz="0" w:space="0" w:color="auto"/>
        <w:right w:val="none" w:sz="0" w:space="0" w:color="auto"/>
      </w:divBdr>
    </w:div>
    <w:div w:id="925531292">
      <w:bodyDiv w:val="1"/>
      <w:marLeft w:val="0"/>
      <w:marRight w:val="0"/>
      <w:marTop w:val="0"/>
      <w:marBottom w:val="0"/>
      <w:divBdr>
        <w:top w:val="none" w:sz="0" w:space="0" w:color="auto"/>
        <w:left w:val="none" w:sz="0" w:space="0" w:color="auto"/>
        <w:bottom w:val="none" w:sz="0" w:space="0" w:color="auto"/>
        <w:right w:val="none" w:sz="0" w:space="0" w:color="auto"/>
      </w:divBdr>
    </w:div>
    <w:div w:id="979462407">
      <w:bodyDiv w:val="1"/>
      <w:marLeft w:val="0"/>
      <w:marRight w:val="0"/>
      <w:marTop w:val="0"/>
      <w:marBottom w:val="0"/>
      <w:divBdr>
        <w:top w:val="none" w:sz="0" w:space="0" w:color="auto"/>
        <w:left w:val="none" w:sz="0" w:space="0" w:color="auto"/>
        <w:bottom w:val="none" w:sz="0" w:space="0" w:color="auto"/>
        <w:right w:val="none" w:sz="0" w:space="0" w:color="auto"/>
      </w:divBdr>
    </w:div>
    <w:div w:id="1001353710">
      <w:bodyDiv w:val="1"/>
      <w:marLeft w:val="0"/>
      <w:marRight w:val="0"/>
      <w:marTop w:val="0"/>
      <w:marBottom w:val="0"/>
      <w:divBdr>
        <w:top w:val="none" w:sz="0" w:space="0" w:color="auto"/>
        <w:left w:val="none" w:sz="0" w:space="0" w:color="auto"/>
        <w:bottom w:val="none" w:sz="0" w:space="0" w:color="auto"/>
        <w:right w:val="none" w:sz="0" w:space="0" w:color="auto"/>
      </w:divBdr>
    </w:div>
    <w:div w:id="1094280798">
      <w:bodyDiv w:val="1"/>
      <w:marLeft w:val="0"/>
      <w:marRight w:val="0"/>
      <w:marTop w:val="0"/>
      <w:marBottom w:val="0"/>
      <w:divBdr>
        <w:top w:val="none" w:sz="0" w:space="0" w:color="auto"/>
        <w:left w:val="none" w:sz="0" w:space="0" w:color="auto"/>
        <w:bottom w:val="none" w:sz="0" w:space="0" w:color="auto"/>
        <w:right w:val="none" w:sz="0" w:space="0" w:color="auto"/>
      </w:divBdr>
    </w:div>
    <w:div w:id="1145002456">
      <w:bodyDiv w:val="1"/>
      <w:marLeft w:val="0"/>
      <w:marRight w:val="0"/>
      <w:marTop w:val="0"/>
      <w:marBottom w:val="0"/>
      <w:divBdr>
        <w:top w:val="none" w:sz="0" w:space="0" w:color="auto"/>
        <w:left w:val="none" w:sz="0" w:space="0" w:color="auto"/>
        <w:bottom w:val="none" w:sz="0" w:space="0" w:color="auto"/>
        <w:right w:val="none" w:sz="0" w:space="0" w:color="auto"/>
      </w:divBdr>
    </w:div>
    <w:div w:id="1154443877">
      <w:bodyDiv w:val="1"/>
      <w:marLeft w:val="0"/>
      <w:marRight w:val="0"/>
      <w:marTop w:val="0"/>
      <w:marBottom w:val="0"/>
      <w:divBdr>
        <w:top w:val="none" w:sz="0" w:space="0" w:color="auto"/>
        <w:left w:val="none" w:sz="0" w:space="0" w:color="auto"/>
        <w:bottom w:val="none" w:sz="0" w:space="0" w:color="auto"/>
        <w:right w:val="none" w:sz="0" w:space="0" w:color="auto"/>
      </w:divBdr>
    </w:div>
    <w:div w:id="1164004477">
      <w:bodyDiv w:val="1"/>
      <w:marLeft w:val="0"/>
      <w:marRight w:val="0"/>
      <w:marTop w:val="0"/>
      <w:marBottom w:val="0"/>
      <w:divBdr>
        <w:top w:val="none" w:sz="0" w:space="0" w:color="auto"/>
        <w:left w:val="none" w:sz="0" w:space="0" w:color="auto"/>
        <w:bottom w:val="none" w:sz="0" w:space="0" w:color="auto"/>
        <w:right w:val="none" w:sz="0" w:space="0" w:color="auto"/>
      </w:divBdr>
    </w:div>
    <w:div w:id="1168130343">
      <w:bodyDiv w:val="1"/>
      <w:marLeft w:val="0"/>
      <w:marRight w:val="0"/>
      <w:marTop w:val="0"/>
      <w:marBottom w:val="0"/>
      <w:divBdr>
        <w:top w:val="none" w:sz="0" w:space="0" w:color="auto"/>
        <w:left w:val="none" w:sz="0" w:space="0" w:color="auto"/>
        <w:bottom w:val="none" w:sz="0" w:space="0" w:color="auto"/>
        <w:right w:val="none" w:sz="0" w:space="0" w:color="auto"/>
      </w:divBdr>
    </w:div>
    <w:div w:id="1176575850">
      <w:bodyDiv w:val="1"/>
      <w:marLeft w:val="0"/>
      <w:marRight w:val="0"/>
      <w:marTop w:val="0"/>
      <w:marBottom w:val="0"/>
      <w:divBdr>
        <w:top w:val="none" w:sz="0" w:space="0" w:color="auto"/>
        <w:left w:val="none" w:sz="0" w:space="0" w:color="auto"/>
        <w:bottom w:val="none" w:sz="0" w:space="0" w:color="auto"/>
        <w:right w:val="none" w:sz="0" w:space="0" w:color="auto"/>
      </w:divBdr>
    </w:div>
    <w:div w:id="1214536968">
      <w:bodyDiv w:val="1"/>
      <w:marLeft w:val="0"/>
      <w:marRight w:val="0"/>
      <w:marTop w:val="0"/>
      <w:marBottom w:val="0"/>
      <w:divBdr>
        <w:top w:val="none" w:sz="0" w:space="0" w:color="auto"/>
        <w:left w:val="none" w:sz="0" w:space="0" w:color="auto"/>
        <w:bottom w:val="none" w:sz="0" w:space="0" w:color="auto"/>
        <w:right w:val="none" w:sz="0" w:space="0" w:color="auto"/>
      </w:divBdr>
    </w:div>
    <w:div w:id="1241599514">
      <w:bodyDiv w:val="1"/>
      <w:marLeft w:val="0"/>
      <w:marRight w:val="0"/>
      <w:marTop w:val="0"/>
      <w:marBottom w:val="0"/>
      <w:divBdr>
        <w:top w:val="none" w:sz="0" w:space="0" w:color="auto"/>
        <w:left w:val="none" w:sz="0" w:space="0" w:color="auto"/>
        <w:bottom w:val="none" w:sz="0" w:space="0" w:color="auto"/>
        <w:right w:val="none" w:sz="0" w:space="0" w:color="auto"/>
      </w:divBdr>
    </w:div>
    <w:div w:id="1271158709">
      <w:bodyDiv w:val="1"/>
      <w:marLeft w:val="0"/>
      <w:marRight w:val="0"/>
      <w:marTop w:val="0"/>
      <w:marBottom w:val="0"/>
      <w:divBdr>
        <w:top w:val="none" w:sz="0" w:space="0" w:color="auto"/>
        <w:left w:val="none" w:sz="0" w:space="0" w:color="auto"/>
        <w:bottom w:val="none" w:sz="0" w:space="0" w:color="auto"/>
        <w:right w:val="none" w:sz="0" w:space="0" w:color="auto"/>
      </w:divBdr>
    </w:div>
    <w:div w:id="1534346214">
      <w:bodyDiv w:val="1"/>
      <w:marLeft w:val="0"/>
      <w:marRight w:val="0"/>
      <w:marTop w:val="0"/>
      <w:marBottom w:val="0"/>
      <w:divBdr>
        <w:top w:val="none" w:sz="0" w:space="0" w:color="auto"/>
        <w:left w:val="none" w:sz="0" w:space="0" w:color="auto"/>
        <w:bottom w:val="none" w:sz="0" w:space="0" w:color="auto"/>
        <w:right w:val="none" w:sz="0" w:space="0" w:color="auto"/>
      </w:divBdr>
    </w:div>
    <w:div w:id="1600022958">
      <w:bodyDiv w:val="1"/>
      <w:marLeft w:val="0"/>
      <w:marRight w:val="0"/>
      <w:marTop w:val="0"/>
      <w:marBottom w:val="0"/>
      <w:divBdr>
        <w:top w:val="none" w:sz="0" w:space="0" w:color="auto"/>
        <w:left w:val="none" w:sz="0" w:space="0" w:color="auto"/>
        <w:bottom w:val="none" w:sz="0" w:space="0" w:color="auto"/>
        <w:right w:val="none" w:sz="0" w:space="0" w:color="auto"/>
      </w:divBdr>
    </w:div>
    <w:div w:id="1611280162">
      <w:bodyDiv w:val="1"/>
      <w:marLeft w:val="0"/>
      <w:marRight w:val="0"/>
      <w:marTop w:val="0"/>
      <w:marBottom w:val="0"/>
      <w:divBdr>
        <w:top w:val="none" w:sz="0" w:space="0" w:color="auto"/>
        <w:left w:val="none" w:sz="0" w:space="0" w:color="auto"/>
        <w:bottom w:val="none" w:sz="0" w:space="0" w:color="auto"/>
        <w:right w:val="none" w:sz="0" w:space="0" w:color="auto"/>
      </w:divBdr>
    </w:div>
    <w:div w:id="1617834617">
      <w:bodyDiv w:val="1"/>
      <w:marLeft w:val="0"/>
      <w:marRight w:val="0"/>
      <w:marTop w:val="0"/>
      <w:marBottom w:val="0"/>
      <w:divBdr>
        <w:top w:val="none" w:sz="0" w:space="0" w:color="auto"/>
        <w:left w:val="none" w:sz="0" w:space="0" w:color="auto"/>
        <w:bottom w:val="none" w:sz="0" w:space="0" w:color="auto"/>
        <w:right w:val="none" w:sz="0" w:space="0" w:color="auto"/>
      </w:divBdr>
    </w:div>
    <w:div w:id="1757633172">
      <w:bodyDiv w:val="1"/>
      <w:marLeft w:val="0"/>
      <w:marRight w:val="0"/>
      <w:marTop w:val="0"/>
      <w:marBottom w:val="0"/>
      <w:divBdr>
        <w:top w:val="none" w:sz="0" w:space="0" w:color="auto"/>
        <w:left w:val="none" w:sz="0" w:space="0" w:color="auto"/>
        <w:bottom w:val="none" w:sz="0" w:space="0" w:color="auto"/>
        <w:right w:val="none" w:sz="0" w:space="0" w:color="auto"/>
      </w:divBdr>
    </w:div>
    <w:div w:id="1772822251">
      <w:bodyDiv w:val="1"/>
      <w:marLeft w:val="0"/>
      <w:marRight w:val="0"/>
      <w:marTop w:val="0"/>
      <w:marBottom w:val="0"/>
      <w:divBdr>
        <w:top w:val="none" w:sz="0" w:space="0" w:color="auto"/>
        <w:left w:val="none" w:sz="0" w:space="0" w:color="auto"/>
        <w:bottom w:val="none" w:sz="0" w:space="0" w:color="auto"/>
        <w:right w:val="none" w:sz="0" w:space="0" w:color="auto"/>
      </w:divBdr>
    </w:div>
    <w:div w:id="1831676910">
      <w:bodyDiv w:val="1"/>
      <w:marLeft w:val="0"/>
      <w:marRight w:val="0"/>
      <w:marTop w:val="0"/>
      <w:marBottom w:val="0"/>
      <w:divBdr>
        <w:top w:val="none" w:sz="0" w:space="0" w:color="auto"/>
        <w:left w:val="none" w:sz="0" w:space="0" w:color="auto"/>
        <w:bottom w:val="none" w:sz="0" w:space="0" w:color="auto"/>
        <w:right w:val="none" w:sz="0" w:space="0" w:color="auto"/>
      </w:divBdr>
    </w:div>
    <w:div w:id="196079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image" Target="media/image8.emf"/><Relationship Id="rId63" Type="http://schemas.openxmlformats.org/officeDocument/2006/relationships/image" Target="media/image10.emf"/><Relationship Id="rId68" Type="http://schemas.openxmlformats.org/officeDocument/2006/relationships/image" Target="media/image15.png"/><Relationship Id="rId76" Type="http://schemas.openxmlformats.org/officeDocument/2006/relationships/footer" Target="footer24.xml"/><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3.emf"/><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footer" Target="footer11.xml"/><Relationship Id="rId40" Type="http://schemas.openxmlformats.org/officeDocument/2006/relationships/image" Target="media/image5.emf"/><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image" Target="media/image13.png"/><Relationship Id="rId74" Type="http://schemas.openxmlformats.org/officeDocument/2006/relationships/footer" Target="footer23.xml"/><Relationship Id="rId5" Type="http://schemas.openxmlformats.org/officeDocument/2006/relationships/settings" Target="settings.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2.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image" Target="media/image12.png"/><Relationship Id="rId73" Type="http://schemas.openxmlformats.org/officeDocument/2006/relationships/footer" Target="footer2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1.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image" Target="media/image7.emf"/><Relationship Id="rId56" Type="http://schemas.openxmlformats.org/officeDocument/2006/relationships/image" Target="media/image9.emf"/><Relationship Id="rId64" Type="http://schemas.openxmlformats.org/officeDocument/2006/relationships/image" Target="media/image11.emf"/><Relationship Id="rId69" Type="http://schemas.openxmlformats.org/officeDocument/2006/relationships/image" Target="media/image1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chart" Target="charts/chart3.xml"/><Relationship Id="rId38" Type="http://schemas.openxmlformats.org/officeDocument/2006/relationships/header" Target="header12.xml"/><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image" Target="media/image14.png"/><Relationship Id="rId20" Type="http://schemas.openxmlformats.org/officeDocument/2006/relationships/footer" Target="footer5.xml"/><Relationship Id="rId41" Type="http://schemas.openxmlformats.org/officeDocument/2006/relationships/image" Target="media/image6.emf"/><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image" Target="media/image17.png"/><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header" Target="header19.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EMPL\F\F2\1.10.11.10%20EGF\08%20Annual%20Reports\2017%20Biennial%20Report\Biennial%20Report_Excel%20tables\Biennial%20Report_1516_Tables_inclusing%20average%20lines_240217_%202nd%20version.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'2 - CALC. 2015-2016'!$I$3:$I$13</c:f>
              <c:strCache>
                <c:ptCount val="11"/>
                <c:pt idx="0">
                  <c:v>FI</c:v>
                </c:pt>
                <c:pt idx="1">
                  <c:v>BE</c:v>
                </c:pt>
                <c:pt idx="2">
                  <c:v>DE</c:v>
                </c:pt>
                <c:pt idx="3">
                  <c:v>EL</c:v>
                </c:pt>
                <c:pt idx="4">
                  <c:v>SE</c:v>
                </c:pt>
                <c:pt idx="5">
                  <c:v>FR</c:v>
                </c:pt>
                <c:pt idx="6">
                  <c:v>NL</c:v>
                </c:pt>
                <c:pt idx="7">
                  <c:v>IT</c:v>
                </c:pt>
                <c:pt idx="8">
                  <c:v>EE</c:v>
                </c:pt>
                <c:pt idx="9">
                  <c:v>ES</c:v>
                </c:pt>
                <c:pt idx="10">
                  <c:v>IE</c:v>
                </c:pt>
              </c:strCache>
            </c:strRef>
          </c:cat>
          <c:val>
            <c:numRef>
              <c:f>'2 - CALC. 2015-2016'!$J$3:$J$13</c:f>
              <c:numCache>
                <c:formatCode>#,##0</c:formatCode>
                <c:ptCount val="11"/>
                <c:pt idx="0">
                  <c:v>11994000</c:v>
                </c:pt>
                <c:pt idx="1">
                  <c:v>9188149</c:v>
                </c:pt>
                <c:pt idx="2">
                  <c:v>6958623</c:v>
                </c:pt>
                <c:pt idx="3">
                  <c:v>6468000</c:v>
                </c:pt>
                <c:pt idx="4">
                  <c:v>5751628</c:v>
                </c:pt>
                <c:pt idx="5">
                  <c:v>5146800</c:v>
                </c:pt>
                <c:pt idx="6">
                  <c:v>1818750</c:v>
                </c:pt>
                <c:pt idx="7">
                  <c:v>1414848</c:v>
                </c:pt>
                <c:pt idx="8">
                  <c:v>1131358</c:v>
                </c:pt>
                <c:pt idx="9">
                  <c:v>856800</c:v>
                </c:pt>
                <c:pt idx="10">
                  <c:v>442293</c:v>
                </c:pt>
              </c:numCache>
            </c:numRef>
          </c:val>
        </c:ser>
        <c:dLbls>
          <c:showLegendKey val="0"/>
          <c:showVal val="0"/>
          <c:showCatName val="0"/>
          <c:showSerName val="0"/>
          <c:showPercent val="0"/>
          <c:showBubbleSize val="0"/>
        </c:dLbls>
        <c:gapWidth val="150"/>
        <c:axId val="65867136"/>
        <c:axId val="47117056"/>
      </c:barChart>
      <c:lineChart>
        <c:grouping val="standard"/>
        <c:varyColors val="0"/>
        <c:ser>
          <c:idx val="1"/>
          <c:order val="1"/>
          <c:spPr>
            <a:ln w="41275"/>
          </c:spPr>
          <c:marker>
            <c:symbol val="none"/>
          </c:marker>
          <c:cat>
            <c:strRef>
              <c:f>'2 - CALC. 2015-2016'!$I$3:$I$13</c:f>
              <c:strCache>
                <c:ptCount val="11"/>
                <c:pt idx="0">
                  <c:v>FI</c:v>
                </c:pt>
                <c:pt idx="1">
                  <c:v>BE</c:v>
                </c:pt>
                <c:pt idx="2">
                  <c:v>DE</c:v>
                </c:pt>
                <c:pt idx="3">
                  <c:v>EL</c:v>
                </c:pt>
                <c:pt idx="4">
                  <c:v>SE</c:v>
                </c:pt>
                <c:pt idx="5">
                  <c:v>FR</c:v>
                </c:pt>
                <c:pt idx="6">
                  <c:v>NL</c:v>
                </c:pt>
                <c:pt idx="7">
                  <c:v>IT</c:v>
                </c:pt>
                <c:pt idx="8">
                  <c:v>EE</c:v>
                </c:pt>
                <c:pt idx="9">
                  <c:v>ES</c:v>
                </c:pt>
                <c:pt idx="10">
                  <c:v>IE</c:v>
                </c:pt>
              </c:strCache>
            </c:strRef>
          </c:cat>
          <c:val>
            <c:numRef>
              <c:f>'2 - CALC. 2015-2016'!$K$3:$K$13</c:f>
              <c:numCache>
                <c:formatCode>#,##0</c:formatCode>
                <c:ptCount val="11"/>
                <c:pt idx="0">
                  <c:v>4651931.7272727275</c:v>
                </c:pt>
                <c:pt idx="1">
                  <c:v>4651931.7272727275</c:v>
                </c:pt>
                <c:pt idx="2">
                  <c:v>4651931.7272727275</c:v>
                </c:pt>
                <c:pt idx="3">
                  <c:v>4651931.7272727275</c:v>
                </c:pt>
                <c:pt idx="4">
                  <c:v>4651931.7272727275</c:v>
                </c:pt>
                <c:pt idx="5">
                  <c:v>4651931.7272727275</c:v>
                </c:pt>
                <c:pt idx="6">
                  <c:v>4651931.7272727275</c:v>
                </c:pt>
                <c:pt idx="7">
                  <c:v>4651931.7272727275</c:v>
                </c:pt>
                <c:pt idx="8">
                  <c:v>4651931.7272727275</c:v>
                </c:pt>
                <c:pt idx="9">
                  <c:v>4651931.7272727275</c:v>
                </c:pt>
                <c:pt idx="10">
                  <c:v>4651931.7272727275</c:v>
                </c:pt>
              </c:numCache>
            </c:numRef>
          </c:val>
          <c:smooth val="0"/>
        </c:ser>
        <c:dLbls>
          <c:showLegendKey val="0"/>
          <c:showVal val="0"/>
          <c:showCatName val="0"/>
          <c:showSerName val="0"/>
          <c:showPercent val="0"/>
          <c:showBubbleSize val="0"/>
        </c:dLbls>
        <c:marker val="1"/>
        <c:smooth val="0"/>
        <c:axId val="65867136"/>
        <c:axId val="47117056"/>
      </c:lineChart>
      <c:catAx>
        <c:axId val="65867136"/>
        <c:scaling>
          <c:orientation val="minMax"/>
        </c:scaling>
        <c:delete val="0"/>
        <c:axPos val="b"/>
        <c:numFmt formatCode="General" sourceLinked="0"/>
        <c:majorTickMark val="out"/>
        <c:minorTickMark val="none"/>
        <c:tickLblPos val="nextTo"/>
        <c:crossAx val="47117056"/>
        <c:crosses val="autoZero"/>
        <c:auto val="1"/>
        <c:lblAlgn val="ctr"/>
        <c:lblOffset val="100"/>
        <c:noMultiLvlLbl val="0"/>
      </c:catAx>
      <c:valAx>
        <c:axId val="47117056"/>
        <c:scaling>
          <c:orientation val="minMax"/>
        </c:scaling>
        <c:delete val="0"/>
        <c:axPos val="l"/>
        <c:majorGridlines/>
        <c:numFmt formatCode="#,##0" sourceLinked="1"/>
        <c:majorTickMark val="out"/>
        <c:minorTickMark val="none"/>
        <c:tickLblPos val="nextTo"/>
        <c:txPr>
          <a:bodyPr/>
          <a:lstStyle/>
          <a:p>
            <a:pPr>
              <a:defRPr sz="1200"/>
            </a:pPr>
            <a:endParaRPr lang="en-US"/>
          </a:p>
        </c:txPr>
        <c:crossAx val="658671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2.17470097861544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4"/>
              <c:layout>
                <c:manualLayout>
                  <c:x val="4.1541398616755055E-3"/>
                  <c:y val="-5.7041185359851407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5"/>
              <c:layout>
                <c:manualLayout>
                  <c:x val="0"/>
                  <c:y val="-3.5650623885917915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6"/>
              <c:layout>
                <c:manualLayout>
                  <c:x val="0"/>
                  <c:y val="-2.3767082590611915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'3 - CALC - 2015-2016'!$H$5:$H$15</c:f>
              <c:strCache>
                <c:ptCount val="11"/>
                <c:pt idx="0">
                  <c:v>BE</c:v>
                </c:pt>
                <c:pt idx="1">
                  <c:v>FI</c:v>
                </c:pt>
                <c:pt idx="2">
                  <c:v>DE</c:v>
                </c:pt>
                <c:pt idx="3">
                  <c:v>FR</c:v>
                </c:pt>
                <c:pt idx="4">
                  <c:v>SE</c:v>
                </c:pt>
                <c:pt idx="5">
                  <c:v>EE</c:v>
                </c:pt>
                <c:pt idx="6">
                  <c:v>NL</c:v>
                </c:pt>
                <c:pt idx="7">
                  <c:v>EL</c:v>
                </c:pt>
                <c:pt idx="8">
                  <c:v>ES</c:v>
                </c:pt>
                <c:pt idx="9">
                  <c:v>IT</c:v>
                </c:pt>
                <c:pt idx="10">
                  <c:v>IE</c:v>
                </c:pt>
              </c:strCache>
            </c:strRef>
          </c:cat>
          <c:val>
            <c:numRef>
              <c:f>'3 - CALC - 2015-2016'!$I$5:$I$15</c:f>
              <c:numCache>
                <c:formatCode>#,##0</c:formatCode>
                <c:ptCount val="11"/>
                <c:pt idx="0">
                  <c:v>5400</c:v>
                </c:pt>
                <c:pt idx="1">
                  <c:v>3962</c:v>
                </c:pt>
                <c:pt idx="2">
                  <c:v>2692</c:v>
                </c:pt>
                <c:pt idx="3">
                  <c:v>2132</c:v>
                </c:pt>
                <c:pt idx="4">
                  <c:v>1418</c:v>
                </c:pt>
                <c:pt idx="5">
                  <c:v>800</c:v>
                </c:pt>
                <c:pt idx="6">
                  <c:v>800</c:v>
                </c:pt>
                <c:pt idx="7">
                  <c:v>557</c:v>
                </c:pt>
                <c:pt idx="8">
                  <c:v>250</c:v>
                </c:pt>
                <c:pt idx="9">
                  <c:v>184</c:v>
                </c:pt>
                <c:pt idx="10">
                  <c:v>108</c:v>
                </c:pt>
              </c:numCache>
            </c:numRef>
          </c:val>
        </c:ser>
        <c:dLbls>
          <c:showLegendKey val="0"/>
          <c:showVal val="0"/>
          <c:showCatName val="0"/>
          <c:showSerName val="0"/>
          <c:showPercent val="0"/>
          <c:showBubbleSize val="0"/>
        </c:dLbls>
        <c:gapWidth val="150"/>
        <c:axId val="148135936"/>
        <c:axId val="148137472"/>
      </c:barChart>
      <c:lineChart>
        <c:grouping val="standard"/>
        <c:varyColors val="0"/>
        <c:ser>
          <c:idx val="1"/>
          <c:order val="1"/>
          <c:spPr>
            <a:ln w="41275"/>
          </c:spPr>
          <c:marker>
            <c:symbol val="none"/>
          </c:marker>
          <c:cat>
            <c:strRef>
              <c:f>'3 - CALC - 2015-2016'!$H$5:$H$15</c:f>
              <c:strCache>
                <c:ptCount val="11"/>
                <c:pt idx="0">
                  <c:v>BE</c:v>
                </c:pt>
                <c:pt idx="1">
                  <c:v>FI</c:v>
                </c:pt>
                <c:pt idx="2">
                  <c:v>DE</c:v>
                </c:pt>
                <c:pt idx="3">
                  <c:v>FR</c:v>
                </c:pt>
                <c:pt idx="4">
                  <c:v>SE</c:v>
                </c:pt>
                <c:pt idx="5">
                  <c:v>EE</c:v>
                </c:pt>
                <c:pt idx="6">
                  <c:v>NL</c:v>
                </c:pt>
                <c:pt idx="7">
                  <c:v>EL</c:v>
                </c:pt>
                <c:pt idx="8">
                  <c:v>ES</c:v>
                </c:pt>
                <c:pt idx="9">
                  <c:v>IT</c:v>
                </c:pt>
                <c:pt idx="10">
                  <c:v>IE</c:v>
                </c:pt>
              </c:strCache>
            </c:strRef>
          </c:cat>
          <c:val>
            <c:numRef>
              <c:f>'3 - CALC - 2015-2016'!$J$5:$J$15</c:f>
              <c:numCache>
                <c:formatCode>#,##0</c:formatCode>
                <c:ptCount val="11"/>
                <c:pt idx="0">
                  <c:v>1663.909090909091</c:v>
                </c:pt>
                <c:pt idx="1">
                  <c:v>1663.909090909091</c:v>
                </c:pt>
                <c:pt idx="2">
                  <c:v>1663.909090909091</c:v>
                </c:pt>
                <c:pt idx="3">
                  <c:v>1663.909090909091</c:v>
                </c:pt>
                <c:pt idx="4">
                  <c:v>1663.909090909091</c:v>
                </c:pt>
                <c:pt idx="5">
                  <c:v>1663.909090909091</c:v>
                </c:pt>
                <c:pt idx="6">
                  <c:v>1663.909090909091</c:v>
                </c:pt>
                <c:pt idx="7">
                  <c:v>1663.909090909091</c:v>
                </c:pt>
                <c:pt idx="8">
                  <c:v>1663.909090909091</c:v>
                </c:pt>
                <c:pt idx="9">
                  <c:v>1663.909090909091</c:v>
                </c:pt>
                <c:pt idx="10">
                  <c:v>1663.909090909091</c:v>
                </c:pt>
              </c:numCache>
            </c:numRef>
          </c:val>
          <c:smooth val="0"/>
        </c:ser>
        <c:dLbls>
          <c:showLegendKey val="0"/>
          <c:showVal val="0"/>
          <c:showCatName val="0"/>
          <c:showSerName val="0"/>
          <c:showPercent val="0"/>
          <c:showBubbleSize val="0"/>
        </c:dLbls>
        <c:marker val="1"/>
        <c:smooth val="0"/>
        <c:axId val="148135936"/>
        <c:axId val="148137472"/>
      </c:lineChart>
      <c:catAx>
        <c:axId val="148135936"/>
        <c:scaling>
          <c:orientation val="minMax"/>
        </c:scaling>
        <c:delete val="0"/>
        <c:axPos val="b"/>
        <c:numFmt formatCode="General" sourceLinked="0"/>
        <c:majorTickMark val="out"/>
        <c:minorTickMark val="none"/>
        <c:tickLblPos val="nextTo"/>
        <c:crossAx val="148137472"/>
        <c:crosses val="autoZero"/>
        <c:auto val="1"/>
        <c:lblAlgn val="ctr"/>
        <c:lblOffset val="100"/>
        <c:noMultiLvlLbl val="0"/>
      </c:catAx>
      <c:valAx>
        <c:axId val="148137472"/>
        <c:scaling>
          <c:orientation val="minMax"/>
        </c:scaling>
        <c:delete val="0"/>
        <c:axPos val="l"/>
        <c:majorGridlines/>
        <c:numFmt formatCode="#,##0" sourceLinked="1"/>
        <c:majorTickMark val="out"/>
        <c:minorTickMark val="none"/>
        <c:tickLblPos val="nextTo"/>
        <c:crossAx val="1481359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8232023554534E-2"/>
          <c:y val="4.217544537459101E-2"/>
          <c:w val="0.92405195050809374"/>
          <c:h val="0.87400819021674114"/>
        </c:manualLayout>
      </c:layout>
      <c:barChart>
        <c:barDir val="col"/>
        <c:grouping val="clustered"/>
        <c:varyColors val="0"/>
        <c:ser>
          <c:idx val="0"/>
          <c:order val="0"/>
          <c:tx>
            <c:strRef>
              <c:f>'6 - CALC 2015-2016'!$L$4</c:f>
              <c:strCache>
                <c:ptCount val="1"/>
                <c:pt idx="0">
                  <c:v>REQUESTED AMOUNT PER WORKER</c:v>
                </c:pt>
              </c:strCache>
            </c:strRef>
          </c:tx>
          <c:invertIfNegative val="0"/>
          <c:dLbls>
            <c:dLbl>
              <c:idx val="0"/>
              <c:layout>
                <c:manualLayout>
                  <c:x val="0"/>
                  <c:y val="-1.0454544955640899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2"/>
              <c:layout>
                <c:manualLayout>
                  <c:x val="0"/>
                  <c:y val="6.9696966370939332E-3"/>
                </c:manualLayout>
              </c:layout>
              <c:tx>
                <c:rich>
                  <a:bodyPr/>
                  <a:lstStyle/>
                  <a:p>
                    <a:r>
                      <a:rPr lang="en-US"/>
                      <a:t>4.311</a:t>
                    </a:r>
                  </a:p>
                </c:rich>
              </c:tx>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3"/>
              <c:layout>
                <c:manualLayout>
                  <c:x val="1.531801588031974E-3"/>
                  <c:y val="-3.8333331504016632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4"/>
              <c:layout>
                <c:manualLayout>
                  <c:x val="-9.1908095281917866E-3"/>
                  <c:y val="0"/>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5"/>
              <c:layout>
                <c:manualLayout>
                  <c:x val="4.5954047640959219E-3"/>
                  <c:y val="-2.4393938229828764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6"/>
              <c:layout>
                <c:manualLayout>
                  <c:x val="1.531801588031974E-3"/>
                  <c:y val="-4.1818179822563598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7"/>
              <c:layout>
                <c:manualLayout>
                  <c:x val="1.531801588031974E-3"/>
                  <c:y val="-5.9242421415298431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8"/>
              <c:layout>
                <c:manualLayout>
                  <c:x val="-1.531801588031974E-3"/>
                  <c:y val="-7.666666300803332E-2"/>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9"/>
              <c:layout>
                <c:manualLayout>
                  <c:x val="0"/>
                  <c:y val="-0.12196969114914376"/>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10"/>
              <c:layout>
                <c:manualLayout>
                  <c:x val="-3.063603176063948E-3"/>
                  <c:y val="-0.12893938778623776"/>
                </c:manualLayout>
              </c:layout>
              <c:showLegendKey val="0"/>
              <c:showVal val="1"/>
              <c:showCatName val="0"/>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'6 - CALC 2015-2016'!$K$5:$K$15</c:f>
              <c:strCache>
                <c:ptCount val="11"/>
                <c:pt idx="0">
                  <c:v>IT</c:v>
                </c:pt>
                <c:pt idx="1">
                  <c:v>EL</c:v>
                </c:pt>
                <c:pt idx="2">
                  <c:v>SE</c:v>
                </c:pt>
                <c:pt idx="3">
                  <c:v>ES</c:v>
                </c:pt>
                <c:pt idx="4">
                  <c:v>FI</c:v>
                </c:pt>
                <c:pt idx="5">
                  <c:v>DE</c:v>
                </c:pt>
                <c:pt idx="6">
                  <c:v>FR</c:v>
                </c:pt>
                <c:pt idx="7">
                  <c:v>NL</c:v>
                </c:pt>
                <c:pt idx="8">
                  <c:v>IE</c:v>
                </c:pt>
                <c:pt idx="9">
                  <c:v>BE</c:v>
                </c:pt>
                <c:pt idx="10">
                  <c:v>EE</c:v>
                </c:pt>
              </c:strCache>
            </c:strRef>
          </c:cat>
          <c:val>
            <c:numRef>
              <c:f>'6 - CALC 2015-2016'!$L$5:$L$15</c:f>
              <c:numCache>
                <c:formatCode>#,##0</c:formatCode>
                <c:ptCount val="11"/>
                <c:pt idx="0">
                  <c:v>7689.391304347826</c:v>
                </c:pt>
                <c:pt idx="1">
                  <c:v>5880</c:v>
                </c:pt>
                <c:pt idx="2">
                  <c:v>4056.1551480959097</c:v>
                </c:pt>
                <c:pt idx="3">
                  <c:v>3427.2</c:v>
                </c:pt>
                <c:pt idx="4">
                  <c:v>3027.2589601211507</c:v>
                </c:pt>
                <c:pt idx="5">
                  <c:v>2584.9268202080239</c:v>
                </c:pt>
                <c:pt idx="6">
                  <c:v>2414.0712945590994</c:v>
                </c:pt>
                <c:pt idx="7">
                  <c:v>2273.4375</c:v>
                </c:pt>
                <c:pt idx="8">
                  <c:v>2048</c:v>
                </c:pt>
                <c:pt idx="9">
                  <c:v>1584.1636206896551</c:v>
                </c:pt>
                <c:pt idx="10">
                  <c:v>1414.1975</c:v>
                </c:pt>
              </c:numCache>
            </c:numRef>
          </c:val>
        </c:ser>
        <c:dLbls>
          <c:showLegendKey val="0"/>
          <c:showVal val="0"/>
          <c:showCatName val="0"/>
          <c:showSerName val="0"/>
          <c:showPercent val="0"/>
          <c:showBubbleSize val="0"/>
        </c:dLbls>
        <c:gapWidth val="150"/>
        <c:axId val="148277888"/>
        <c:axId val="148283776"/>
      </c:barChart>
      <c:lineChart>
        <c:grouping val="standard"/>
        <c:varyColors val="0"/>
        <c:ser>
          <c:idx val="1"/>
          <c:order val="1"/>
          <c:tx>
            <c:strRef>
              <c:f>'6 - CALC 2015-2016'!$M$4</c:f>
              <c:strCache>
                <c:ptCount val="1"/>
                <c:pt idx="0">
                  <c:v>AVERAGE</c:v>
                </c:pt>
              </c:strCache>
            </c:strRef>
          </c:tx>
          <c:spPr>
            <a:ln w="34925"/>
          </c:spPr>
          <c:marker>
            <c:symbol val="none"/>
          </c:marker>
          <c:cat>
            <c:strRef>
              <c:f>'6 - CALC 2015-2016'!$K$5:$K$15</c:f>
              <c:strCache>
                <c:ptCount val="11"/>
                <c:pt idx="0">
                  <c:v>IT</c:v>
                </c:pt>
                <c:pt idx="1">
                  <c:v>EL</c:v>
                </c:pt>
                <c:pt idx="2">
                  <c:v>SE</c:v>
                </c:pt>
                <c:pt idx="3">
                  <c:v>ES</c:v>
                </c:pt>
                <c:pt idx="4">
                  <c:v>FI</c:v>
                </c:pt>
                <c:pt idx="5">
                  <c:v>DE</c:v>
                </c:pt>
                <c:pt idx="6">
                  <c:v>FR</c:v>
                </c:pt>
                <c:pt idx="7">
                  <c:v>NL</c:v>
                </c:pt>
                <c:pt idx="8">
                  <c:v>IE</c:v>
                </c:pt>
                <c:pt idx="9">
                  <c:v>BE</c:v>
                </c:pt>
                <c:pt idx="10">
                  <c:v>EE</c:v>
                </c:pt>
              </c:strCache>
            </c:strRef>
          </c:cat>
          <c:val>
            <c:numRef>
              <c:f>'6 - CALC 2015-2016'!$M$5:$M$15</c:f>
              <c:numCache>
                <c:formatCode>#,##0</c:formatCode>
                <c:ptCount val="11"/>
                <c:pt idx="0">
                  <c:v>2644</c:v>
                </c:pt>
                <c:pt idx="1">
                  <c:v>2644</c:v>
                </c:pt>
                <c:pt idx="2">
                  <c:v>2644</c:v>
                </c:pt>
                <c:pt idx="3">
                  <c:v>2644</c:v>
                </c:pt>
                <c:pt idx="4">
                  <c:v>2644</c:v>
                </c:pt>
                <c:pt idx="5">
                  <c:v>2644</c:v>
                </c:pt>
                <c:pt idx="6">
                  <c:v>2644</c:v>
                </c:pt>
                <c:pt idx="7">
                  <c:v>2644</c:v>
                </c:pt>
                <c:pt idx="8">
                  <c:v>2644</c:v>
                </c:pt>
                <c:pt idx="9">
                  <c:v>2644</c:v>
                </c:pt>
                <c:pt idx="10">
                  <c:v>2644</c:v>
                </c:pt>
              </c:numCache>
            </c:numRef>
          </c:val>
          <c:smooth val="0"/>
        </c:ser>
        <c:dLbls>
          <c:showLegendKey val="0"/>
          <c:showVal val="0"/>
          <c:showCatName val="0"/>
          <c:showSerName val="0"/>
          <c:showPercent val="0"/>
          <c:showBubbleSize val="0"/>
        </c:dLbls>
        <c:marker val="1"/>
        <c:smooth val="0"/>
        <c:axId val="148277888"/>
        <c:axId val="148283776"/>
      </c:lineChart>
      <c:catAx>
        <c:axId val="148277888"/>
        <c:scaling>
          <c:orientation val="minMax"/>
        </c:scaling>
        <c:delete val="0"/>
        <c:axPos val="b"/>
        <c:numFmt formatCode="General" sourceLinked="0"/>
        <c:majorTickMark val="out"/>
        <c:minorTickMark val="none"/>
        <c:tickLblPos val="nextTo"/>
        <c:crossAx val="148283776"/>
        <c:crosses val="autoZero"/>
        <c:auto val="1"/>
        <c:lblAlgn val="ctr"/>
        <c:lblOffset val="100"/>
        <c:noMultiLvlLbl val="0"/>
      </c:catAx>
      <c:valAx>
        <c:axId val="148283776"/>
        <c:scaling>
          <c:orientation val="minMax"/>
        </c:scaling>
        <c:delete val="0"/>
        <c:axPos val="l"/>
        <c:majorGridlines/>
        <c:numFmt formatCode="#,##0" sourceLinked="1"/>
        <c:majorTickMark val="out"/>
        <c:minorTickMark val="none"/>
        <c:tickLblPos val="nextTo"/>
        <c:crossAx val="148277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6BE2-2375-4AA2-ADB4-5DBB7FAC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36</Pages>
  <Words>7621</Words>
  <Characters>43685</Characters>
  <Application>Microsoft Office Word</Application>
  <DocSecurity>0</DocSecurity>
  <Lines>364</Lines>
  <Paragraphs>102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64</cp:revision>
  <cp:lastPrinted>2017-10-12T13:40:00Z</cp:lastPrinted>
  <dcterms:created xsi:type="dcterms:W3CDTF">2017-10-12T14:18:00Z</dcterms:created>
  <dcterms:modified xsi:type="dcterms:W3CDTF">2017-10-26T11:48:00Z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