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C1A" w:rsidRDefault="00BA5FE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E908298C46F4BF4828452B767210159" style="width:451.25pt;height:307.25pt">
            <v:imagedata r:id="rId9" o:title=""/>
          </v:shape>
        </w:pict>
      </w:r>
    </w:p>
    <w:bookmarkEnd w:id="0"/>
    <w:p w:rsidR="00335B79" w:rsidRDefault="00335B79">
      <w:pPr>
        <w:pStyle w:val="Pagedecouverture"/>
        <w:rPr>
          <w:noProof/>
        </w:rPr>
      </w:pPr>
    </w:p>
    <w:p w:rsidR="00335B79" w:rsidRPr="00335B79" w:rsidRDefault="00335B79" w:rsidP="00335B79"/>
    <w:p w:rsidR="00335B79" w:rsidRPr="00335B79" w:rsidRDefault="00335B79" w:rsidP="00335B79"/>
    <w:p w:rsidR="00335B79" w:rsidRPr="00335B79" w:rsidRDefault="00335B79" w:rsidP="00335B79"/>
    <w:p w:rsidR="00335B79" w:rsidRPr="00335B79" w:rsidRDefault="00335B79" w:rsidP="00335B79"/>
    <w:p w:rsidR="00335B79" w:rsidRPr="00335B79" w:rsidRDefault="00335B79" w:rsidP="00335B79"/>
    <w:p w:rsidR="00335B79" w:rsidRPr="00335B79" w:rsidRDefault="00335B79" w:rsidP="00335B79"/>
    <w:p w:rsidR="00335B79" w:rsidRPr="00335B79" w:rsidRDefault="00335B79" w:rsidP="00335B79"/>
    <w:p w:rsidR="00335B79" w:rsidRPr="00335B79" w:rsidRDefault="00335B79" w:rsidP="00335B79"/>
    <w:p w:rsidR="00335B79" w:rsidRPr="00335B79" w:rsidRDefault="00335B79" w:rsidP="00335B79"/>
    <w:p w:rsidR="00335B79" w:rsidRPr="00335B79" w:rsidRDefault="00335B79" w:rsidP="00335B79"/>
    <w:p w:rsidR="00335B79" w:rsidRPr="00335B79" w:rsidRDefault="00335B79" w:rsidP="00335B79"/>
    <w:p w:rsidR="00335B79" w:rsidRDefault="00335B79" w:rsidP="00335B79"/>
    <w:p w:rsidR="00335B79" w:rsidRDefault="00335B79" w:rsidP="00335B79">
      <w:pPr>
        <w:tabs>
          <w:tab w:val="left" w:pos="7276"/>
        </w:tabs>
      </w:pPr>
      <w:r>
        <w:tab/>
      </w:r>
      <w:bookmarkStart w:id="1" w:name="_GoBack"/>
      <w:bookmarkEnd w:id="1"/>
    </w:p>
    <w:p w:rsidR="00335B79" w:rsidRDefault="00335B79" w:rsidP="00335B79"/>
    <w:p w:rsidR="00B54C1A" w:rsidRPr="00335B79" w:rsidRDefault="00B54C1A" w:rsidP="00335B79">
      <w:pPr>
        <w:sectPr w:rsidR="00B54C1A" w:rsidRPr="00335B7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B54C1A" w:rsidRDefault="00BA5FEF">
      <w:pPr>
        <w:jc w:val="both"/>
        <w:rPr>
          <w:rFonts w:ascii="Times New Roman" w:hAnsi="Times New Roman" w:cs="Times New Roman"/>
          <w:b/>
          <w:noProof/>
          <w:sz w:val="28"/>
          <w:szCs w:val="28"/>
        </w:rPr>
      </w:pPr>
      <w:r>
        <w:rPr>
          <w:rFonts w:ascii="Times New Roman" w:hAnsi="Times New Roman" w:cs="Times New Roman"/>
          <w:b/>
          <w:noProof/>
          <w:sz w:val="28"/>
          <w:szCs w:val="28"/>
        </w:rPr>
        <w:lastRenderedPageBreak/>
        <w:t>TABLE OF CONTENTS</w:t>
      </w:r>
    </w:p>
    <w:sdt>
      <w:sdtPr>
        <w:rPr>
          <w:rFonts w:asciiTheme="minorHAnsi" w:hAnsiTheme="minorHAnsi" w:cs="Times New Roman"/>
          <w:noProof/>
        </w:rPr>
        <w:id w:val="-1626144639"/>
        <w:docPartObj>
          <w:docPartGallery w:val="Table of Contents"/>
          <w:docPartUnique/>
        </w:docPartObj>
      </w:sdtPr>
      <w:sdtEndPr>
        <w:rPr>
          <w:b/>
          <w:bCs/>
        </w:rPr>
      </w:sdtEndPr>
      <w:sdtContent>
        <w:p w:rsidR="00B54C1A" w:rsidRDefault="00BA5FEF">
          <w:pPr>
            <w:pStyle w:val="TOC1"/>
            <w:tabs>
              <w:tab w:val="right" w:leader="dot" w:pos="9062"/>
            </w:tabs>
            <w:rPr>
              <w:rFonts w:asciiTheme="minorHAnsi" w:eastAsiaTheme="minorEastAsia" w:hAnsiTheme="minorHAnsi"/>
              <w:noProof/>
              <w:lang w:eastAsia="en-GB"/>
            </w:rPr>
          </w:pPr>
          <w:r>
            <w:rPr>
              <w:rFonts w:cs="Times New Roman"/>
              <w:noProof/>
            </w:rPr>
            <w:fldChar w:fldCharType="begin"/>
          </w:r>
          <w:r>
            <w:rPr>
              <w:rFonts w:cs="Times New Roman"/>
              <w:noProof/>
            </w:rPr>
            <w:instrText xml:space="preserve"> TOC \o "1-3" \h \z \u </w:instrText>
          </w:r>
          <w:r>
            <w:rPr>
              <w:rFonts w:cs="Times New Roman"/>
              <w:noProof/>
            </w:rPr>
            <w:fldChar w:fldCharType="separate"/>
          </w:r>
          <w:hyperlink w:anchor="_Toc496267933" w:history="1">
            <w:r>
              <w:rPr>
                <w:rStyle w:val="Hyperlink"/>
                <w:noProof/>
              </w:rPr>
              <w:t>1. Introduction</w:t>
            </w:r>
            <w:r>
              <w:rPr>
                <w:noProof/>
                <w:webHidden/>
              </w:rPr>
              <w:tab/>
            </w:r>
            <w:r>
              <w:rPr>
                <w:noProof/>
                <w:webHidden/>
              </w:rPr>
              <w:fldChar w:fldCharType="begin"/>
            </w:r>
            <w:r>
              <w:rPr>
                <w:noProof/>
                <w:webHidden/>
              </w:rPr>
              <w:instrText xml:space="preserve"> PAGEREF _Toc496267933 \h </w:instrText>
            </w:r>
            <w:r>
              <w:rPr>
                <w:noProof/>
                <w:webHidden/>
              </w:rPr>
            </w:r>
            <w:r>
              <w:rPr>
                <w:noProof/>
                <w:webHidden/>
              </w:rPr>
              <w:fldChar w:fldCharType="separate"/>
            </w:r>
            <w:r w:rsidR="00335B79">
              <w:rPr>
                <w:noProof/>
                <w:webHidden/>
              </w:rPr>
              <w:t>3</w:t>
            </w:r>
            <w:r>
              <w:rPr>
                <w:noProof/>
                <w:webHidden/>
              </w:rPr>
              <w:fldChar w:fldCharType="end"/>
            </w:r>
          </w:hyperlink>
        </w:p>
        <w:p w:rsidR="00B54C1A" w:rsidRDefault="00BA5FEF">
          <w:pPr>
            <w:pStyle w:val="TOC1"/>
            <w:tabs>
              <w:tab w:val="right" w:leader="dot" w:pos="9062"/>
            </w:tabs>
            <w:rPr>
              <w:rFonts w:asciiTheme="minorHAnsi" w:eastAsiaTheme="minorEastAsia" w:hAnsiTheme="minorHAnsi"/>
              <w:noProof/>
              <w:lang w:eastAsia="en-GB"/>
            </w:rPr>
          </w:pPr>
          <w:hyperlink w:anchor="_Toc496267934" w:history="1">
            <w:r>
              <w:rPr>
                <w:rStyle w:val="Hyperlink"/>
                <w:noProof/>
              </w:rPr>
              <w:t>2. Overview of the activities of the EGF in 2015 and 2016</w:t>
            </w:r>
            <w:r>
              <w:rPr>
                <w:noProof/>
                <w:webHidden/>
              </w:rPr>
              <w:tab/>
            </w:r>
            <w:r>
              <w:rPr>
                <w:noProof/>
                <w:webHidden/>
              </w:rPr>
              <w:fldChar w:fldCharType="begin"/>
            </w:r>
            <w:r>
              <w:rPr>
                <w:noProof/>
                <w:webHidden/>
              </w:rPr>
              <w:instrText xml:space="preserve"> PAGEREF _Toc496267934 \h </w:instrText>
            </w:r>
            <w:r>
              <w:rPr>
                <w:noProof/>
                <w:webHidden/>
              </w:rPr>
            </w:r>
            <w:r>
              <w:rPr>
                <w:noProof/>
                <w:webHidden/>
              </w:rPr>
              <w:fldChar w:fldCharType="separate"/>
            </w:r>
            <w:r w:rsidR="00335B79">
              <w:rPr>
                <w:noProof/>
                <w:webHidden/>
              </w:rPr>
              <w:t>4</w:t>
            </w:r>
            <w:r>
              <w:rPr>
                <w:noProof/>
                <w:webHidden/>
              </w:rPr>
              <w:fldChar w:fldCharType="end"/>
            </w:r>
          </w:hyperlink>
        </w:p>
        <w:p w:rsidR="00B54C1A" w:rsidRDefault="00BA5FEF">
          <w:pPr>
            <w:pStyle w:val="TOC1"/>
            <w:tabs>
              <w:tab w:val="right" w:leader="dot" w:pos="9062"/>
            </w:tabs>
            <w:rPr>
              <w:rFonts w:asciiTheme="minorHAnsi" w:eastAsiaTheme="minorEastAsia" w:hAnsiTheme="minorHAnsi"/>
              <w:noProof/>
              <w:lang w:eastAsia="en-GB"/>
            </w:rPr>
          </w:pPr>
          <w:hyperlink w:anchor="_Toc496267935" w:history="1">
            <w:r>
              <w:rPr>
                <w:rStyle w:val="Hyperlink"/>
                <w:noProof/>
              </w:rPr>
              <w:t>3. Analysis of the activities of the EGF in 2015 and 2016</w:t>
            </w:r>
            <w:r>
              <w:rPr>
                <w:noProof/>
                <w:webHidden/>
              </w:rPr>
              <w:tab/>
            </w:r>
            <w:r>
              <w:rPr>
                <w:noProof/>
                <w:webHidden/>
              </w:rPr>
              <w:fldChar w:fldCharType="begin"/>
            </w:r>
            <w:r>
              <w:rPr>
                <w:noProof/>
                <w:webHidden/>
              </w:rPr>
              <w:instrText xml:space="preserve"> PAGEREF _Toc496267935 \h </w:instrText>
            </w:r>
            <w:r>
              <w:rPr>
                <w:noProof/>
                <w:webHidden/>
              </w:rPr>
            </w:r>
            <w:r>
              <w:rPr>
                <w:noProof/>
                <w:webHidden/>
              </w:rPr>
              <w:fldChar w:fldCharType="separate"/>
            </w:r>
            <w:r w:rsidR="00335B79">
              <w:rPr>
                <w:noProof/>
                <w:webHidden/>
              </w:rPr>
              <w:t>4</w:t>
            </w:r>
            <w:r>
              <w:rPr>
                <w:noProof/>
                <w:webHidden/>
              </w:rPr>
              <w:fldChar w:fldCharType="end"/>
            </w:r>
          </w:hyperlink>
        </w:p>
        <w:p w:rsidR="00B54C1A" w:rsidRDefault="00BA5FEF">
          <w:pPr>
            <w:pStyle w:val="TOC2"/>
            <w:tabs>
              <w:tab w:val="right" w:leader="dot" w:pos="9062"/>
            </w:tabs>
            <w:rPr>
              <w:rFonts w:asciiTheme="minorHAnsi" w:hAnsiTheme="minorHAnsi"/>
              <w:noProof/>
              <w:lang w:val="en-GB" w:eastAsia="en-GB"/>
            </w:rPr>
          </w:pPr>
          <w:hyperlink w:anchor="_Toc496267936" w:history="1">
            <w:r>
              <w:rPr>
                <w:rStyle w:val="Hyperlink"/>
                <w:noProof/>
              </w:rPr>
              <w:t>3.1. Applications received</w:t>
            </w:r>
            <w:r>
              <w:rPr>
                <w:noProof/>
                <w:webHidden/>
              </w:rPr>
              <w:tab/>
            </w:r>
            <w:r>
              <w:rPr>
                <w:noProof/>
                <w:webHidden/>
              </w:rPr>
              <w:fldChar w:fldCharType="begin"/>
            </w:r>
            <w:r>
              <w:rPr>
                <w:noProof/>
                <w:webHidden/>
              </w:rPr>
              <w:instrText xml:space="preserve"> PAGEREF _Toc496267936 \h </w:instrText>
            </w:r>
            <w:r>
              <w:rPr>
                <w:noProof/>
                <w:webHidden/>
              </w:rPr>
            </w:r>
            <w:r>
              <w:rPr>
                <w:noProof/>
                <w:webHidden/>
              </w:rPr>
              <w:fldChar w:fldCharType="separate"/>
            </w:r>
            <w:r w:rsidR="00335B79">
              <w:rPr>
                <w:noProof/>
                <w:webHidden/>
              </w:rPr>
              <w:t>4</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37" w:history="1">
            <w:r>
              <w:rPr>
                <w:rStyle w:val="Hyperlink"/>
                <w:noProof/>
              </w:rPr>
              <w:t>3.</w:t>
            </w:r>
            <w:r>
              <w:rPr>
                <w:rStyle w:val="Hyperlink"/>
                <w:noProof/>
              </w:rPr>
              <w:t>1.1. Applications received by intervention criterion</w:t>
            </w:r>
            <w:r>
              <w:rPr>
                <w:noProof/>
                <w:webHidden/>
              </w:rPr>
              <w:tab/>
            </w:r>
            <w:r>
              <w:rPr>
                <w:noProof/>
                <w:webHidden/>
              </w:rPr>
              <w:fldChar w:fldCharType="begin"/>
            </w:r>
            <w:r>
              <w:rPr>
                <w:noProof/>
                <w:webHidden/>
              </w:rPr>
              <w:instrText xml:space="preserve"> PAGEREF _Toc496267937 \h </w:instrText>
            </w:r>
            <w:r>
              <w:rPr>
                <w:noProof/>
                <w:webHidden/>
              </w:rPr>
            </w:r>
            <w:r>
              <w:rPr>
                <w:noProof/>
                <w:webHidden/>
              </w:rPr>
              <w:fldChar w:fldCharType="separate"/>
            </w:r>
            <w:r w:rsidR="00335B79">
              <w:rPr>
                <w:noProof/>
                <w:webHidden/>
              </w:rPr>
              <w:t>5</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38" w:history="1">
            <w:r>
              <w:rPr>
                <w:rStyle w:val="Hyperlink"/>
                <w:noProof/>
              </w:rPr>
              <w:t>3.1.2. Applications received by sector</w:t>
            </w:r>
            <w:r>
              <w:rPr>
                <w:noProof/>
                <w:webHidden/>
              </w:rPr>
              <w:tab/>
            </w:r>
            <w:r>
              <w:rPr>
                <w:noProof/>
                <w:webHidden/>
              </w:rPr>
              <w:fldChar w:fldCharType="begin"/>
            </w:r>
            <w:r>
              <w:rPr>
                <w:noProof/>
                <w:webHidden/>
              </w:rPr>
              <w:instrText xml:space="preserve"> PAGEREF _Toc496267938 \h </w:instrText>
            </w:r>
            <w:r>
              <w:rPr>
                <w:noProof/>
                <w:webHidden/>
              </w:rPr>
            </w:r>
            <w:r>
              <w:rPr>
                <w:noProof/>
                <w:webHidden/>
              </w:rPr>
              <w:fldChar w:fldCharType="separate"/>
            </w:r>
            <w:r w:rsidR="00335B79">
              <w:rPr>
                <w:noProof/>
                <w:webHidden/>
              </w:rPr>
              <w:t>5</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39" w:history="1">
            <w:r>
              <w:rPr>
                <w:rStyle w:val="Hyperlink"/>
                <w:noProof/>
              </w:rPr>
              <w:t>3.1.3. Applications received by amount requested</w:t>
            </w:r>
            <w:r>
              <w:rPr>
                <w:noProof/>
                <w:webHidden/>
              </w:rPr>
              <w:tab/>
            </w:r>
            <w:r>
              <w:rPr>
                <w:noProof/>
                <w:webHidden/>
              </w:rPr>
              <w:fldChar w:fldCharType="begin"/>
            </w:r>
            <w:r>
              <w:rPr>
                <w:noProof/>
                <w:webHidden/>
              </w:rPr>
              <w:instrText xml:space="preserve"> PAGEREF _Toc496267939 \h </w:instrText>
            </w:r>
            <w:r>
              <w:rPr>
                <w:noProof/>
                <w:webHidden/>
              </w:rPr>
            </w:r>
            <w:r>
              <w:rPr>
                <w:noProof/>
                <w:webHidden/>
              </w:rPr>
              <w:fldChar w:fldCharType="separate"/>
            </w:r>
            <w:r w:rsidR="00335B79">
              <w:rPr>
                <w:noProof/>
                <w:webHidden/>
              </w:rPr>
              <w:t>7</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40" w:history="1">
            <w:r>
              <w:rPr>
                <w:rStyle w:val="Hyperlink"/>
                <w:noProof/>
              </w:rPr>
              <w:t>3.1.4. Applications received by number of beneficiaries targeted for assistance</w:t>
            </w:r>
            <w:r>
              <w:rPr>
                <w:noProof/>
                <w:webHidden/>
              </w:rPr>
              <w:tab/>
            </w:r>
            <w:r>
              <w:rPr>
                <w:noProof/>
                <w:webHidden/>
              </w:rPr>
              <w:fldChar w:fldCharType="begin"/>
            </w:r>
            <w:r>
              <w:rPr>
                <w:noProof/>
                <w:webHidden/>
              </w:rPr>
              <w:instrText xml:space="preserve"> PAGEREF _Toc496267940 \h </w:instrText>
            </w:r>
            <w:r>
              <w:rPr>
                <w:noProof/>
                <w:webHidden/>
              </w:rPr>
            </w:r>
            <w:r>
              <w:rPr>
                <w:noProof/>
                <w:webHidden/>
              </w:rPr>
              <w:fldChar w:fldCharType="separate"/>
            </w:r>
            <w:r w:rsidR="00335B79">
              <w:rPr>
                <w:noProof/>
                <w:webHidden/>
              </w:rPr>
              <w:t>8</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41" w:history="1">
            <w:r>
              <w:rPr>
                <w:rStyle w:val="Hyperlink"/>
                <w:noProof/>
              </w:rPr>
              <w:t>3.1.5. Applicati</w:t>
            </w:r>
            <w:r>
              <w:rPr>
                <w:rStyle w:val="Hyperlink"/>
                <w:noProof/>
              </w:rPr>
              <w:t>ons received by number of targeted workers per sector</w:t>
            </w:r>
            <w:r>
              <w:rPr>
                <w:noProof/>
                <w:webHidden/>
              </w:rPr>
              <w:tab/>
            </w:r>
            <w:r>
              <w:rPr>
                <w:noProof/>
                <w:webHidden/>
              </w:rPr>
              <w:fldChar w:fldCharType="begin"/>
            </w:r>
            <w:r>
              <w:rPr>
                <w:noProof/>
                <w:webHidden/>
              </w:rPr>
              <w:instrText xml:space="preserve"> PAGEREF _Toc496267941 \h </w:instrText>
            </w:r>
            <w:r>
              <w:rPr>
                <w:noProof/>
                <w:webHidden/>
              </w:rPr>
            </w:r>
            <w:r>
              <w:rPr>
                <w:noProof/>
                <w:webHidden/>
              </w:rPr>
              <w:fldChar w:fldCharType="separate"/>
            </w:r>
            <w:r w:rsidR="00335B79">
              <w:rPr>
                <w:noProof/>
                <w:webHidden/>
              </w:rPr>
              <w:t>9</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42" w:history="1">
            <w:r>
              <w:rPr>
                <w:rStyle w:val="Hyperlink"/>
                <w:noProof/>
              </w:rPr>
              <w:t>3.1.6. Applications received by amount requested per beneficiary</w:t>
            </w:r>
            <w:r>
              <w:rPr>
                <w:noProof/>
                <w:webHidden/>
              </w:rPr>
              <w:tab/>
            </w:r>
            <w:r>
              <w:rPr>
                <w:noProof/>
                <w:webHidden/>
              </w:rPr>
              <w:fldChar w:fldCharType="begin"/>
            </w:r>
            <w:r>
              <w:rPr>
                <w:noProof/>
                <w:webHidden/>
              </w:rPr>
              <w:instrText xml:space="preserve"> PAGEREF _Toc496267942 \h </w:instrText>
            </w:r>
            <w:r>
              <w:rPr>
                <w:noProof/>
                <w:webHidden/>
              </w:rPr>
            </w:r>
            <w:r>
              <w:rPr>
                <w:noProof/>
                <w:webHidden/>
              </w:rPr>
              <w:fldChar w:fldCharType="separate"/>
            </w:r>
            <w:r w:rsidR="00335B79">
              <w:rPr>
                <w:noProof/>
                <w:webHidden/>
              </w:rPr>
              <w:t>9</w:t>
            </w:r>
            <w:r>
              <w:rPr>
                <w:noProof/>
                <w:webHidden/>
              </w:rPr>
              <w:fldChar w:fldCharType="end"/>
            </w:r>
          </w:hyperlink>
        </w:p>
        <w:p w:rsidR="00B54C1A" w:rsidRDefault="00BA5FEF">
          <w:pPr>
            <w:pStyle w:val="TOC2"/>
            <w:tabs>
              <w:tab w:val="right" w:leader="dot" w:pos="9062"/>
            </w:tabs>
            <w:rPr>
              <w:rFonts w:asciiTheme="minorHAnsi" w:hAnsiTheme="minorHAnsi"/>
              <w:noProof/>
              <w:lang w:val="en-GB" w:eastAsia="en-GB"/>
            </w:rPr>
          </w:pPr>
          <w:hyperlink w:anchor="_Toc496267943" w:history="1">
            <w:r>
              <w:rPr>
                <w:rStyle w:val="Hyperlink"/>
                <w:noProof/>
              </w:rPr>
              <w:t>3.2. Contributions granted</w:t>
            </w:r>
            <w:r>
              <w:rPr>
                <w:noProof/>
                <w:webHidden/>
              </w:rPr>
              <w:tab/>
            </w:r>
            <w:r>
              <w:rPr>
                <w:noProof/>
                <w:webHidden/>
              </w:rPr>
              <w:fldChar w:fldCharType="begin"/>
            </w:r>
            <w:r>
              <w:rPr>
                <w:noProof/>
                <w:webHidden/>
              </w:rPr>
              <w:instrText xml:space="preserve"> PAGEREF _Toc496267943 \h </w:instrText>
            </w:r>
            <w:r>
              <w:rPr>
                <w:noProof/>
                <w:webHidden/>
              </w:rPr>
            </w:r>
            <w:r>
              <w:rPr>
                <w:noProof/>
                <w:webHidden/>
              </w:rPr>
              <w:fldChar w:fldCharType="separate"/>
            </w:r>
            <w:r w:rsidR="00335B79">
              <w:rPr>
                <w:noProof/>
                <w:webHidden/>
              </w:rPr>
              <w:t>10</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44" w:history="1">
            <w:r>
              <w:rPr>
                <w:rStyle w:val="Hyperlink"/>
                <w:noProof/>
              </w:rPr>
              <w:t>3.2.1. Actions funded with EGF assistance</w:t>
            </w:r>
            <w:r>
              <w:rPr>
                <w:noProof/>
                <w:webHidden/>
              </w:rPr>
              <w:tab/>
            </w:r>
            <w:r>
              <w:rPr>
                <w:noProof/>
                <w:webHidden/>
              </w:rPr>
              <w:fldChar w:fldCharType="begin"/>
            </w:r>
            <w:r>
              <w:rPr>
                <w:noProof/>
                <w:webHidden/>
              </w:rPr>
              <w:instrText xml:space="preserve"> PAGEREF _Toc496267944</w:instrText>
            </w:r>
            <w:r>
              <w:rPr>
                <w:noProof/>
                <w:webHidden/>
              </w:rPr>
              <w:instrText xml:space="preserve"> \h </w:instrText>
            </w:r>
            <w:r>
              <w:rPr>
                <w:noProof/>
                <w:webHidden/>
              </w:rPr>
            </w:r>
            <w:r>
              <w:rPr>
                <w:noProof/>
                <w:webHidden/>
              </w:rPr>
              <w:fldChar w:fldCharType="separate"/>
            </w:r>
            <w:r w:rsidR="00335B79">
              <w:rPr>
                <w:noProof/>
                <w:webHidden/>
              </w:rPr>
              <w:t>11</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45" w:history="1">
            <w:r>
              <w:rPr>
                <w:rStyle w:val="Hyperlink"/>
                <w:noProof/>
              </w:rPr>
              <w:t>3.2.2. Complementarity with actions funded by the European Social Fund (ESF)</w:t>
            </w:r>
            <w:r>
              <w:rPr>
                <w:noProof/>
                <w:webHidden/>
              </w:rPr>
              <w:tab/>
            </w:r>
            <w:r>
              <w:rPr>
                <w:noProof/>
                <w:webHidden/>
              </w:rPr>
              <w:fldChar w:fldCharType="begin"/>
            </w:r>
            <w:r>
              <w:rPr>
                <w:noProof/>
                <w:webHidden/>
              </w:rPr>
              <w:instrText xml:space="preserve"> PAGEREF _Toc496267945 \h </w:instrText>
            </w:r>
            <w:r>
              <w:rPr>
                <w:noProof/>
                <w:webHidden/>
              </w:rPr>
            </w:r>
            <w:r>
              <w:rPr>
                <w:noProof/>
                <w:webHidden/>
              </w:rPr>
              <w:fldChar w:fldCharType="separate"/>
            </w:r>
            <w:r w:rsidR="00335B79">
              <w:rPr>
                <w:noProof/>
                <w:webHidden/>
              </w:rPr>
              <w:t>11</w:t>
            </w:r>
            <w:r>
              <w:rPr>
                <w:noProof/>
                <w:webHidden/>
              </w:rPr>
              <w:fldChar w:fldCharType="end"/>
            </w:r>
          </w:hyperlink>
        </w:p>
        <w:p w:rsidR="00B54C1A" w:rsidRDefault="00BA5FEF">
          <w:pPr>
            <w:pStyle w:val="TOC2"/>
            <w:tabs>
              <w:tab w:val="right" w:leader="dot" w:pos="9062"/>
            </w:tabs>
            <w:rPr>
              <w:rFonts w:asciiTheme="minorHAnsi" w:hAnsiTheme="minorHAnsi"/>
              <w:noProof/>
              <w:lang w:val="en-GB" w:eastAsia="en-GB"/>
            </w:rPr>
          </w:pPr>
          <w:hyperlink w:anchor="_Toc496267946" w:history="1">
            <w:r>
              <w:rPr>
                <w:rStyle w:val="Hyperlink"/>
                <w:noProof/>
              </w:rPr>
              <w:t>3.3. Applications rejected or withdrawn</w:t>
            </w:r>
            <w:r>
              <w:rPr>
                <w:noProof/>
                <w:webHidden/>
              </w:rPr>
              <w:tab/>
            </w:r>
            <w:r>
              <w:rPr>
                <w:noProof/>
                <w:webHidden/>
              </w:rPr>
              <w:fldChar w:fldCharType="begin"/>
            </w:r>
            <w:r>
              <w:rPr>
                <w:noProof/>
                <w:webHidden/>
              </w:rPr>
              <w:instrText xml:space="preserve"> PAGEREF _Toc496267946 \h </w:instrText>
            </w:r>
            <w:r>
              <w:rPr>
                <w:noProof/>
                <w:webHidden/>
              </w:rPr>
            </w:r>
            <w:r>
              <w:rPr>
                <w:noProof/>
                <w:webHidden/>
              </w:rPr>
              <w:fldChar w:fldCharType="separate"/>
            </w:r>
            <w:r w:rsidR="00335B79">
              <w:rPr>
                <w:noProof/>
                <w:webHidden/>
              </w:rPr>
              <w:t>13</w:t>
            </w:r>
            <w:r>
              <w:rPr>
                <w:noProof/>
                <w:webHidden/>
              </w:rPr>
              <w:fldChar w:fldCharType="end"/>
            </w:r>
          </w:hyperlink>
        </w:p>
        <w:p w:rsidR="00B54C1A" w:rsidRDefault="00BA5FEF">
          <w:pPr>
            <w:pStyle w:val="TOC2"/>
            <w:tabs>
              <w:tab w:val="right" w:leader="dot" w:pos="9062"/>
            </w:tabs>
            <w:rPr>
              <w:rFonts w:asciiTheme="minorHAnsi" w:hAnsiTheme="minorHAnsi"/>
              <w:noProof/>
              <w:lang w:val="en-GB" w:eastAsia="en-GB"/>
            </w:rPr>
          </w:pPr>
          <w:hyperlink w:anchor="_Toc496267947" w:history="1">
            <w:r>
              <w:rPr>
                <w:rStyle w:val="Hyperlink"/>
                <w:noProof/>
              </w:rPr>
              <w:t>3.4. Results achieved by the</w:t>
            </w:r>
            <w:r>
              <w:rPr>
                <w:rStyle w:val="Hyperlink"/>
                <w:noProof/>
              </w:rPr>
              <w:t xml:space="preserve"> EGF</w:t>
            </w:r>
            <w:r>
              <w:rPr>
                <w:noProof/>
                <w:webHidden/>
              </w:rPr>
              <w:tab/>
            </w:r>
            <w:r>
              <w:rPr>
                <w:noProof/>
                <w:webHidden/>
              </w:rPr>
              <w:fldChar w:fldCharType="begin"/>
            </w:r>
            <w:r>
              <w:rPr>
                <w:noProof/>
                <w:webHidden/>
              </w:rPr>
              <w:instrText xml:space="preserve"> PAGEREF _Toc496267947 \h </w:instrText>
            </w:r>
            <w:r>
              <w:rPr>
                <w:noProof/>
                <w:webHidden/>
              </w:rPr>
            </w:r>
            <w:r>
              <w:rPr>
                <w:noProof/>
                <w:webHidden/>
              </w:rPr>
              <w:fldChar w:fldCharType="separate"/>
            </w:r>
            <w:r w:rsidR="00335B79">
              <w:rPr>
                <w:noProof/>
                <w:webHidden/>
              </w:rPr>
              <w:t>16</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48" w:history="1">
            <w:r>
              <w:rPr>
                <w:rStyle w:val="Hyperlink"/>
                <w:noProof/>
              </w:rPr>
              <w:t>3.4.1. Summary of the results reported in 2015 and 2016</w:t>
            </w:r>
            <w:r>
              <w:rPr>
                <w:noProof/>
                <w:webHidden/>
              </w:rPr>
              <w:tab/>
            </w:r>
            <w:r>
              <w:rPr>
                <w:noProof/>
                <w:webHidden/>
              </w:rPr>
              <w:fldChar w:fldCharType="begin"/>
            </w:r>
            <w:r>
              <w:rPr>
                <w:noProof/>
                <w:webHidden/>
              </w:rPr>
              <w:instrText xml:space="preserve"> PAGEREF _Toc496267948 \h </w:instrText>
            </w:r>
            <w:r>
              <w:rPr>
                <w:noProof/>
                <w:webHidden/>
              </w:rPr>
            </w:r>
            <w:r>
              <w:rPr>
                <w:noProof/>
                <w:webHidden/>
              </w:rPr>
              <w:fldChar w:fldCharType="separate"/>
            </w:r>
            <w:r w:rsidR="00335B79">
              <w:rPr>
                <w:noProof/>
                <w:webHidden/>
              </w:rPr>
              <w:t>16</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49" w:history="1">
            <w:r>
              <w:rPr>
                <w:rStyle w:val="Hyperlink"/>
                <w:noProof/>
              </w:rPr>
              <w:t>3.4.2. Qualitative assessment of the Final Reports submitted in 2015 and 2016</w:t>
            </w:r>
            <w:r>
              <w:rPr>
                <w:noProof/>
                <w:webHidden/>
              </w:rPr>
              <w:tab/>
            </w:r>
            <w:r>
              <w:rPr>
                <w:noProof/>
                <w:webHidden/>
              </w:rPr>
              <w:fldChar w:fldCharType="begin"/>
            </w:r>
            <w:r>
              <w:rPr>
                <w:noProof/>
                <w:webHidden/>
              </w:rPr>
              <w:instrText xml:space="preserve"> PAGEREF _Toc496267949 \h </w:instrText>
            </w:r>
            <w:r>
              <w:rPr>
                <w:noProof/>
                <w:webHidden/>
              </w:rPr>
            </w:r>
            <w:r>
              <w:rPr>
                <w:noProof/>
                <w:webHidden/>
              </w:rPr>
              <w:fldChar w:fldCharType="separate"/>
            </w:r>
            <w:r w:rsidR="00335B79">
              <w:rPr>
                <w:noProof/>
                <w:webHidden/>
              </w:rPr>
              <w:t>17</w:t>
            </w:r>
            <w:r>
              <w:rPr>
                <w:noProof/>
                <w:webHidden/>
              </w:rPr>
              <w:fldChar w:fldCharType="end"/>
            </w:r>
          </w:hyperlink>
        </w:p>
        <w:p w:rsidR="00B54C1A" w:rsidRDefault="00BA5FEF">
          <w:pPr>
            <w:pStyle w:val="TOC2"/>
            <w:tabs>
              <w:tab w:val="right" w:leader="dot" w:pos="9062"/>
            </w:tabs>
            <w:rPr>
              <w:rFonts w:asciiTheme="minorHAnsi" w:hAnsiTheme="minorHAnsi"/>
              <w:noProof/>
              <w:lang w:val="en-GB" w:eastAsia="en-GB"/>
            </w:rPr>
          </w:pPr>
          <w:hyperlink w:anchor="_Toc496267950" w:history="1">
            <w:r>
              <w:rPr>
                <w:rStyle w:val="Hyperlink"/>
                <w:noProof/>
              </w:rPr>
              <w:t>3.5. MFF Review – Re</w:t>
            </w:r>
            <w:r>
              <w:rPr>
                <w:rStyle w:val="Hyperlink"/>
                <w:noProof/>
              </w:rPr>
              <w:t>gulation (EU) No 1309/2013</w:t>
            </w:r>
            <w:r>
              <w:rPr>
                <w:noProof/>
                <w:webHidden/>
              </w:rPr>
              <w:tab/>
            </w:r>
            <w:r>
              <w:rPr>
                <w:noProof/>
                <w:webHidden/>
              </w:rPr>
              <w:fldChar w:fldCharType="begin"/>
            </w:r>
            <w:r>
              <w:rPr>
                <w:noProof/>
                <w:webHidden/>
              </w:rPr>
              <w:instrText xml:space="preserve"> PAGEREF _Toc496267950 \h </w:instrText>
            </w:r>
            <w:r>
              <w:rPr>
                <w:noProof/>
                <w:webHidden/>
              </w:rPr>
            </w:r>
            <w:r>
              <w:rPr>
                <w:noProof/>
                <w:webHidden/>
              </w:rPr>
              <w:fldChar w:fldCharType="separate"/>
            </w:r>
            <w:r w:rsidR="00335B79">
              <w:rPr>
                <w:noProof/>
                <w:webHidden/>
              </w:rPr>
              <w:t>18</w:t>
            </w:r>
            <w:r>
              <w:rPr>
                <w:noProof/>
                <w:webHidden/>
              </w:rPr>
              <w:fldChar w:fldCharType="end"/>
            </w:r>
          </w:hyperlink>
        </w:p>
        <w:p w:rsidR="00B54C1A" w:rsidRDefault="00BA5FEF">
          <w:pPr>
            <w:pStyle w:val="TOC2"/>
            <w:tabs>
              <w:tab w:val="right" w:leader="dot" w:pos="9062"/>
            </w:tabs>
            <w:rPr>
              <w:rFonts w:asciiTheme="minorHAnsi" w:hAnsiTheme="minorHAnsi"/>
              <w:noProof/>
              <w:lang w:val="en-GB" w:eastAsia="en-GB"/>
            </w:rPr>
          </w:pPr>
          <w:hyperlink w:anchor="_Toc496267951" w:history="1">
            <w:r>
              <w:rPr>
                <w:rStyle w:val="Hyperlink"/>
                <w:noProof/>
              </w:rPr>
              <w:t>3.6. Financial execution</w:t>
            </w:r>
            <w:r>
              <w:rPr>
                <w:noProof/>
                <w:webHidden/>
              </w:rPr>
              <w:tab/>
            </w:r>
            <w:r>
              <w:rPr>
                <w:noProof/>
                <w:webHidden/>
              </w:rPr>
              <w:fldChar w:fldCharType="begin"/>
            </w:r>
            <w:r>
              <w:rPr>
                <w:noProof/>
                <w:webHidden/>
              </w:rPr>
              <w:instrText xml:space="preserve"> PAGEREF _Toc496267951 \h </w:instrText>
            </w:r>
            <w:r>
              <w:rPr>
                <w:noProof/>
                <w:webHidden/>
              </w:rPr>
            </w:r>
            <w:r>
              <w:rPr>
                <w:noProof/>
                <w:webHidden/>
              </w:rPr>
              <w:fldChar w:fldCharType="separate"/>
            </w:r>
            <w:r w:rsidR="00335B79">
              <w:rPr>
                <w:noProof/>
                <w:webHidden/>
              </w:rPr>
              <w:t>21</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52" w:history="1">
            <w:r>
              <w:rPr>
                <w:rStyle w:val="Hyperlink"/>
                <w:noProof/>
              </w:rPr>
              <w:t>3.6.1. Funds contributed by the EGF</w:t>
            </w:r>
            <w:r>
              <w:rPr>
                <w:noProof/>
                <w:webHidden/>
              </w:rPr>
              <w:tab/>
            </w:r>
            <w:r>
              <w:rPr>
                <w:noProof/>
                <w:webHidden/>
              </w:rPr>
              <w:fldChar w:fldCharType="begin"/>
            </w:r>
            <w:r>
              <w:rPr>
                <w:noProof/>
                <w:webHidden/>
              </w:rPr>
              <w:instrText xml:space="preserve"> PAGEREF _Toc496267952 \h </w:instrText>
            </w:r>
            <w:r>
              <w:rPr>
                <w:noProof/>
                <w:webHidden/>
              </w:rPr>
            </w:r>
            <w:r>
              <w:rPr>
                <w:noProof/>
                <w:webHidden/>
              </w:rPr>
              <w:fldChar w:fldCharType="separate"/>
            </w:r>
            <w:r w:rsidR="00335B79">
              <w:rPr>
                <w:noProof/>
                <w:webHidden/>
              </w:rPr>
              <w:t>21</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53" w:history="1">
            <w:r>
              <w:rPr>
                <w:rStyle w:val="Hyperlink"/>
                <w:noProof/>
              </w:rPr>
              <w:t>3.6.2. Technical assistance expendit</w:t>
            </w:r>
            <w:r>
              <w:rPr>
                <w:rStyle w:val="Hyperlink"/>
                <w:noProof/>
              </w:rPr>
              <w:t>ure</w:t>
            </w:r>
            <w:r>
              <w:rPr>
                <w:noProof/>
                <w:webHidden/>
              </w:rPr>
              <w:tab/>
            </w:r>
            <w:r>
              <w:rPr>
                <w:noProof/>
                <w:webHidden/>
              </w:rPr>
              <w:fldChar w:fldCharType="begin"/>
            </w:r>
            <w:r>
              <w:rPr>
                <w:noProof/>
                <w:webHidden/>
              </w:rPr>
              <w:instrText xml:space="preserve"> PAGEREF _Toc496267953 \h </w:instrText>
            </w:r>
            <w:r>
              <w:rPr>
                <w:noProof/>
                <w:webHidden/>
              </w:rPr>
            </w:r>
            <w:r>
              <w:rPr>
                <w:noProof/>
                <w:webHidden/>
              </w:rPr>
              <w:fldChar w:fldCharType="separate"/>
            </w:r>
            <w:r w:rsidR="00335B79">
              <w:rPr>
                <w:noProof/>
                <w:webHidden/>
              </w:rPr>
              <w:t>21</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54" w:history="1">
            <w:r>
              <w:rPr>
                <w:rStyle w:val="Hyperlink"/>
                <w:noProof/>
              </w:rPr>
              <w:t>3.6.3. Irregularities reported</w:t>
            </w:r>
            <w:r>
              <w:rPr>
                <w:noProof/>
                <w:webHidden/>
              </w:rPr>
              <w:tab/>
            </w:r>
            <w:r>
              <w:rPr>
                <w:noProof/>
                <w:webHidden/>
              </w:rPr>
              <w:fldChar w:fldCharType="begin"/>
            </w:r>
            <w:r>
              <w:rPr>
                <w:noProof/>
                <w:webHidden/>
              </w:rPr>
              <w:instrText xml:space="preserve"> PAGEREF _Toc496267954 \h </w:instrText>
            </w:r>
            <w:r>
              <w:rPr>
                <w:noProof/>
                <w:webHidden/>
              </w:rPr>
            </w:r>
            <w:r>
              <w:rPr>
                <w:noProof/>
                <w:webHidden/>
              </w:rPr>
              <w:fldChar w:fldCharType="separate"/>
            </w:r>
            <w:r w:rsidR="00335B79">
              <w:rPr>
                <w:noProof/>
                <w:webHidden/>
              </w:rPr>
              <w:t>23</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55" w:history="1">
            <w:r>
              <w:rPr>
                <w:rStyle w:val="Hyperlink"/>
                <w:noProof/>
              </w:rPr>
              <w:t>3.6.4. Winding-up of financial contributions from the EGF</w:t>
            </w:r>
            <w:r>
              <w:rPr>
                <w:noProof/>
                <w:webHidden/>
              </w:rPr>
              <w:tab/>
            </w:r>
            <w:r>
              <w:rPr>
                <w:noProof/>
                <w:webHidden/>
              </w:rPr>
              <w:fldChar w:fldCharType="begin"/>
            </w:r>
            <w:r>
              <w:rPr>
                <w:noProof/>
                <w:webHidden/>
              </w:rPr>
              <w:instrText xml:space="preserve"> PAGEREF _Toc496267955 \h </w:instrText>
            </w:r>
            <w:r>
              <w:rPr>
                <w:noProof/>
                <w:webHidden/>
              </w:rPr>
            </w:r>
            <w:r>
              <w:rPr>
                <w:noProof/>
                <w:webHidden/>
              </w:rPr>
              <w:fldChar w:fldCharType="separate"/>
            </w:r>
            <w:r w:rsidR="00335B79">
              <w:rPr>
                <w:noProof/>
                <w:webHidden/>
              </w:rPr>
              <w:t>23</w:t>
            </w:r>
            <w:r>
              <w:rPr>
                <w:noProof/>
                <w:webHidden/>
              </w:rPr>
              <w:fldChar w:fldCharType="end"/>
            </w:r>
          </w:hyperlink>
        </w:p>
        <w:p w:rsidR="00B54C1A" w:rsidRDefault="00BA5FEF">
          <w:pPr>
            <w:pStyle w:val="TOC2"/>
            <w:tabs>
              <w:tab w:val="right" w:leader="dot" w:pos="9062"/>
            </w:tabs>
            <w:rPr>
              <w:rFonts w:asciiTheme="minorHAnsi" w:hAnsiTheme="minorHAnsi"/>
              <w:noProof/>
              <w:lang w:val="en-GB" w:eastAsia="en-GB"/>
            </w:rPr>
          </w:pPr>
          <w:hyperlink w:anchor="_Toc496267956" w:history="1">
            <w:r>
              <w:rPr>
                <w:rStyle w:val="Hyperlink"/>
                <w:noProof/>
              </w:rPr>
              <w:t>3.7. Technical assistance activities undertaken by the Commission</w:t>
            </w:r>
            <w:r>
              <w:rPr>
                <w:noProof/>
                <w:webHidden/>
              </w:rPr>
              <w:tab/>
            </w:r>
            <w:r>
              <w:rPr>
                <w:noProof/>
                <w:webHidden/>
              </w:rPr>
              <w:fldChar w:fldCharType="begin"/>
            </w:r>
            <w:r>
              <w:rPr>
                <w:noProof/>
                <w:webHidden/>
              </w:rPr>
              <w:instrText xml:space="preserve"> PAGEREF _Toc496267956 \h </w:instrText>
            </w:r>
            <w:r>
              <w:rPr>
                <w:noProof/>
                <w:webHidden/>
              </w:rPr>
            </w:r>
            <w:r>
              <w:rPr>
                <w:noProof/>
                <w:webHidden/>
              </w:rPr>
              <w:fldChar w:fldCharType="separate"/>
            </w:r>
            <w:r w:rsidR="00335B79">
              <w:rPr>
                <w:noProof/>
                <w:webHidden/>
              </w:rPr>
              <w:t>24</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57" w:history="1">
            <w:r>
              <w:rPr>
                <w:rStyle w:val="Hyperlink"/>
                <w:noProof/>
              </w:rPr>
              <w:t>3.7.1. Information and publicity: Internet site</w:t>
            </w:r>
            <w:r>
              <w:rPr>
                <w:noProof/>
                <w:webHidden/>
              </w:rPr>
              <w:tab/>
            </w:r>
            <w:r>
              <w:rPr>
                <w:noProof/>
                <w:webHidden/>
              </w:rPr>
              <w:fldChar w:fldCharType="begin"/>
            </w:r>
            <w:r>
              <w:rPr>
                <w:noProof/>
                <w:webHidden/>
              </w:rPr>
              <w:instrText xml:space="preserve"> PAGEREF _Toc496267957 \h </w:instrText>
            </w:r>
            <w:r>
              <w:rPr>
                <w:noProof/>
                <w:webHidden/>
              </w:rPr>
            </w:r>
            <w:r>
              <w:rPr>
                <w:noProof/>
                <w:webHidden/>
              </w:rPr>
              <w:fldChar w:fldCharType="separate"/>
            </w:r>
            <w:r w:rsidR="00335B79">
              <w:rPr>
                <w:noProof/>
                <w:webHidden/>
              </w:rPr>
              <w:t>24</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58" w:history="1">
            <w:r>
              <w:rPr>
                <w:rStyle w:val="Hyperlink"/>
                <w:noProof/>
              </w:rPr>
              <w:t>3.7.2. Meetings with the national authorities and EGF stakeholders</w:t>
            </w:r>
            <w:r>
              <w:rPr>
                <w:noProof/>
                <w:webHidden/>
              </w:rPr>
              <w:tab/>
            </w:r>
            <w:r>
              <w:rPr>
                <w:noProof/>
                <w:webHidden/>
              </w:rPr>
              <w:fldChar w:fldCharType="begin"/>
            </w:r>
            <w:r>
              <w:rPr>
                <w:noProof/>
                <w:webHidden/>
              </w:rPr>
              <w:instrText xml:space="preserve"> PAGEREF _Toc496267958 \h </w:instrText>
            </w:r>
            <w:r>
              <w:rPr>
                <w:noProof/>
                <w:webHidden/>
              </w:rPr>
            </w:r>
            <w:r>
              <w:rPr>
                <w:noProof/>
                <w:webHidden/>
              </w:rPr>
              <w:fldChar w:fldCharType="separate"/>
            </w:r>
            <w:r w:rsidR="00335B79">
              <w:rPr>
                <w:noProof/>
                <w:webHidden/>
              </w:rPr>
              <w:t>24</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59" w:history="1">
            <w:r>
              <w:rPr>
                <w:rStyle w:val="Hyperlink"/>
                <w:noProof/>
              </w:rPr>
              <w:t>3.7.3. C</w:t>
            </w:r>
            <w:r>
              <w:rPr>
                <w:rStyle w:val="Hyperlink"/>
                <w:noProof/>
              </w:rPr>
              <w:t>reation of a knowledge base</w:t>
            </w:r>
            <w:r>
              <w:rPr>
                <w:noProof/>
                <w:webHidden/>
              </w:rPr>
              <w:tab/>
            </w:r>
            <w:r>
              <w:rPr>
                <w:noProof/>
                <w:webHidden/>
              </w:rPr>
              <w:fldChar w:fldCharType="begin"/>
            </w:r>
            <w:r>
              <w:rPr>
                <w:noProof/>
                <w:webHidden/>
              </w:rPr>
              <w:instrText xml:space="preserve"> PAGEREF _Toc496267959 \h </w:instrText>
            </w:r>
            <w:r>
              <w:rPr>
                <w:noProof/>
                <w:webHidden/>
              </w:rPr>
            </w:r>
            <w:r>
              <w:rPr>
                <w:noProof/>
                <w:webHidden/>
              </w:rPr>
              <w:fldChar w:fldCharType="separate"/>
            </w:r>
            <w:r w:rsidR="00335B79">
              <w:rPr>
                <w:noProof/>
                <w:webHidden/>
              </w:rPr>
              <w:t>24</w:t>
            </w:r>
            <w:r>
              <w:rPr>
                <w:noProof/>
                <w:webHidden/>
              </w:rPr>
              <w:fldChar w:fldCharType="end"/>
            </w:r>
          </w:hyperlink>
        </w:p>
        <w:p w:rsidR="00B54C1A" w:rsidRDefault="00BA5FEF">
          <w:pPr>
            <w:pStyle w:val="TOC3"/>
            <w:tabs>
              <w:tab w:val="right" w:leader="dot" w:pos="9062"/>
            </w:tabs>
            <w:rPr>
              <w:rFonts w:asciiTheme="minorHAnsi" w:hAnsiTheme="minorHAnsi"/>
              <w:noProof/>
              <w:lang w:val="en-GB" w:eastAsia="en-GB"/>
            </w:rPr>
          </w:pPr>
          <w:hyperlink w:anchor="_Toc496267960" w:history="1">
            <w:r>
              <w:rPr>
                <w:rStyle w:val="Hyperlink"/>
                <w:noProof/>
              </w:rPr>
              <w:t>3.7.4. EGF mid-term evaluation 2014 - 2020.</w:t>
            </w:r>
            <w:r>
              <w:rPr>
                <w:noProof/>
                <w:webHidden/>
              </w:rPr>
              <w:tab/>
            </w:r>
            <w:r>
              <w:rPr>
                <w:noProof/>
                <w:webHidden/>
              </w:rPr>
              <w:fldChar w:fldCharType="begin"/>
            </w:r>
            <w:r>
              <w:rPr>
                <w:noProof/>
                <w:webHidden/>
              </w:rPr>
              <w:instrText xml:space="preserve"> PAGEREF _Toc496267960 \h </w:instrText>
            </w:r>
            <w:r>
              <w:rPr>
                <w:noProof/>
                <w:webHidden/>
              </w:rPr>
            </w:r>
            <w:r>
              <w:rPr>
                <w:noProof/>
                <w:webHidden/>
              </w:rPr>
              <w:fldChar w:fldCharType="separate"/>
            </w:r>
            <w:r w:rsidR="00335B79">
              <w:rPr>
                <w:noProof/>
                <w:webHidden/>
              </w:rPr>
              <w:t>25</w:t>
            </w:r>
            <w:r>
              <w:rPr>
                <w:noProof/>
                <w:webHidden/>
              </w:rPr>
              <w:fldChar w:fldCharType="end"/>
            </w:r>
          </w:hyperlink>
        </w:p>
        <w:p w:rsidR="00B54C1A" w:rsidRDefault="00BA5FEF">
          <w:pPr>
            <w:pStyle w:val="TOC1"/>
            <w:tabs>
              <w:tab w:val="right" w:leader="dot" w:pos="9062"/>
            </w:tabs>
            <w:rPr>
              <w:rFonts w:asciiTheme="minorHAnsi" w:eastAsiaTheme="minorEastAsia" w:hAnsiTheme="minorHAnsi"/>
              <w:noProof/>
              <w:lang w:eastAsia="en-GB"/>
            </w:rPr>
          </w:pPr>
          <w:hyperlink w:anchor="_Toc496267961" w:history="1">
            <w:r>
              <w:rPr>
                <w:rStyle w:val="Hyperlink"/>
                <w:noProof/>
              </w:rPr>
              <w:t>4. Cumulative data from 2007 till 2016</w:t>
            </w:r>
            <w:r>
              <w:rPr>
                <w:noProof/>
                <w:webHidden/>
              </w:rPr>
              <w:tab/>
            </w:r>
            <w:r>
              <w:rPr>
                <w:noProof/>
                <w:webHidden/>
              </w:rPr>
              <w:fldChar w:fldCharType="begin"/>
            </w:r>
            <w:r>
              <w:rPr>
                <w:noProof/>
                <w:webHidden/>
              </w:rPr>
              <w:instrText xml:space="preserve"> PAGEREF _Toc496267961 \h </w:instrText>
            </w:r>
            <w:r>
              <w:rPr>
                <w:noProof/>
                <w:webHidden/>
              </w:rPr>
            </w:r>
            <w:r>
              <w:rPr>
                <w:noProof/>
                <w:webHidden/>
              </w:rPr>
              <w:fldChar w:fldCharType="separate"/>
            </w:r>
            <w:r w:rsidR="00335B79">
              <w:rPr>
                <w:noProof/>
                <w:webHidden/>
              </w:rPr>
              <w:t>25</w:t>
            </w:r>
            <w:r>
              <w:rPr>
                <w:noProof/>
                <w:webHidden/>
              </w:rPr>
              <w:fldChar w:fldCharType="end"/>
            </w:r>
          </w:hyperlink>
        </w:p>
        <w:p w:rsidR="00B54C1A" w:rsidRDefault="00BA5FEF">
          <w:pPr>
            <w:jc w:val="both"/>
            <w:rPr>
              <w:rFonts w:ascii="Times New Roman" w:hAnsi="Times New Roman" w:cs="Times New Roman"/>
              <w:b/>
              <w:bCs/>
              <w:noProof/>
            </w:rPr>
          </w:pPr>
          <w:r>
            <w:rPr>
              <w:rFonts w:ascii="Times New Roman" w:hAnsi="Times New Roman" w:cs="Times New Roman"/>
              <w:b/>
              <w:bCs/>
              <w:noProof/>
            </w:rPr>
            <w:fldChar w:fldCharType="end"/>
          </w:r>
        </w:p>
      </w:sdtContent>
    </w:sdt>
    <w:p w:rsidR="00B54C1A" w:rsidRDefault="00BA5FEF">
      <w:pPr>
        <w:rPr>
          <w:rFonts w:ascii="Times New Roman" w:eastAsiaTheme="majorEastAsia" w:hAnsi="Times New Roman" w:cs="Times New Roman"/>
          <w:b/>
          <w:bCs/>
          <w:noProof/>
          <w:color w:val="000000" w:themeColor="text1"/>
          <w:sz w:val="28"/>
          <w:szCs w:val="24"/>
        </w:rPr>
      </w:pPr>
      <w:r>
        <w:rPr>
          <w:rFonts w:ascii="Times New Roman" w:eastAsiaTheme="majorEastAsia" w:hAnsi="Times New Roman" w:cs="Times New Roman"/>
          <w:b/>
          <w:bCs/>
          <w:noProof/>
          <w:color w:val="000000" w:themeColor="text1"/>
          <w:sz w:val="28"/>
          <w:szCs w:val="24"/>
        </w:rPr>
        <w:br w:type="page"/>
      </w:r>
    </w:p>
    <w:p w:rsidR="00B54C1A" w:rsidRDefault="00BA5FEF">
      <w:pPr>
        <w:pStyle w:val="Heading1"/>
        <w:rPr>
          <w:noProof/>
        </w:rPr>
      </w:pPr>
      <w:bookmarkStart w:id="2" w:name="_Toc496267933"/>
      <w:r>
        <w:rPr>
          <w:noProof/>
        </w:rPr>
        <w:lastRenderedPageBreak/>
        <w:t>1. Introduction</w:t>
      </w:r>
      <w:bookmarkEnd w:id="2"/>
    </w:p>
    <w:p w:rsidR="00B54C1A" w:rsidRDefault="00BA5FEF">
      <w:pPr>
        <w:jc w:val="both"/>
        <w:rPr>
          <w:rFonts w:ascii="Times New Roman" w:hAnsi="Times New Roman" w:cs="Times New Roman"/>
          <w:noProof/>
        </w:rPr>
      </w:pPr>
      <w:r>
        <w:rPr>
          <w:rFonts w:ascii="Times New Roman" w:hAnsi="Times New Roman" w:cs="Times New Roman"/>
          <w:noProof/>
        </w:rPr>
        <w:t>The European Globalisation Adjustment Fund (EGF) is intended to provide support to workers made redundant as a result of major structural changes in world trade patterns due to globalisation and the negative effects of the global economic and financial cri</w:t>
      </w:r>
      <w:r>
        <w:rPr>
          <w:rFonts w:ascii="Times New Roman" w:hAnsi="Times New Roman" w:cs="Times New Roman"/>
          <w:noProof/>
        </w:rPr>
        <w:t xml:space="preserve">sis on employment. </w:t>
      </w:r>
    </w:p>
    <w:p w:rsidR="00B54C1A" w:rsidRDefault="00BA5FEF">
      <w:pPr>
        <w:jc w:val="both"/>
        <w:rPr>
          <w:rFonts w:ascii="Times New Roman" w:hAnsi="Times New Roman" w:cs="Times New Roman"/>
          <w:noProof/>
        </w:rPr>
      </w:pPr>
      <w:r>
        <w:rPr>
          <w:rFonts w:ascii="Times New Roman" w:hAnsi="Times New Roman" w:cs="Times New Roman"/>
          <w:noProof/>
        </w:rPr>
        <w:t>The EGF, which was set up by Regulation (EC) No 1927/2006</w:t>
      </w:r>
      <w:r>
        <w:rPr>
          <w:rFonts w:ascii="Times New Roman" w:hAnsi="Times New Roman" w:cs="Times New Roman"/>
          <w:noProof/>
          <w:vertAlign w:val="superscript"/>
        </w:rPr>
        <w:footnoteReference w:id="1"/>
      </w:r>
      <w:r>
        <w:rPr>
          <w:rFonts w:ascii="Times New Roman" w:hAnsi="Times New Roman" w:cs="Times New Roman"/>
          <w:noProof/>
        </w:rPr>
        <w:t xml:space="preserve">, was designed to reconcile the overall long-term benefits of open trade for growth and employment with the short-term adverse effects which globalisation may have, particularly on the employment of the most vulnerable and lowest-skilled workers. </w:t>
      </w:r>
    </w:p>
    <w:p w:rsidR="00B54C1A" w:rsidRDefault="00BA5FEF">
      <w:pPr>
        <w:autoSpaceDE w:val="0"/>
        <w:autoSpaceDN w:val="0"/>
        <w:adjustRightInd w:val="0"/>
        <w:spacing w:after="0"/>
        <w:jc w:val="both"/>
        <w:rPr>
          <w:rFonts w:ascii="Times New Roman" w:hAnsi="Times New Roman" w:cs="Times New Roman"/>
          <w:noProof/>
        </w:rPr>
      </w:pPr>
      <w:r>
        <w:rPr>
          <w:rFonts w:ascii="Times New Roman" w:hAnsi="Times New Roman" w:cs="Times New Roman"/>
          <w:noProof/>
        </w:rPr>
        <w:t>To respo</w:t>
      </w:r>
      <w:r>
        <w:rPr>
          <w:rFonts w:ascii="Times New Roman" w:hAnsi="Times New Roman" w:cs="Times New Roman"/>
          <w:noProof/>
        </w:rPr>
        <w:t>nd to the global economic and financial crisis, the rules governing the EGF were amended in 2009 first by Regulation (EC) No 546/2009</w:t>
      </w:r>
      <w:r>
        <w:rPr>
          <w:rFonts w:ascii="Times New Roman" w:hAnsi="Times New Roman" w:cs="Times New Roman"/>
          <w:noProof/>
          <w:vertAlign w:val="superscript"/>
        </w:rPr>
        <w:footnoteReference w:id="2"/>
      </w:r>
      <w:r>
        <w:rPr>
          <w:rFonts w:ascii="Times New Roman" w:hAnsi="Times New Roman" w:cs="Times New Roman"/>
          <w:noProof/>
        </w:rPr>
        <w:t xml:space="preserve"> and, since January 2014, by Regulation (EU) No 1309/2013</w:t>
      </w:r>
      <w:r>
        <w:rPr>
          <w:rFonts w:ascii="Times New Roman" w:hAnsi="Times New Roman" w:cs="Times New Roman"/>
          <w:noProof/>
          <w:vertAlign w:val="superscript"/>
        </w:rPr>
        <w:footnoteReference w:id="3"/>
      </w:r>
      <w:r>
        <w:rPr>
          <w:rFonts w:ascii="Times New Roman" w:hAnsi="Times New Roman" w:cs="Times New Roman"/>
          <w:noProof/>
        </w:rPr>
        <w:t>. Under Regulation (EU) No 1309/2013, a financial and economic c</w:t>
      </w:r>
      <w:r>
        <w:rPr>
          <w:rFonts w:ascii="Times New Roman" w:hAnsi="Times New Roman" w:cs="Times New Roman"/>
          <w:noProof/>
        </w:rPr>
        <w:t>risis criterion has been reintroduced for the EGF applications. Another important change is the inclusion of new categories of beneficiaries, such as temporary and agency workers, self-employed workers and – until the end of 2017 – young people not in empl</w:t>
      </w:r>
      <w:r>
        <w:rPr>
          <w:rFonts w:ascii="Times New Roman" w:hAnsi="Times New Roman" w:cs="Times New Roman"/>
          <w:noProof/>
        </w:rPr>
        <w:t>oyment, education or training (NEETs)</w:t>
      </w:r>
      <w:r>
        <w:rPr>
          <w:rStyle w:val="FootnoteReference"/>
          <w:rFonts w:ascii="Times New Roman" w:hAnsi="Times New Roman" w:cs="Times New Roman"/>
          <w:noProof/>
        </w:rPr>
        <w:footnoteReference w:id="4"/>
      </w:r>
      <w:r>
        <w:rPr>
          <w:rFonts w:ascii="Times New Roman" w:hAnsi="Times New Roman" w:cs="Times New Roman"/>
          <w:noProof/>
        </w:rPr>
        <w:t>.</w:t>
      </w:r>
    </w:p>
    <w:p w:rsidR="00B54C1A" w:rsidRDefault="00B54C1A">
      <w:pPr>
        <w:autoSpaceDE w:val="0"/>
        <w:autoSpaceDN w:val="0"/>
        <w:adjustRightInd w:val="0"/>
        <w:spacing w:after="0"/>
        <w:jc w:val="both"/>
        <w:rPr>
          <w:rFonts w:ascii="Times New Roman" w:hAnsi="Times New Roman" w:cs="Times New Roman"/>
          <w:noProof/>
        </w:rPr>
      </w:pPr>
    </w:p>
    <w:p w:rsidR="00B54C1A" w:rsidRDefault="00BA5FEF">
      <w:pPr>
        <w:jc w:val="both"/>
        <w:rPr>
          <w:rFonts w:ascii="Times New Roman" w:hAnsi="Times New Roman" w:cs="Times New Roman"/>
          <w:noProof/>
        </w:rPr>
      </w:pPr>
      <w:r>
        <w:rPr>
          <w:rFonts w:ascii="Times New Roman" w:hAnsi="Times New Roman" w:cs="Times New Roman"/>
          <w:noProof/>
        </w:rPr>
        <w:t>The EGF co-finances active labour market policy measures taken by the Member States to help redundant workers to find new jobs. It supplements national labour market measures where sudden collective redundancy proce</w:t>
      </w:r>
      <w:r>
        <w:rPr>
          <w:rFonts w:ascii="Times New Roman" w:hAnsi="Times New Roman" w:cs="Times New Roman"/>
          <w:noProof/>
        </w:rPr>
        <w:t xml:space="preserve">sses put the public employment services under extraordinary pressure and can therefore provide a more personalised and targeted approach to the most vulnerable redundant workers. </w:t>
      </w:r>
    </w:p>
    <w:p w:rsidR="00B54C1A" w:rsidRDefault="00BA5FEF">
      <w:pPr>
        <w:jc w:val="both"/>
        <w:rPr>
          <w:rFonts w:ascii="Times New Roman" w:hAnsi="Times New Roman" w:cs="Times New Roman"/>
          <w:noProof/>
        </w:rPr>
      </w:pPr>
      <w:r>
        <w:rPr>
          <w:rFonts w:ascii="Times New Roman" w:hAnsi="Times New Roman" w:cs="Times New Roman"/>
          <w:noProof/>
        </w:rPr>
        <w:t>Article 19 of Regulation (EU) No 1309/2013 requires the Commission to presen</w:t>
      </w:r>
      <w:r>
        <w:rPr>
          <w:rFonts w:ascii="Times New Roman" w:hAnsi="Times New Roman" w:cs="Times New Roman"/>
          <w:noProof/>
        </w:rPr>
        <w:t>t to the European Parliament and to the Council every two years a quantitative and qualitative report on the activities of the EGF in the previous two years. The reports must focus mainly on the results achieved by the EGF, including in particular informat</w:t>
      </w:r>
      <w:r>
        <w:rPr>
          <w:rFonts w:ascii="Times New Roman" w:hAnsi="Times New Roman" w:cs="Times New Roman"/>
          <w:noProof/>
        </w:rPr>
        <w:t>ion on:</w:t>
      </w:r>
    </w:p>
    <w:p w:rsidR="00B54C1A" w:rsidRDefault="00BA5FEF">
      <w:pPr>
        <w:numPr>
          <w:ilvl w:val="0"/>
          <w:numId w:val="1"/>
        </w:numPr>
        <w:contextualSpacing/>
        <w:jc w:val="both"/>
        <w:rPr>
          <w:rFonts w:ascii="Times New Roman" w:hAnsi="Times New Roman" w:cs="Times New Roman"/>
          <w:noProof/>
        </w:rPr>
      </w:pPr>
      <w:r>
        <w:rPr>
          <w:rFonts w:ascii="Times New Roman" w:hAnsi="Times New Roman" w:cs="Times New Roman"/>
          <w:noProof/>
        </w:rPr>
        <w:t>applications submitted;</w:t>
      </w:r>
    </w:p>
    <w:p w:rsidR="00B54C1A" w:rsidRDefault="00BA5FEF">
      <w:pPr>
        <w:numPr>
          <w:ilvl w:val="0"/>
          <w:numId w:val="1"/>
        </w:numPr>
        <w:contextualSpacing/>
        <w:jc w:val="both"/>
        <w:rPr>
          <w:rFonts w:ascii="Times New Roman" w:hAnsi="Times New Roman" w:cs="Times New Roman"/>
          <w:noProof/>
        </w:rPr>
      </w:pPr>
      <w:r>
        <w:rPr>
          <w:rFonts w:ascii="Times New Roman" w:hAnsi="Times New Roman" w:cs="Times New Roman"/>
          <w:noProof/>
        </w:rPr>
        <w:t>decisions adopted;</w:t>
      </w:r>
    </w:p>
    <w:p w:rsidR="00B54C1A" w:rsidRDefault="00BA5FEF">
      <w:pPr>
        <w:numPr>
          <w:ilvl w:val="0"/>
          <w:numId w:val="1"/>
        </w:numPr>
        <w:contextualSpacing/>
        <w:jc w:val="both"/>
        <w:rPr>
          <w:rFonts w:ascii="Times New Roman" w:hAnsi="Times New Roman" w:cs="Times New Roman"/>
          <w:noProof/>
        </w:rPr>
      </w:pPr>
      <w:r>
        <w:rPr>
          <w:rFonts w:ascii="Times New Roman" w:hAnsi="Times New Roman" w:cs="Times New Roman"/>
          <w:noProof/>
        </w:rPr>
        <w:t>actions funded, including their complementarity with actions funded by other Union instruments, in particular the European Social Fund (ESF);</w:t>
      </w:r>
    </w:p>
    <w:p w:rsidR="00B54C1A" w:rsidRDefault="00BA5FEF">
      <w:pPr>
        <w:numPr>
          <w:ilvl w:val="0"/>
          <w:numId w:val="1"/>
        </w:numPr>
        <w:contextualSpacing/>
        <w:jc w:val="both"/>
        <w:rPr>
          <w:rFonts w:ascii="Times New Roman" w:hAnsi="Times New Roman" w:cs="Times New Roman"/>
          <w:noProof/>
        </w:rPr>
      </w:pPr>
      <w:r>
        <w:rPr>
          <w:rFonts w:ascii="Times New Roman" w:hAnsi="Times New Roman" w:cs="Times New Roman"/>
          <w:noProof/>
        </w:rPr>
        <w:t xml:space="preserve">winding-up of financial contributions made. </w:t>
      </w:r>
    </w:p>
    <w:p w:rsidR="00B54C1A" w:rsidRDefault="00BA5FEF">
      <w:pPr>
        <w:jc w:val="both"/>
        <w:rPr>
          <w:rFonts w:ascii="Times New Roman" w:hAnsi="Times New Roman" w:cs="Times New Roman"/>
          <w:noProof/>
        </w:rPr>
      </w:pPr>
      <w:r>
        <w:rPr>
          <w:rFonts w:ascii="Times New Roman" w:hAnsi="Times New Roman" w:cs="Times New Roman"/>
          <w:noProof/>
        </w:rPr>
        <w:t>The reports should</w:t>
      </w:r>
      <w:r>
        <w:rPr>
          <w:rFonts w:ascii="Times New Roman" w:hAnsi="Times New Roman" w:cs="Times New Roman"/>
          <w:noProof/>
        </w:rPr>
        <w:t xml:space="preserve"> also document requests refused owing to insufficient funds or ineligibility and examine actions completed in the reference period rather than following cases during their lifecycle. Each section of the report will thus examine different cases. </w:t>
      </w:r>
    </w:p>
    <w:p w:rsidR="00B54C1A" w:rsidRDefault="00BA5FEF">
      <w:pPr>
        <w:pStyle w:val="Heading1"/>
        <w:rPr>
          <w:noProof/>
        </w:rPr>
      </w:pPr>
      <w:bookmarkStart w:id="3" w:name="_Toc496267934"/>
      <w:r>
        <w:rPr>
          <w:noProof/>
        </w:rPr>
        <w:lastRenderedPageBreak/>
        <w:t>2. Overvie</w:t>
      </w:r>
      <w:r>
        <w:rPr>
          <w:noProof/>
        </w:rPr>
        <w:t>w of the activities of the EGF in 2015 and 2016</w:t>
      </w:r>
      <w:bookmarkEnd w:id="3"/>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In 2015 and 2016, the Commission received 20 applications (12 in 2015, 8 in 2016) for contributions from the EGF</w:t>
      </w:r>
      <w:r>
        <w:rPr>
          <w:rStyle w:val="FootnoteReference"/>
          <w:rFonts w:ascii="Times New Roman" w:hAnsi="Times New Roman" w:cs="Times New Roman"/>
          <w:noProof/>
          <w:color w:val="000000" w:themeColor="text1"/>
        </w:rPr>
        <w:footnoteReference w:id="5"/>
      </w:r>
      <w:r>
        <w:rPr>
          <w:rFonts w:ascii="Times New Roman" w:hAnsi="Times New Roman" w:cs="Times New Roman"/>
          <w:noProof/>
          <w:color w:val="000000" w:themeColor="text1"/>
        </w:rPr>
        <w:t xml:space="preserve">. The budgetary authority decided to mobilise the EGF in 17 cases, while three applications </w:t>
      </w:r>
      <w:r>
        <w:rPr>
          <w:rFonts w:ascii="Times New Roman" w:hAnsi="Times New Roman" w:cs="Times New Roman"/>
          <w:noProof/>
          <w:color w:val="000000" w:themeColor="text1"/>
        </w:rPr>
        <w:t>were withdrawn by the Member States</w:t>
      </w:r>
      <w:r>
        <w:rPr>
          <w:rFonts w:ascii="Times New Roman" w:hAnsi="Times New Roman" w:cs="Times New Roman"/>
          <w:noProof/>
          <w:color w:val="000000" w:themeColor="text1"/>
          <w:vertAlign w:val="superscript"/>
        </w:rPr>
        <w:footnoteReference w:id="6"/>
      </w:r>
      <w:r>
        <w:rPr>
          <w:rFonts w:ascii="Times New Roman" w:hAnsi="Times New Roman" w:cs="Times New Roman"/>
          <w:noProof/>
          <w:color w:val="000000" w:themeColor="text1"/>
        </w:rPr>
        <w:t>. With regard to those 17 applications,  a total EGF amount of EUR 51 171 249 was requested by the Member States (EUR 35 400 623 in 2015, EUR 15 770 626 in 2016). Details of the applications received are given in section</w:t>
      </w:r>
      <w:r>
        <w:rPr>
          <w:rFonts w:ascii="Times New Roman" w:hAnsi="Times New Roman" w:cs="Times New Roman"/>
          <w:noProof/>
          <w:color w:val="000000" w:themeColor="text1"/>
        </w:rPr>
        <w:t xml:space="preserve"> 3.1 and in Tables 1 and 2. </w:t>
      </w:r>
    </w:p>
    <w:p w:rsidR="00B54C1A" w:rsidRDefault="00BA5FEF">
      <w:pPr>
        <w:jc w:val="both"/>
        <w:rPr>
          <w:rFonts w:ascii="Times New Roman" w:hAnsi="Times New Roman" w:cs="Times New Roman"/>
          <w:noProof/>
        </w:rPr>
      </w:pPr>
      <w:r>
        <w:rPr>
          <w:rFonts w:ascii="Times New Roman" w:hAnsi="Times New Roman" w:cs="Times New Roman"/>
          <w:noProof/>
        </w:rPr>
        <w:t xml:space="preserve">The budgetary authority </w:t>
      </w:r>
      <w:r>
        <w:rPr>
          <w:rFonts w:ascii="Times New Roman" w:hAnsi="Times New Roman" w:cs="Times New Roman"/>
          <w:noProof/>
          <w:color w:val="000000" w:themeColor="text1"/>
        </w:rPr>
        <w:t xml:space="preserve">took 25 decisions </w:t>
      </w:r>
      <w:r>
        <w:rPr>
          <w:rFonts w:ascii="Times New Roman" w:hAnsi="Times New Roman" w:cs="Times New Roman"/>
          <w:noProof/>
        </w:rPr>
        <w:t>to mobilise the EGF</w:t>
      </w:r>
      <w:r>
        <w:rPr>
          <w:rFonts w:ascii="Times New Roman" w:hAnsi="Times New Roman" w:cs="Times New Roman"/>
          <w:noProof/>
          <w:color w:val="000000" w:themeColor="text1"/>
        </w:rPr>
        <w:t xml:space="preserve"> (</w:t>
      </w:r>
      <w:r>
        <w:rPr>
          <w:rFonts w:ascii="Times New Roman" w:hAnsi="Times New Roman"/>
          <w:noProof/>
          <w:color w:val="000000"/>
        </w:rPr>
        <w:t>including ten applications received before 01/01/2015</w:t>
      </w:r>
      <w:r>
        <w:rPr>
          <w:rFonts w:ascii="Times New Roman" w:hAnsi="Times New Roman" w:cs="Times New Roman"/>
          <w:noProof/>
          <w:color w:val="000000" w:themeColor="text1"/>
        </w:rPr>
        <w:t>)</w:t>
      </w:r>
      <w:r>
        <w:rPr>
          <w:rFonts w:ascii="Times New Roman" w:hAnsi="Times New Roman" w:cs="Times New Roman"/>
          <w:noProof/>
        </w:rPr>
        <w:t xml:space="preserve">, totalling an amount of </w:t>
      </w:r>
      <w:r>
        <w:rPr>
          <w:rFonts w:ascii="Times New Roman" w:hAnsi="Times New Roman" w:cs="Times New Roman"/>
          <w:noProof/>
          <w:color w:val="000000" w:themeColor="text1"/>
        </w:rPr>
        <w:t>EUR 70 392 546</w:t>
      </w:r>
      <w:r>
        <w:rPr>
          <w:rStyle w:val="FootnoteReference"/>
          <w:rFonts w:ascii="Times New Roman" w:hAnsi="Times New Roman" w:cs="Times New Roman"/>
          <w:noProof/>
          <w:color w:val="000000" w:themeColor="text1"/>
        </w:rPr>
        <w:footnoteReference w:id="7"/>
      </w:r>
      <w:r>
        <w:rPr>
          <w:rFonts w:ascii="Times New Roman" w:hAnsi="Times New Roman" w:cs="Times New Roman"/>
          <w:noProof/>
          <w:color w:val="000000" w:themeColor="text1"/>
        </w:rPr>
        <w:t xml:space="preserve"> </w:t>
      </w:r>
      <w:r>
        <w:rPr>
          <w:rFonts w:ascii="Times New Roman" w:hAnsi="Times New Roman" w:cs="Times New Roman"/>
          <w:noProof/>
        </w:rPr>
        <w:t>from the EGF's budget for 2015 and 2016. Details of the contributions</w:t>
      </w:r>
      <w:r>
        <w:rPr>
          <w:rFonts w:ascii="Times New Roman" w:hAnsi="Times New Roman" w:cs="Times New Roman"/>
          <w:noProof/>
        </w:rPr>
        <w:t xml:space="preserve"> granted in 2015 and 2016 are set out in section 3.2 and in Tables 3 and 4. </w:t>
      </w:r>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The Commission received 26 final reports on the implementation of EGF contributions in 2015 and 2016. The results are described in section 3.4 and Table 5. In 2015 and 2016, 34 EG</w:t>
      </w:r>
      <w:r>
        <w:rPr>
          <w:rFonts w:ascii="Times New Roman" w:hAnsi="Times New Roman" w:cs="Times New Roman"/>
          <w:noProof/>
          <w:color w:val="000000" w:themeColor="text1"/>
        </w:rPr>
        <w:t xml:space="preserve">F cases were wound up. Details of the wound up cases are set out in Table 3 of the Annex. </w:t>
      </w:r>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Technical assistance provided at the initiative of the Commission (Article 11 of Regulation (EU) No 1309/2013) is described in sections 3.6.2, 3.7 and Tables 6, 6.1.</w:t>
      </w:r>
      <w:r>
        <w:rPr>
          <w:rFonts w:ascii="Times New Roman" w:hAnsi="Times New Roman" w:cs="Times New Roman"/>
          <w:noProof/>
          <w:color w:val="000000" w:themeColor="text1"/>
        </w:rPr>
        <w:t xml:space="preserve"> </w:t>
      </w:r>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The results of the mid-term evaluation of the EGF 2014-2020 are expected to be published in mid-2017 (see section 3.7.4).</w:t>
      </w:r>
    </w:p>
    <w:p w:rsidR="00B54C1A" w:rsidRDefault="00BA5FEF">
      <w:pPr>
        <w:jc w:val="both"/>
        <w:rPr>
          <w:rFonts w:ascii="Times New Roman" w:hAnsi="Times New Roman" w:cs="Times New Roman"/>
          <w:noProof/>
        </w:rPr>
      </w:pPr>
      <w:r>
        <w:rPr>
          <w:rFonts w:ascii="Times New Roman" w:hAnsi="Times New Roman" w:cs="Times New Roman"/>
          <w:noProof/>
        </w:rPr>
        <w:t>In its Proposal for a Regulation of the European Parliament and of the Council on the financial rules applicable to the general budg</w:t>
      </w:r>
      <w:r>
        <w:rPr>
          <w:rFonts w:ascii="Times New Roman" w:hAnsi="Times New Roman" w:cs="Times New Roman"/>
          <w:noProof/>
        </w:rPr>
        <w:t xml:space="preserve">et of the Union </w:t>
      </w:r>
      <w:r>
        <w:rPr>
          <w:rFonts w:ascii="Times New Roman" w:hAnsi="Times New Roman" w:cs="Times New Roman"/>
          <w:noProof/>
          <w:color w:val="000000" w:themeColor="text1"/>
        </w:rPr>
        <w:t xml:space="preserve">and amending Regulation (EC) No 2012/2002, Regulations (EU) No 1296/2013, (EU) 1301/2013, (EU) No 1303/2013, EU No 1304/2013, (EU) No 1305/2013, (EU) No 1306/2013, (EU) No 1307/2013, (EU) No 1308/2013, (EU) No 1309/2013, (EU) No 1316/2013, </w:t>
      </w:r>
      <w:r>
        <w:rPr>
          <w:rFonts w:ascii="Times New Roman" w:hAnsi="Times New Roman" w:cs="Times New Roman"/>
          <w:noProof/>
          <w:color w:val="000000" w:themeColor="text1"/>
        </w:rPr>
        <w:t>(EU) No 223/2014,(EU) No 283/2014, (EU) No 652/2014 of the European Parliament and of the Council and Decision No 541/2014/EU of the European Parliament and of the Council</w:t>
      </w:r>
      <w:r>
        <w:rPr>
          <w:rStyle w:val="FootnoteReference"/>
          <w:rFonts w:ascii="Times New Roman" w:hAnsi="Times New Roman" w:cs="Times New Roman"/>
          <w:noProof/>
        </w:rPr>
        <w:footnoteReference w:id="8"/>
      </w:r>
      <w:r>
        <w:rPr>
          <w:rFonts w:ascii="Times New Roman" w:hAnsi="Times New Roman" w:cs="Times New Roman"/>
          <w:noProof/>
        </w:rPr>
        <w:t>, the Commission has included amendments to Regulation (EU) No 1309/2013 with regard</w:t>
      </w:r>
      <w:r>
        <w:rPr>
          <w:rFonts w:ascii="Times New Roman" w:hAnsi="Times New Roman" w:cs="Times New Roman"/>
          <w:noProof/>
        </w:rPr>
        <w:t xml:space="preserve"> to the extension of the derogation for NEETs (in force currently until 31.12.2017) and to the internal procedures so as to speed-up the decision making process. Those amendments are currently under discussion within the Multiannual Financial Framework (MF</w:t>
      </w:r>
      <w:r>
        <w:rPr>
          <w:rFonts w:ascii="Times New Roman" w:hAnsi="Times New Roman" w:cs="Times New Roman"/>
          <w:noProof/>
        </w:rPr>
        <w:t xml:space="preserve">F) review process. </w:t>
      </w:r>
    </w:p>
    <w:p w:rsidR="00B54C1A" w:rsidRDefault="00BA5FEF">
      <w:pPr>
        <w:pStyle w:val="Heading1"/>
        <w:rPr>
          <w:noProof/>
        </w:rPr>
      </w:pPr>
      <w:bookmarkStart w:id="4" w:name="_Toc496267935"/>
      <w:r>
        <w:rPr>
          <w:noProof/>
        </w:rPr>
        <w:t>3. Analysis of the activities of the EGF in 2015 and 2016</w:t>
      </w:r>
      <w:bookmarkEnd w:id="4"/>
    </w:p>
    <w:p w:rsidR="00B54C1A" w:rsidRDefault="00BA5FEF">
      <w:pPr>
        <w:pStyle w:val="Heading2"/>
        <w:rPr>
          <w:noProof/>
        </w:rPr>
      </w:pPr>
      <w:bookmarkStart w:id="5" w:name="_Toc496267936"/>
      <w:r>
        <w:rPr>
          <w:noProof/>
        </w:rPr>
        <w:t>3.1. Applications received</w:t>
      </w:r>
      <w:bookmarkEnd w:id="5"/>
    </w:p>
    <w:p w:rsidR="00B54C1A" w:rsidRDefault="00BA5FEF">
      <w:pPr>
        <w:spacing w:before="240"/>
        <w:jc w:val="both"/>
        <w:rPr>
          <w:rFonts w:ascii="Times New Roman" w:hAnsi="Times New Roman" w:cs="Times New Roman"/>
          <w:noProof/>
          <w:color w:val="000000" w:themeColor="text1"/>
        </w:rPr>
      </w:pPr>
      <w:r>
        <w:rPr>
          <w:rFonts w:ascii="Times New Roman" w:hAnsi="Times New Roman" w:cs="Times New Roman"/>
          <w:noProof/>
          <w:color w:val="000000" w:themeColor="text1"/>
        </w:rPr>
        <w:t>In 2015 and 2016, 20 applications from the following 11 Member States were received by the Commission: Belgium, Estonia, Finland, France, Germany, Gree</w:t>
      </w:r>
      <w:r>
        <w:rPr>
          <w:rFonts w:ascii="Times New Roman" w:hAnsi="Times New Roman" w:cs="Times New Roman"/>
          <w:noProof/>
          <w:color w:val="000000" w:themeColor="text1"/>
        </w:rPr>
        <w:t xml:space="preserve">ce, Ireland, Italy, </w:t>
      </w:r>
      <w:r>
        <w:rPr>
          <w:rFonts w:ascii="Times New Roman" w:hAnsi="Times New Roman" w:cs="Times New Roman"/>
          <w:noProof/>
        </w:rPr>
        <w:t>the Netherlands</w:t>
      </w:r>
      <w:r>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lastRenderedPageBreak/>
        <w:t xml:space="preserve">Spain and </w:t>
      </w:r>
      <w:r>
        <w:rPr>
          <w:rFonts w:ascii="Times New Roman" w:hAnsi="Times New Roman" w:cs="Times New Roman"/>
          <w:noProof/>
        </w:rPr>
        <w:t xml:space="preserve">Sweden. </w:t>
      </w:r>
      <w:r>
        <w:rPr>
          <w:rFonts w:ascii="Times New Roman" w:hAnsi="Times New Roman" w:cs="Times New Roman"/>
          <w:noProof/>
          <w:color w:val="000000" w:themeColor="text1"/>
        </w:rPr>
        <w:t xml:space="preserve">For the first time Estonia applied for EGF funding, the 10 other Member States had already previously applied for EGF funding. </w:t>
      </w:r>
      <w:r>
        <w:rPr>
          <w:rFonts w:ascii="Times New Roman" w:eastAsia="Times New Roman" w:hAnsi="Times New Roman" w:cs="Times New Roman"/>
          <w:noProof/>
          <w:color w:val="000000"/>
          <w:lang w:eastAsia="en-GB"/>
        </w:rPr>
        <w:t>Details of these applications are set out in Table 1.</w:t>
      </w:r>
    </w:p>
    <w:p w:rsidR="00B54C1A" w:rsidRDefault="00BA5FEF">
      <w:pPr>
        <w:rPr>
          <w:rFonts w:ascii="Times New Roman" w:eastAsia="Times New Roman" w:hAnsi="Times New Roman" w:cs="Times New Roman"/>
          <w:bCs/>
          <w:noProof/>
          <w:color w:val="000000"/>
          <w:lang w:eastAsia="en-GB"/>
        </w:rPr>
      </w:pPr>
      <w:r>
        <w:rPr>
          <w:rFonts w:ascii="Times New Roman" w:eastAsia="Times New Roman" w:hAnsi="Times New Roman" w:cs="Times New Roman"/>
          <w:bCs/>
          <w:noProof/>
          <w:color w:val="000000"/>
          <w:lang w:eastAsia="en-GB"/>
        </w:rPr>
        <w:t xml:space="preserve">The information in </w:t>
      </w:r>
      <w:r>
        <w:rPr>
          <w:rFonts w:ascii="Times New Roman" w:eastAsia="Times New Roman" w:hAnsi="Times New Roman" w:cs="Times New Roman"/>
          <w:bCs/>
          <w:noProof/>
          <w:color w:val="000000"/>
          <w:lang w:eastAsia="en-GB"/>
        </w:rPr>
        <w:t>sections 3.1.1 to 3.1.6 will not take into account data regarding the withdrawn applications.</w:t>
      </w:r>
    </w:p>
    <w:p w:rsidR="00B54C1A" w:rsidRDefault="00BA5FEF">
      <w:pPr>
        <w:pStyle w:val="Heading3"/>
        <w:rPr>
          <w:noProof/>
        </w:rPr>
      </w:pPr>
      <w:bookmarkStart w:id="6" w:name="_Toc496267937"/>
      <w:r>
        <w:rPr>
          <w:noProof/>
        </w:rPr>
        <w:t>3.1.1. Applications received by intervention criterion</w:t>
      </w:r>
      <w:bookmarkEnd w:id="6"/>
    </w:p>
    <w:p w:rsidR="00B54C1A" w:rsidRDefault="00BA5FEF">
      <w:pPr>
        <w:spacing w:before="240"/>
        <w:jc w:val="both"/>
        <w:rPr>
          <w:rFonts w:ascii="Times New Roman" w:hAnsi="Times New Roman" w:cs="Times New Roman"/>
          <w:noProof/>
          <w:color w:val="000000" w:themeColor="text1"/>
        </w:rPr>
      </w:pPr>
      <w:r>
        <w:rPr>
          <w:rFonts w:ascii="Times New Roman" w:hAnsi="Times New Roman" w:cs="Times New Roman"/>
          <w:noProof/>
          <w:color w:val="000000" w:themeColor="text1"/>
        </w:rPr>
        <w:t>The 2015 and 2016 applications were covered by Regulation (EU) No 1309/2013, which provides for two interve</w:t>
      </w:r>
      <w:r>
        <w:rPr>
          <w:rFonts w:ascii="Times New Roman" w:hAnsi="Times New Roman" w:cs="Times New Roman"/>
          <w:noProof/>
          <w:color w:val="000000" w:themeColor="text1"/>
        </w:rPr>
        <w:t>ntion criteria:</w:t>
      </w:r>
    </w:p>
    <w:p w:rsidR="00B54C1A" w:rsidRDefault="00BA5FEF">
      <w:pPr>
        <w:pStyle w:val="ListParagraph"/>
        <w:numPr>
          <w:ilvl w:val="0"/>
          <w:numId w:val="12"/>
        </w:numPr>
        <w:spacing w:before="240" w:after="0"/>
        <w:jc w:val="both"/>
        <w:rPr>
          <w:rFonts w:ascii="Calibri" w:hAnsi="Calibri"/>
          <w:noProof/>
        </w:rPr>
      </w:pPr>
      <w:r>
        <w:rPr>
          <w:noProof/>
        </w:rPr>
        <w:t xml:space="preserve">Major structural change in world trade patterns due to globalisation. </w:t>
      </w:r>
    </w:p>
    <w:p w:rsidR="00B54C1A" w:rsidRDefault="00BA5FEF">
      <w:pPr>
        <w:pStyle w:val="ListParagraph"/>
        <w:spacing w:before="240" w:after="0"/>
        <w:jc w:val="both"/>
        <w:rPr>
          <w:rFonts w:ascii="Calibri" w:hAnsi="Calibri"/>
          <w:noProof/>
        </w:rPr>
      </w:pPr>
      <w:r>
        <w:rPr>
          <w:noProof/>
        </w:rPr>
        <w:t>Thirteen applications were submitted under the trade criterion out of which 3 were justified by exceptional circumstances.</w:t>
      </w:r>
    </w:p>
    <w:p w:rsidR="00B54C1A" w:rsidRDefault="00BA5FEF">
      <w:pPr>
        <w:pStyle w:val="ListParagraph"/>
        <w:numPr>
          <w:ilvl w:val="0"/>
          <w:numId w:val="12"/>
        </w:numPr>
        <w:spacing w:before="240" w:after="0"/>
        <w:jc w:val="both"/>
        <w:rPr>
          <w:noProof/>
        </w:rPr>
      </w:pPr>
      <w:r>
        <w:rPr>
          <w:noProof/>
        </w:rPr>
        <w:t xml:space="preserve">The economic and financial crisis. </w:t>
      </w:r>
    </w:p>
    <w:p w:rsidR="00B54C1A" w:rsidRDefault="00BA5FEF">
      <w:pPr>
        <w:pStyle w:val="ListParagraph"/>
        <w:spacing w:before="240" w:after="0"/>
        <w:jc w:val="both"/>
        <w:rPr>
          <w:rFonts w:cs="Times New Roman"/>
          <w:noProof/>
          <w:color w:val="000000" w:themeColor="text1"/>
        </w:rPr>
      </w:pPr>
      <w:r>
        <w:rPr>
          <w:noProof/>
        </w:rPr>
        <w:t xml:space="preserve">Four </w:t>
      </w:r>
      <w:r>
        <w:rPr>
          <w:noProof/>
        </w:rPr>
        <w:t>applications were submitted because of the repercussions of the global economic and financial crisis.</w:t>
      </w:r>
    </w:p>
    <w:p w:rsidR="00B54C1A" w:rsidRDefault="00BA5FEF">
      <w:pPr>
        <w:pStyle w:val="Heading3"/>
        <w:rPr>
          <w:noProof/>
        </w:rPr>
      </w:pPr>
      <w:bookmarkStart w:id="7" w:name="_Toc496267938"/>
      <w:r>
        <w:rPr>
          <w:noProof/>
        </w:rPr>
        <w:t>3.1.2. Applications received by sector</w:t>
      </w:r>
      <w:bookmarkEnd w:id="7"/>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17 applications received and adopted were related to redundancies in 12 different sectors. </w:t>
      </w:r>
      <w:r>
        <w:rPr>
          <w:rFonts w:ascii="Times New Roman" w:hAnsi="Times New Roman"/>
          <w:noProof/>
        </w:rPr>
        <w:t xml:space="preserve">The greatest number </w:t>
      </w:r>
      <w:r>
        <w:rPr>
          <w:rFonts w:ascii="Times New Roman" w:hAnsi="Times New Roman"/>
          <w:noProof/>
        </w:rPr>
        <w:t>of applications received concerned the automotive sector (four applications) followed by computer programming, retail trade and computer, electronic and optical products (two applications each). A</w:t>
      </w:r>
      <w:r>
        <w:rPr>
          <w:rFonts w:ascii="Times New Roman" w:hAnsi="Times New Roman" w:cs="Times New Roman"/>
          <w:noProof/>
          <w:color w:val="000000" w:themeColor="text1"/>
        </w:rPr>
        <w:t xml:space="preserve"> first application was submitted regarding redundancies in t</w:t>
      </w:r>
      <w:r>
        <w:rPr>
          <w:rFonts w:ascii="Times New Roman" w:hAnsi="Times New Roman" w:cs="Times New Roman"/>
          <w:noProof/>
          <w:color w:val="000000" w:themeColor="text1"/>
        </w:rPr>
        <w:t>he sector manufacture of coke and refined petroleum products.</w:t>
      </w:r>
    </w:p>
    <w:p w:rsidR="00B54C1A" w:rsidRDefault="00B54C1A">
      <w:pPr>
        <w:spacing w:after="0"/>
        <w:rPr>
          <w:rFonts w:ascii="Times New Roman" w:hAnsi="Times New Roman"/>
          <w:b/>
          <w:i/>
          <w:noProof/>
        </w:rPr>
      </w:pPr>
    </w:p>
    <w:p w:rsidR="00B54C1A" w:rsidRDefault="00BA5FEF">
      <w:pPr>
        <w:spacing w:after="0"/>
        <w:rPr>
          <w:rFonts w:ascii="Times New Roman" w:hAnsi="Times New Roman"/>
          <w:i/>
          <w:noProof/>
          <w:sz w:val="18"/>
          <w:szCs w:val="18"/>
        </w:rPr>
      </w:pPr>
      <w:r>
        <w:rPr>
          <w:rFonts w:ascii="Times New Roman" w:hAnsi="Times New Roman"/>
          <w:b/>
          <w:i/>
          <w:noProof/>
        </w:rPr>
        <w:t>Chart 1:  Number of applications by sector (NACE Rev. 2) in 2015 – 2016*</w:t>
      </w:r>
      <w:r>
        <w:rPr>
          <w:rFonts w:ascii="Times New Roman" w:hAnsi="Times New Roman"/>
          <w:i/>
          <w:noProof/>
          <w:lang w:eastAsia="nl-BE"/>
        </w:rPr>
        <w:t xml:space="preserve"> </w:t>
      </w:r>
      <w:r>
        <w:rPr>
          <w:rFonts w:ascii="Times New Roman" w:hAnsi="Times New Roman"/>
          <w:i/>
          <w:noProof/>
          <w:lang w:eastAsia="en-GB"/>
        </w:rPr>
        <w:drawing>
          <wp:inline distT="0" distB="0" distL="0" distR="0">
            <wp:extent cx="5695804" cy="2519836"/>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7490" cy="2520582"/>
                    </a:xfrm>
                    <a:prstGeom prst="rect">
                      <a:avLst/>
                    </a:prstGeom>
                    <a:noFill/>
                  </pic:spPr>
                </pic:pic>
              </a:graphicData>
            </a:graphic>
          </wp:inline>
        </w:drawing>
      </w:r>
      <w:r>
        <w:rPr>
          <w:rFonts w:ascii="Times New Roman" w:hAnsi="Times New Roman"/>
          <w:i/>
          <w:noProof/>
          <w:sz w:val="18"/>
          <w:szCs w:val="18"/>
        </w:rPr>
        <w:t xml:space="preserve"> </w:t>
      </w:r>
    </w:p>
    <w:p w:rsidR="00B54C1A" w:rsidRDefault="00B54C1A">
      <w:pPr>
        <w:spacing w:after="0"/>
        <w:rPr>
          <w:rFonts w:ascii="Times New Roman" w:hAnsi="Times New Roman"/>
          <w:i/>
          <w:noProof/>
          <w:sz w:val="18"/>
          <w:szCs w:val="18"/>
        </w:rPr>
      </w:pPr>
    </w:p>
    <w:p w:rsidR="00B54C1A" w:rsidRDefault="00BA5FEF">
      <w:pPr>
        <w:spacing w:after="0"/>
        <w:rPr>
          <w:rFonts w:ascii="Times New Roman" w:hAnsi="Times New Roman"/>
          <w:b/>
          <w:i/>
          <w:noProof/>
        </w:rPr>
      </w:pPr>
      <w:r>
        <w:rPr>
          <w:rFonts w:ascii="Times New Roman" w:hAnsi="Times New Roman"/>
          <w:i/>
          <w:noProof/>
          <w:sz w:val="18"/>
          <w:szCs w:val="18"/>
        </w:rPr>
        <w:t xml:space="preserve">* EGF/2016/003 EE/Petroleum and chemicals case relates to two different sectors (19 and 20) therefore has been </w:t>
      </w:r>
      <w:r>
        <w:rPr>
          <w:rFonts w:ascii="Times New Roman" w:hAnsi="Times New Roman"/>
          <w:i/>
          <w:noProof/>
          <w:sz w:val="18"/>
          <w:szCs w:val="18"/>
        </w:rPr>
        <w:t>counted twice in the graph above</w:t>
      </w:r>
    </w:p>
    <w:p w:rsidR="00B54C1A" w:rsidRDefault="00B54C1A">
      <w:pPr>
        <w:rPr>
          <w:rFonts w:ascii="Times New Roman" w:eastAsia="Times New Roman" w:hAnsi="Times New Roman" w:cs="Times New Roman"/>
          <w:bCs/>
          <w:noProof/>
          <w:color w:val="000000"/>
          <w:lang w:eastAsia="en-GB"/>
        </w:rPr>
        <w:sectPr w:rsidR="00B54C1A">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pPr>
    </w:p>
    <w:p w:rsidR="00B54C1A" w:rsidRDefault="00BA5FEF">
      <w:pPr>
        <w:jc w:val="center"/>
        <w:rPr>
          <w:rFonts w:ascii="Times New Roman" w:hAnsi="Times New Roman" w:cs="Times New Roman"/>
          <w:b/>
          <w:i/>
          <w:noProof/>
          <w:sz w:val="28"/>
          <w:szCs w:val="28"/>
        </w:rPr>
      </w:pPr>
      <w:r>
        <w:rPr>
          <w:rFonts w:ascii="Times New Roman" w:hAnsi="Times New Roman" w:cs="Times New Roman"/>
          <w:b/>
          <w:i/>
          <w:noProof/>
          <w:sz w:val="28"/>
          <w:szCs w:val="28"/>
        </w:rPr>
        <w:lastRenderedPageBreak/>
        <w:t>Table 1: Applications received in 2015 and 2016 by Member State</w:t>
      </w:r>
    </w:p>
    <w:p w:rsidR="00B54C1A" w:rsidRDefault="00B54C1A">
      <w:pPr>
        <w:jc w:val="center"/>
        <w:rPr>
          <w:rFonts w:ascii="Times New Roman" w:hAnsi="Times New Roman" w:cs="Times New Roman"/>
          <w:b/>
          <w:i/>
          <w:noProof/>
          <w:sz w:val="28"/>
          <w:szCs w:val="28"/>
        </w:rPr>
      </w:pPr>
    </w:p>
    <w:p w:rsidR="00B54C1A" w:rsidRDefault="00BA5FEF">
      <w:pPr>
        <w:rPr>
          <w:noProof/>
          <w:lang w:eastAsia="en-GB"/>
        </w:rPr>
        <w:sectPr w:rsidR="00B54C1A">
          <w:headerReference w:type="even" r:id="rId23"/>
          <w:headerReference w:type="default" r:id="rId24"/>
          <w:footerReference w:type="even" r:id="rId25"/>
          <w:footerReference w:type="default" r:id="rId26"/>
          <w:headerReference w:type="first" r:id="rId27"/>
          <w:footerReference w:type="first" r:id="rId28"/>
          <w:pgSz w:w="16838" w:h="11906" w:orient="landscape"/>
          <w:pgMar w:top="1417" w:right="1417" w:bottom="1417" w:left="1417" w:header="708" w:footer="708" w:gutter="0"/>
          <w:cols w:space="708"/>
          <w:docGrid w:linePitch="360"/>
        </w:sectPr>
      </w:pPr>
      <w:r>
        <w:rPr>
          <w:noProof/>
          <w:lang w:eastAsia="en-GB"/>
        </w:rPr>
        <w:drawing>
          <wp:inline distT="0" distB="0" distL="0" distR="0">
            <wp:extent cx="9504483" cy="4432184"/>
            <wp:effectExtent l="0" t="0" r="190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98878" cy="4429570"/>
                    </a:xfrm>
                    <a:prstGeom prst="rect">
                      <a:avLst/>
                    </a:prstGeom>
                    <a:noFill/>
                    <a:ln>
                      <a:noFill/>
                    </a:ln>
                  </pic:spPr>
                </pic:pic>
              </a:graphicData>
            </a:graphic>
          </wp:inline>
        </w:drawing>
      </w:r>
    </w:p>
    <w:p w:rsidR="00B54C1A" w:rsidRDefault="00BA5FEF">
      <w:pPr>
        <w:pStyle w:val="Heading3"/>
        <w:rPr>
          <w:bCs w:val="0"/>
          <w:i w:val="0"/>
          <w:noProof/>
        </w:rPr>
      </w:pPr>
      <w:bookmarkStart w:id="8" w:name="_Toc496267939"/>
      <w:r>
        <w:rPr>
          <w:noProof/>
        </w:rPr>
        <w:lastRenderedPageBreak/>
        <w:t>3.1.3. Applications received by amount requested</w:t>
      </w:r>
      <w:bookmarkEnd w:id="8"/>
    </w:p>
    <w:p w:rsidR="00B54C1A" w:rsidRDefault="00BA5FEF">
      <w:pPr>
        <w:jc w:val="both"/>
        <w:rPr>
          <w:rFonts w:ascii="Times New Roman" w:eastAsia="Times New Roman" w:hAnsi="Times New Roman" w:cs="Times New Roman"/>
          <w:bCs/>
          <w:noProof/>
          <w:color w:val="000000"/>
          <w:lang w:eastAsia="en-GB"/>
        </w:rPr>
      </w:pPr>
      <w:r>
        <w:rPr>
          <w:rFonts w:ascii="Times New Roman" w:eastAsia="Times New Roman" w:hAnsi="Times New Roman" w:cs="Times New Roman"/>
          <w:bCs/>
          <w:noProof/>
          <w:color w:val="000000"/>
          <w:lang w:eastAsia="en-GB"/>
        </w:rPr>
        <w:t>Eleven Member States requested EUR 51 171 249 from the EGF over the period 2015 - 2016. Finland requested the highest amount (EUR 11 994 000 for four applications), followed by Belgium (EUR 9 188 149 for three applications) and Germany (EUR 6 958 623 for o</w:t>
      </w:r>
      <w:r>
        <w:rPr>
          <w:rFonts w:ascii="Times New Roman" w:eastAsia="Times New Roman" w:hAnsi="Times New Roman" w:cs="Times New Roman"/>
          <w:bCs/>
          <w:noProof/>
          <w:color w:val="000000"/>
          <w:lang w:eastAsia="en-GB"/>
        </w:rPr>
        <w:t xml:space="preserve">ne application). </w:t>
      </w:r>
      <w:r>
        <w:rPr>
          <w:rFonts w:ascii="Times New Roman" w:hAnsi="Times New Roman" w:cs="Times New Roman"/>
          <w:noProof/>
        </w:rPr>
        <w:t>The EGF contributions requested ranged from EUR 442 293 to EUR </w:t>
      </w:r>
      <w:r>
        <w:rPr>
          <w:rFonts w:ascii="Times New Roman" w:eastAsia="Times New Roman" w:hAnsi="Times New Roman" w:cs="Times New Roman"/>
          <w:bCs/>
          <w:noProof/>
          <w:color w:val="000000"/>
          <w:lang w:eastAsia="en-GB"/>
        </w:rPr>
        <w:t>6 958 623</w:t>
      </w:r>
      <w:r>
        <w:rPr>
          <w:rFonts w:ascii="Times New Roman" w:hAnsi="Times New Roman" w:cs="Times New Roman"/>
          <w:noProof/>
        </w:rPr>
        <w:t xml:space="preserve"> with an average of EUR 3 010 073 per application and EUR 4 651 932 per Member State. </w:t>
      </w:r>
    </w:p>
    <w:p w:rsidR="00B54C1A" w:rsidRDefault="00BA5FEF">
      <w:pPr>
        <w:jc w:val="both"/>
        <w:rPr>
          <w:rFonts w:ascii="Times New Roman" w:hAnsi="Times New Roman" w:cs="Times New Roman"/>
          <w:noProof/>
        </w:rPr>
      </w:pPr>
      <w:r>
        <w:rPr>
          <w:rFonts w:ascii="Times New Roman" w:hAnsi="Times New Roman" w:cs="Times New Roman"/>
          <w:noProof/>
        </w:rPr>
        <w:t>Each of the Member States which applied for EGF support must design a coordinate</w:t>
      </w:r>
      <w:r>
        <w:rPr>
          <w:rFonts w:ascii="Times New Roman" w:hAnsi="Times New Roman" w:cs="Times New Roman"/>
          <w:noProof/>
        </w:rPr>
        <w:t xml:space="preserve">d package of measures that best fits the targeted beneficiaries' profiles, and decide on the amount of assistance to request. Regulation (EU) No 1309/2013 sets out the maximum Commission co-funding rate at 60 %. </w:t>
      </w:r>
    </w:p>
    <w:p w:rsidR="00B54C1A" w:rsidRDefault="00BA5FEF">
      <w:pPr>
        <w:spacing w:before="720" w:after="0"/>
        <w:rPr>
          <w:rFonts w:ascii="Times New Roman" w:hAnsi="Times New Roman"/>
          <w:b/>
          <w:i/>
          <w:noProof/>
        </w:rPr>
      </w:pPr>
      <w:r>
        <w:rPr>
          <w:rFonts w:ascii="Times New Roman" w:hAnsi="Times New Roman"/>
          <w:b/>
          <w:i/>
          <w:noProof/>
        </w:rPr>
        <w:t>Chart 2:  Total EGF amounts requested per M</w:t>
      </w:r>
      <w:r>
        <w:rPr>
          <w:rFonts w:ascii="Times New Roman" w:hAnsi="Times New Roman"/>
          <w:b/>
          <w:i/>
          <w:noProof/>
        </w:rPr>
        <w:t>ember State in 2015 – 2016</w:t>
      </w:r>
    </w:p>
    <w:p w:rsidR="00B54C1A" w:rsidRDefault="00B54C1A">
      <w:pPr>
        <w:spacing w:after="0"/>
        <w:rPr>
          <w:rFonts w:ascii="Times New Roman" w:hAnsi="Times New Roman"/>
          <w:b/>
          <w:i/>
          <w:noProof/>
        </w:rPr>
      </w:pPr>
    </w:p>
    <w:p w:rsidR="00B54C1A" w:rsidRDefault="00BA5FEF">
      <w:pPr>
        <w:spacing w:after="0"/>
        <w:jc w:val="center"/>
        <w:rPr>
          <w:rFonts w:ascii="Times New Roman" w:hAnsi="Times New Roman"/>
          <w:noProof/>
        </w:rPr>
      </w:pPr>
      <w:r>
        <w:rPr>
          <w:noProof/>
          <w:lang w:eastAsia="en-GB"/>
        </w:rPr>
        <w:drawing>
          <wp:inline distT="0" distB="0" distL="0" distR="0">
            <wp:extent cx="6002931" cy="3964727"/>
            <wp:effectExtent l="0" t="0" r="17145"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54C1A" w:rsidRDefault="00B54C1A">
      <w:pPr>
        <w:spacing w:after="0"/>
        <w:jc w:val="center"/>
        <w:rPr>
          <w:rFonts w:ascii="Times New Roman" w:hAnsi="Times New Roman"/>
          <w:noProof/>
        </w:rPr>
      </w:pPr>
    </w:p>
    <w:p w:rsidR="00B54C1A" w:rsidRDefault="00B54C1A">
      <w:pPr>
        <w:spacing w:after="0" w:line="240" w:lineRule="auto"/>
        <w:rPr>
          <w:rFonts w:ascii="Times New Roman" w:eastAsia="Times New Roman" w:hAnsi="Times New Roman" w:cs="Times New Roman"/>
          <w:b/>
          <w:bCs/>
          <w:noProof/>
          <w:color w:val="000000"/>
          <w:lang w:eastAsia="en-GB"/>
        </w:rPr>
      </w:pPr>
    </w:p>
    <w:p w:rsidR="00B54C1A" w:rsidRDefault="00BA5FEF">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Total EGF amount requested by 11 MS, 2015 – 2016:   51 171 249 €</w:t>
      </w:r>
    </w:p>
    <w:p w:rsidR="00B54C1A" w:rsidRDefault="00BA5FEF">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Average EGF amount requested per MS, 2015 – 2016:   4 651 932 €</w:t>
      </w:r>
    </w:p>
    <w:p w:rsidR="00B54C1A" w:rsidRDefault="00B54C1A">
      <w:pPr>
        <w:jc w:val="both"/>
        <w:rPr>
          <w:rFonts w:ascii="Times New Roman" w:eastAsia="Times New Roman" w:hAnsi="Times New Roman"/>
          <w:noProof/>
          <w:color w:val="000000"/>
          <w:lang w:eastAsia="en-GB"/>
        </w:rPr>
      </w:pPr>
    </w:p>
    <w:p w:rsidR="00B54C1A" w:rsidRDefault="00BA5FEF">
      <w:pPr>
        <w:pStyle w:val="Heading3"/>
        <w:rPr>
          <w:noProof/>
        </w:rPr>
      </w:pPr>
      <w:bookmarkStart w:id="9" w:name="_Toc496267940"/>
      <w:r>
        <w:rPr>
          <w:noProof/>
        </w:rPr>
        <w:lastRenderedPageBreak/>
        <w:t>3.1.4. Applications received by number of beneficiaries targeted for assistance</w:t>
      </w:r>
      <w:bookmarkEnd w:id="9"/>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total </w:t>
      </w:r>
      <w:r>
        <w:rPr>
          <w:rFonts w:ascii="Times New Roman" w:hAnsi="Times New Roman" w:cs="Times New Roman"/>
          <w:noProof/>
          <w:color w:val="000000" w:themeColor="text1"/>
        </w:rPr>
        <w:t>number of beneficiaries</w:t>
      </w:r>
      <w:r>
        <w:rPr>
          <w:rStyle w:val="FootnoteReference"/>
          <w:rFonts w:ascii="Times New Roman" w:eastAsia="Times New Roman" w:hAnsi="Times New Roman"/>
          <w:noProof/>
          <w:color w:val="000000"/>
          <w:lang w:eastAsia="en-GB"/>
        </w:rPr>
        <w:footnoteReference w:id="9"/>
      </w:r>
      <w:r>
        <w:rPr>
          <w:rFonts w:ascii="Times New Roman" w:hAnsi="Times New Roman" w:cs="Times New Roman"/>
          <w:noProof/>
          <w:color w:val="000000" w:themeColor="text1"/>
        </w:rPr>
        <w:t xml:space="preserve"> targeted for EGF support was</w:t>
      </w:r>
      <w:r>
        <w:rPr>
          <w:rFonts w:ascii="Times New Roman" w:eastAsia="Times New Roman" w:hAnsi="Times New Roman" w:cs="Times New Roman"/>
          <w:noProof/>
          <w:color w:val="000000" w:themeColor="text1"/>
          <w:lang w:eastAsia="en-GB"/>
        </w:rPr>
        <w:t xml:space="preserve"> 19 354</w:t>
      </w:r>
      <w:r>
        <w:rPr>
          <w:rFonts w:ascii="Times New Roman" w:hAnsi="Times New Roman" w:cs="Times New Roman"/>
          <w:noProof/>
          <w:color w:val="000000" w:themeColor="text1"/>
        </w:rPr>
        <w:t xml:space="preserve">. </w:t>
      </w:r>
      <w:r>
        <w:rPr>
          <w:rFonts w:ascii="Times New Roman" w:hAnsi="Times New Roman" w:cs="Times New Roman"/>
          <w:noProof/>
        </w:rPr>
        <w:t xml:space="preserve">The numbers of targeted beneficiaries per application ranged </w:t>
      </w:r>
      <w:r>
        <w:rPr>
          <w:rFonts w:ascii="Times New Roman" w:hAnsi="Times New Roman" w:cs="Times New Roman"/>
          <w:noProof/>
          <w:color w:val="000000" w:themeColor="text1"/>
        </w:rPr>
        <w:t>from 184 to 4 500 with six applications</w:t>
      </w:r>
      <w:r>
        <w:rPr>
          <w:rFonts w:ascii="Times New Roman" w:hAnsi="Times New Roman" w:cs="Times New Roman"/>
          <w:noProof/>
        </w:rPr>
        <w:t xml:space="preserve"> targeting more</w:t>
      </w:r>
      <w:r>
        <w:rPr>
          <w:rFonts w:ascii="Times New Roman" w:hAnsi="Times New Roman" w:cs="Times New Roman"/>
          <w:noProof/>
          <w:color w:val="000000" w:themeColor="text1"/>
        </w:rPr>
        <w:t xml:space="preserve"> than 1 000 </w:t>
      </w:r>
      <w:r>
        <w:rPr>
          <w:rFonts w:ascii="Times New Roman" w:hAnsi="Times New Roman" w:cs="Times New Roman"/>
          <w:noProof/>
        </w:rPr>
        <w:t>beneficiaries</w:t>
      </w:r>
      <w:r>
        <w:rPr>
          <w:rFonts w:ascii="Times New Roman" w:hAnsi="Times New Roman" w:cs="Times New Roman"/>
          <w:noProof/>
          <w:color w:val="000000" w:themeColor="text1"/>
        </w:rPr>
        <w:t xml:space="preserve"> </w:t>
      </w:r>
      <w:r>
        <w:rPr>
          <w:rFonts w:ascii="Times New Roman" w:hAnsi="Times New Roman" w:cs="Times New Roman"/>
          <w:noProof/>
        </w:rPr>
        <w:t>and three applications targeting less than 500 benefi</w:t>
      </w:r>
      <w:r>
        <w:rPr>
          <w:rFonts w:ascii="Times New Roman" w:hAnsi="Times New Roman" w:cs="Times New Roman"/>
          <w:noProof/>
        </w:rPr>
        <w:t xml:space="preserve">ciaries. On average, each of the 17 applications received in 2015 and 2016 targeted 1 138 beneficiaries.  </w:t>
      </w:r>
    </w:p>
    <w:p w:rsidR="00B54C1A" w:rsidRDefault="00BA5FEF">
      <w:pPr>
        <w:jc w:val="both"/>
        <w:rPr>
          <w:rFonts w:ascii="Times New Roman" w:eastAsia="Times New Roman" w:hAnsi="Times New Roman"/>
          <w:noProof/>
          <w:color w:val="000000"/>
          <w:lang w:eastAsia="en-GB"/>
        </w:rPr>
      </w:pPr>
      <w:r>
        <w:rPr>
          <w:rFonts w:ascii="Times New Roman" w:hAnsi="Times New Roman" w:cs="Times New Roman"/>
          <w:noProof/>
          <w:color w:val="000000" w:themeColor="text1"/>
        </w:rPr>
        <w:t xml:space="preserve">Of the </w:t>
      </w:r>
      <w:r>
        <w:rPr>
          <w:rFonts w:ascii="Times New Roman" w:eastAsia="Times New Roman" w:hAnsi="Times New Roman" w:cs="Times New Roman"/>
          <w:noProof/>
          <w:color w:val="000000" w:themeColor="text1"/>
          <w:lang w:eastAsia="en-GB"/>
        </w:rPr>
        <w:t xml:space="preserve">19 354 targeted beneficiaries 18 303 were </w:t>
      </w:r>
      <w:r>
        <w:rPr>
          <w:rFonts w:ascii="Times New Roman" w:eastAsia="Times New Roman" w:hAnsi="Times New Roman"/>
          <w:noProof/>
          <w:color w:val="000000"/>
          <w:lang w:eastAsia="en-GB"/>
        </w:rPr>
        <w:t xml:space="preserve">workers </w:t>
      </w:r>
      <w:r>
        <w:rPr>
          <w:rFonts w:ascii="Times New Roman" w:hAnsi="Times New Roman" w:cs="Times New Roman"/>
          <w:noProof/>
          <w:color w:val="000000" w:themeColor="text1"/>
        </w:rPr>
        <w:t>made redundant and 1 051 young people not in employment, education or training (NEETs).</w:t>
      </w:r>
      <w:r>
        <w:rPr>
          <w:rFonts w:ascii="Times New Roman" w:eastAsia="Times New Roman" w:hAnsi="Times New Roman"/>
          <w:noProof/>
          <w:color w:val="000000"/>
          <w:lang w:eastAsia="en-GB"/>
        </w:rPr>
        <w:t xml:space="preserve"> Belg</w:t>
      </w:r>
      <w:r>
        <w:rPr>
          <w:rFonts w:ascii="Times New Roman" w:eastAsia="Times New Roman" w:hAnsi="Times New Roman"/>
          <w:noProof/>
          <w:color w:val="000000"/>
          <w:lang w:eastAsia="en-GB"/>
        </w:rPr>
        <w:t>ium requested EGF support for the greatest number of workers (5 400), followed by Finland (3 962) and Germany (2 692). The average number of targeted workers per Member State was 1 664. The four applications in which NEETs were also targeted for support we</w:t>
      </w:r>
      <w:r>
        <w:rPr>
          <w:rFonts w:ascii="Times New Roman" w:eastAsia="Times New Roman" w:hAnsi="Times New Roman"/>
          <w:noProof/>
          <w:color w:val="000000"/>
          <w:lang w:eastAsia="en-GB"/>
        </w:rPr>
        <w:t>re submitted by Belgium (2 applications totalling 400 NEETs), Greece (543 NEETs) and Ireland (108 NEETs).</w:t>
      </w:r>
    </w:p>
    <w:p w:rsidR="00B54C1A" w:rsidRDefault="00BA5FEF">
      <w:pPr>
        <w:jc w:val="both"/>
        <w:rPr>
          <w:rFonts w:ascii="Times New Roman" w:eastAsia="Times New Roman" w:hAnsi="Times New Roman" w:cs="Times New Roman"/>
          <w:bCs/>
          <w:noProof/>
          <w:color w:val="000000"/>
          <w:lang w:eastAsia="en-GB"/>
        </w:rPr>
      </w:pPr>
      <w:r>
        <w:rPr>
          <w:rFonts w:ascii="Times New Roman" w:eastAsia="Times New Roman" w:hAnsi="Times New Roman" w:cs="Times New Roman"/>
          <w:bCs/>
          <w:noProof/>
          <w:color w:val="000000"/>
          <w:lang w:eastAsia="en-GB"/>
        </w:rPr>
        <w:t xml:space="preserve">Chart 3 shows the distribution of targeted workers per Member State. </w:t>
      </w:r>
    </w:p>
    <w:p w:rsidR="00B54C1A" w:rsidRDefault="00BA5FEF">
      <w:pPr>
        <w:spacing w:before="720"/>
        <w:jc w:val="both"/>
        <w:rPr>
          <w:rFonts w:ascii="Times New Roman" w:hAnsi="Times New Roman"/>
          <w:b/>
          <w:i/>
          <w:noProof/>
        </w:rPr>
      </w:pPr>
      <w:r>
        <w:rPr>
          <w:rFonts w:ascii="Times New Roman" w:hAnsi="Times New Roman"/>
          <w:b/>
          <w:i/>
          <w:noProof/>
        </w:rPr>
        <w:t>Chart 3:  Number of targeted workers per Member State in 2015 – 2016</w:t>
      </w:r>
    </w:p>
    <w:p w:rsidR="00B54C1A" w:rsidRDefault="00BA5FEF">
      <w:pPr>
        <w:jc w:val="center"/>
        <w:rPr>
          <w:rFonts w:ascii="Times New Roman" w:hAnsi="Times New Roman"/>
          <w:noProof/>
        </w:rPr>
      </w:pPr>
      <w:r>
        <w:rPr>
          <w:noProof/>
          <w:lang w:eastAsia="en-GB"/>
        </w:rPr>
        <w:drawing>
          <wp:inline distT="0" distB="0" distL="0" distR="0">
            <wp:extent cx="5758626" cy="3504036"/>
            <wp:effectExtent l="0" t="0" r="13970" b="203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54C1A" w:rsidRDefault="00B54C1A">
      <w:pPr>
        <w:spacing w:after="0"/>
        <w:rPr>
          <w:rFonts w:ascii="Times New Roman" w:eastAsia="Times New Roman" w:hAnsi="Times New Roman" w:cs="Times New Roman"/>
          <w:b/>
          <w:bCs/>
          <w:noProof/>
          <w:color w:val="000000"/>
          <w:lang w:eastAsia="en-GB"/>
        </w:rPr>
      </w:pPr>
    </w:p>
    <w:p w:rsidR="00B54C1A" w:rsidRDefault="00BA5FEF">
      <w:pPr>
        <w:spacing w:after="0"/>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 xml:space="preserve">Total number of targeted workers per MS, 2015 – 2016: </w:t>
      </w:r>
      <w:r>
        <w:rPr>
          <w:rFonts w:ascii="Times New Roman" w:eastAsia="Times New Roman" w:hAnsi="Times New Roman" w:cs="Times New Roman"/>
          <w:b/>
          <w:bCs/>
          <w:noProof/>
          <w:color w:val="000000"/>
          <w:lang w:eastAsia="en-GB"/>
        </w:rPr>
        <w:tab/>
      </w:r>
      <w:r>
        <w:rPr>
          <w:rFonts w:ascii="Times New Roman" w:eastAsia="Times New Roman" w:hAnsi="Times New Roman" w:cs="Times New Roman"/>
          <w:b/>
          <w:bCs/>
          <w:noProof/>
          <w:color w:val="000000"/>
          <w:lang w:eastAsia="en-GB"/>
        </w:rPr>
        <w:tab/>
        <w:t>18 303</w:t>
      </w:r>
    </w:p>
    <w:p w:rsidR="00B54C1A" w:rsidRDefault="00BA5FEF">
      <w:pPr>
        <w:spacing w:after="0"/>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 xml:space="preserve">Average number of targeted workers per MS, 2015 – 2016: </w:t>
      </w:r>
      <w:r>
        <w:rPr>
          <w:rFonts w:ascii="Times New Roman" w:eastAsia="Times New Roman" w:hAnsi="Times New Roman" w:cs="Times New Roman"/>
          <w:b/>
          <w:bCs/>
          <w:noProof/>
          <w:color w:val="000000"/>
          <w:lang w:eastAsia="en-GB"/>
        </w:rPr>
        <w:tab/>
      </w:r>
      <w:r>
        <w:rPr>
          <w:rFonts w:ascii="Times New Roman" w:eastAsia="Times New Roman" w:hAnsi="Times New Roman" w:cs="Times New Roman"/>
          <w:b/>
          <w:bCs/>
          <w:noProof/>
          <w:color w:val="000000"/>
          <w:lang w:eastAsia="en-GB"/>
        </w:rPr>
        <w:tab/>
        <w:t xml:space="preserve">  1 664</w:t>
      </w:r>
    </w:p>
    <w:p w:rsidR="00B54C1A" w:rsidRDefault="00B54C1A">
      <w:pPr>
        <w:ind w:left="708"/>
        <w:jc w:val="both"/>
        <w:rPr>
          <w:rFonts w:ascii="Times New Roman" w:hAnsi="Times New Roman"/>
          <w:noProof/>
        </w:rPr>
      </w:pPr>
    </w:p>
    <w:p w:rsidR="00B54C1A" w:rsidRDefault="00BA5FEF">
      <w:pPr>
        <w:spacing w:after="0"/>
        <w:jc w:val="both"/>
        <w:rPr>
          <w:rFonts w:ascii="Times New Roman" w:hAnsi="Times New Roman"/>
          <w:noProof/>
        </w:rPr>
      </w:pPr>
      <w:r>
        <w:rPr>
          <w:rFonts w:ascii="Times New Roman" w:hAnsi="Times New Roman"/>
          <w:noProof/>
        </w:rPr>
        <w:t xml:space="preserve">In most of the applications received the total number of workers targeted by the measures proposed for co-funding by the EGF </w:t>
      </w:r>
      <w:r>
        <w:rPr>
          <w:rFonts w:ascii="Times New Roman" w:hAnsi="Times New Roman"/>
          <w:noProof/>
        </w:rPr>
        <w:t xml:space="preserve">represents in average 78 % of the total number of redundancies. This is because the Member State may decide to focus the EGF assistance only on specific groups of people </w:t>
      </w:r>
      <w:r>
        <w:rPr>
          <w:rFonts w:ascii="Times New Roman" w:hAnsi="Times New Roman"/>
          <w:noProof/>
        </w:rPr>
        <w:lastRenderedPageBreak/>
        <w:t>such as the most vulnerable workers, those facing exceptional difficulties in remainin</w:t>
      </w:r>
      <w:r>
        <w:rPr>
          <w:rFonts w:ascii="Times New Roman" w:hAnsi="Times New Roman"/>
          <w:noProof/>
        </w:rPr>
        <w:t>g in the labour market and/or the most in need of assistance. The standard support available for redundant workers in Member States might be in some cases enough for a quick reintegration into employment or workers might choose the early retirement.</w:t>
      </w:r>
    </w:p>
    <w:p w:rsidR="00B54C1A" w:rsidRDefault="00BA5FEF">
      <w:pPr>
        <w:pStyle w:val="Heading3"/>
        <w:rPr>
          <w:bCs w:val="0"/>
          <w:i w:val="0"/>
          <w:noProof/>
        </w:rPr>
      </w:pPr>
      <w:bookmarkStart w:id="10" w:name="_Toc496267941"/>
      <w:r>
        <w:rPr>
          <w:noProof/>
        </w:rPr>
        <w:t>3.1.5.</w:t>
      </w:r>
      <w:r>
        <w:rPr>
          <w:noProof/>
        </w:rPr>
        <w:t xml:space="preserve"> Applications received by number of targeted workers per sector</w:t>
      </w:r>
      <w:bookmarkEnd w:id="10"/>
    </w:p>
    <w:p w:rsidR="00B54C1A" w:rsidRDefault="00BA5FEF">
      <w:pPr>
        <w:spacing w:after="0"/>
        <w:jc w:val="both"/>
        <w:rPr>
          <w:rFonts w:ascii="Times New Roman" w:hAnsi="Times New Roman"/>
          <w:b/>
          <w:i/>
          <w:noProof/>
          <w:sz w:val="24"/>
          <w:szCs w:val="24"/>
        </w:rPr>
      </w:pPr>
      <w:r>
        <w:rPr>
          <w:rFonts w:ascii="Times New Roman" w:hAnsi="Times New Roman"/>
          <w:noProof/>
        </w:rPr>
        <w:t>The 17 applications accepted during the period under review relate to 12 different sectors. The greatest number of workers was targeted in the sector motor vehicles, trailers and semi-trailers</w:t>
      </w:r>
      <w:r>
        <w:rPr>
          <w:rFonts w:ascii="Times New Roman" w:hAnsi="Times New Roman"/>
          <w:noProof/>
        </w:rPr>
        <w:t xml:space="preserve"> (7 942), followed by the computer programming, consultancy and related activities sector (2 641) and land transport and transport via pipelines (2 132). </w:t>
      </w:r>
    </w:p>
    <w:p w:rsidR="00B54C1A" w:rsidRDefault="00BA5FEF">
      <w:pPr>
        <w:spacing w:before="720"/>
        <w:rPr>
          <w:rFonts w:ascii="Times New Roman" w:hAnsi="Times New Roman"/>
          <w:b/>
          <w:i/>
          <w:noProof/>
        </w:rPr>
      </w:pPr>
      <w:r>
        <w:rPr>
          <w:rFonts w:ascii="Times New Roman" w:hAnsi="Times New Roman"/>
          <w:b/>
          <w:i/>
          <w:noProof/>
        </w:rPr>
        <w:t>Chart 4:  Number of targeted workers per sector (NACE Rev. 2) in 2015 – 2016*</w:t>
      </w:r>
    </w:p>
    <w:p w:rsidR="00B54C1A" w:rsidRDefault="00BA5FEF">
      <w:pPr>
        <w:rPr>
          <w:rFonts w:ascii="Times New Roman" w:hAnsi="Times New Roman"/>
          <w:noProof/>
        </w:rPr>
      </w:pPr>
      <w:r>
        <w:rPr>
          <w:rFonts w:ascii="Times New Roman" w:hAnsi="Times New Roman"/>
          <w:noProof/>
          <w:lang w:eastAsia="en-GB"/>
        </w:rPr>
        <w:drawing>
          <wp:inline distT="0" distB="0" distL="0" distR="0">
            <wp:extent cx="5615247" cy="3141068"/>
            <wp:effectExtent l="0" t="0" r="508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7660" cy="3142418"/>
                    </a:xfrm>
                    <a:prstGeom prst="rect">
                      <a:avLst/>
                    </a:prstGeom>
                    <a:noFill/>
                  </pic:spPr>
                </pic:pic>
              </a:graphicData>
            </a:graphic>
          </wp:inline>
        </w:drawing>
      </w:r>
    </w:p>
    <w:p w:rsidR="00B54C1A" w:rsidRDefault="00BA5FEF">
      <w:pPr>
        <w:jc w:val="both"/>
        <w:rPr>
          <w:rFonts w:ascii="Times New Roman" w:hAnsi="Times New Roman"/>
          <w:i/>
          <w:noProof/>
          <w:sz w:val="18"/>
          <w:szCs w:val="18"/>
        </w:rPr>
      </w:pPr>
      <w:r>
        <w:rPr>
          <w:rFonts w:ascii="Times New Roman" w:hAnsi="Times New Roman"/>
          <w:i/>
          <w:noProof/>
          <w:sz w:val="18"/>
          <w:szCs w:val="18"/>
        </w:rPr>
        <w:t>* EGF/2016/003 EE/Pet</w:t>
      </w:r>
      <w:r>
        <w:rPr>
          <w:rFonts w:ascii="Times New Roman" w:hAnsi="Times New Roman"/>
          <w:i/>
          <w:noProof/>
          <w:sz w:val="18"/>
          <w:szCs w:val="18"/>
        </w:rPr>
        <w:t>roleum and chemicals case refers to two different sectors (19 and 20) therefore the 800 targeted workers of this case have been listed twice.</w:t>
      </w:r>
    </w:p>
    <w:p w:rsidR="00B54C1A" w:rsidRDefault="00BA5FEF">
      <w:pPr>
        <w:pStyle w:val="Heading3"/>
        <w:rPr>
          <w:noProof/>
        </w:rPr>
      </w:pPr>
      <w:bookmarkStart w:id="11" w:name="_Toc496267942"/>
      <w:r>
        <w:rPr>
          <w:noProof/>
        </w:rPr>
        <w:t>3.1.6. Applications received by amount requested per beneficiary</w:t>
      </w:r>
      <w:bookmarkEnd w:id="11"/>
    </w:p>
    <w:p w:rsidR="00B54C1A" w:rsidRDefault="00BA5FEF">
      <w:pPr>
        <w:jc w:val="both"/>
        <w:rPr>
          <w:rFonts w:ascii="Times New Roman" w:hAnsi="Times New Roman" w:cs="Times New Roman"/>
          <w:noProof/>
        </w:rPr>
      </w:pPr>
      <w:r>
        <w:rPr>
          <w:rFonts w:ascii="Times New Roman" w:hAnsi="Times New Roman" w:cs="Times New Roman"/>
          <w:noProof/>
        </w:rPr>
        <w:t>Every Member State applying for EGF support must design a coordinated package of measures that best fits the targeted workers' profile and decide on the amount of assistance to request. The EGF Regulation does not limit the total amount requested. The amou</w:t>
      </w:r>
      <w:r>
        <w:rPr>
          <w:rFonts w:ascii="Times New Roman" w:hAnsi="Times New Roman" w:cs="Times New Roman"/>
          <w:noProof/>
        </w:rPr>
        <w:t xml:space="preserve">nt requested per targeted beneficiary can therefore vary according to the severity of the lay-offs, the situation of the labour-market affected, the individual circumstances of the targeted beneficiaries, the measures already provided by the Member State, </w:t>
      </w:r>
      <w:r>
        <w:rPr>
          <w:rFonts w:ascii="Times New Roman" w:hAnsi="Times New Roman" w:cs="Times New Roman"/>
          <w:noProof/>
        </w:rPr>
        <w:t xml:space="preserve">and the cost of providing the services in the Member State or region concerned. </w:t>
      </w:r>
    </w:p>
    <w:p w:rsidR="00B54C1A" w:rsidRDefault="00BA5FEF">
      <w:pPr>
        <w:jc w:val="both"/>
        <w:rPr>
          <w:rFonts w:ascii="Times New Roman" w:hAnsi="Times New Roman" w:cs="Times New Roman"/>
          <w:noProof/>
        </w:rPr>
      </w:pPr>
      <w:r>
        <w:rPr>
          <w:rFonts w:ascii="Times New Roman" w:hAnsi="Times New Roman" w:cs="Times New Roman"/>
          <w:noProof/>
        </w:rPr>
        <w:t xml:space="preserve">This explains why the amounts of EGF support per beneficiary in 2015 and 2016 varied from EUR 1 393 to EUR 7 689 (see Table 1). On average, each of the Member States applying </w:t>
      </w:r>
      <w:r>
        <w:rPr>
          <w:rFonts w:ascii="Times New Roman" w:hAnsi="Times New Roman" w:cs="Times New Roman"/>
          <w:noProof/>
        </w:rPr>
        <w:t xml:space="preserve">for EGF </w:t>
      </w:r>
      <w:r>
        <w:rPr>
          <w:rFonts w:ascii="Times New Roman" w:hAnsi="Times New Roman" w:cs="Times New Roman"/>
          <w:noProof/>
        </w:rPr>
        <w:lastRenderedPageBreak/>
        <w:t>support in 2015 and 2016, requested EUR 2 644 per targeted beneficiary. The highest amount per beneficiary has been requested by Italy (EUR 7 689), followed by Greece (EUR 5 880) and Sweden (EUR 4 311).</w:t>
      </w:r>
    </w:p>
    <w:p w:rsidR="00B54C1A" w:rsidRDefault="00BA5FEF">
      <w:pPr>
        <w:spacing w:before="720"/>
        <w:jc w:val="both"/>
        <w:rPr>
          <w:rFonts w:ascii="Times New Roman" w:hAnsi="Times New Roman"/>
          <w:b/>
          <w:i/>
          <w:noProof/>
        </w:rPr>
      </w:pPr>
      <w:r>
        <w:rPr>
          <w:rFonts w:ascii="Times New Roman" w:hAnsi="Times New Roman"/>
          <w:b/>
          <w:i/>
          <w:noProof/>
        </w:rPr>
        <w:t>Chart 5:Highest EGF amount requested per bene</w:t>
      </w:r>
      <w:r>
        <w:rPr>
          <w:rFonts w:ascii="Times New Roman" w:hAnsi="Times New Roman"/>
          <w:b/>
          <w:i/>
          <w:noProof/>
        </w:rPr>
        <w:t>ficiary and per Member State in 2015 – 2016</w:t>
      </w:r>
    </w:p>
    <w:p w:rsidR="00B54C1A" w:rsidRDefault="00BA5FEF">
      <w:pPr>
        <w:jc w:val="both"/>
        <w:rPr>
          <w:noProof/>
          <w:sz w:val="20"/>
          <w:szCs w:val="20"/>
        </w:rPr>
      </w:pPr>
      <w:r>
        <w:rPr>
          <w:noProof/>
          <w:lang w:eastAsia="en-GB"/>
        </w:rPr>
        <w:drawing>
          <wp:inline distT="0" distB="0" distL="0" distR="0">
            <wp:extent cx="5761529" cy="3188262"/>
            <wp:effectExtent l="0" t="0" r="10795"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4C1A" w:rsidRDefault="00BA5FEF">
      <w:pPr>
        <w:spacing w:after="240"/>
        <w:rPr>
          <w:rFonts w:ascii="Times New Roman" w:hAnsi="Times New Roman"/>
          <w:b/>
          <w:noProof/>
        </w:rPr>
      </w:pPr>
      <w:r>
        <w:rPr>
          <w:rFonts w:ascii="Times New Roman" w:hAnsi="Times New Roman"/>
          <w:b/>
          <w:noProof/>
        </w:rPr>
        <w:t>Average EGF amount requested per beneficiary by 11 Member States, 2015 – 2016:  2 644 €</w:t>
      </w:r>
    </w:p>
    <w:p w:rsidR="00B54C1A" w:rsidRDefault="00BA5FEF">
      <w:pPr>
        <w:pStyle w:val="Heading2"/>
        <w:spacing w:before="360"/>
        <w:rPr>
          <w:noProof/>
        </w:rPr>
      </w:pPr>
      <w:bookmarkStart w:id="12" w:name="_Toc496267943"/>
      <w:r>
        <w:rPr>
          <w:noProof/>
        </w:rPr>
        <w:t>3.2. Contributions granted</w:t>
      </w:r>
      <w:bookmarkEnd w:id="12"/>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rPr>
        <w:t xml:space="preserve">In 2015 and 2016, the budgetary authority </w:t>
      </w:r>
      <w:r>
        <w:rPr>
          <w:rFonts w:ascii="Times New Roman" w:hAnsi="Times New Roman" w:cs="Times New Roman"/>
          <w:noProof/>
          <w:color w:val="000000" w:themeColor="text1"/>
        </w:rPr>
        <w:t>took 25 decisions (</w:t>
      </w:r>
      <w:r>
        <w:rPr>
          <w:rFonts w:ascii="Times New Roman" w:hAnsi="Times New Roman"/>
          <w:noProof/>
          <w:color w:val="000000"/>
        </w:rPr>
        <w:t>including ten applications receive</w:t>
      </w:r>
      <w:r>
        <w:rPr>
          <w:rFonts w:ascii="Times New Roman" w:hAnsi="Times New Roman"/>
          <w:noProof/>
          <w:color w:val="000000"/>
        </w:rPr>
        <w:t>d before 01/01/2015</w:t>
      </w:r>
      <w:r>
        <w:rPr>
          <w:rFonts w:ascii="Times New Roman" w:hAnsi="Times New Roman" w:cs="Times New Roman"/>
          <w:noProof/>
          <w:color w:val="000000" w:themeColor="text1"/>
        </w:rPr>
        <w:t xml:space="preserve">) </w:t>
      </w:r>
      <w:r>
        <w:rPr>
          <w:rFonts w:ascii="Times New Roman" w:hAnsi="Times New Roman" w:cs="Times New Roman"/>
          <w:noProof/>
        </w:rPr>
        <w:t>to mobilise the EGF funding. See Tables 3 and 4 for an overview of the contributions granted and a profile of the workers concerned</w:t>
      </w:r>
      <w:r>
        <w:rPr>
          <w:rStyle w:val="FootnoteReference"/>
          <w:rFonts w:ascii="Times New Roman" w:hAnsi="Times New Roman" w:cs="Times New Roman"/>
          <w:noProof/>
        </w:rPr>
        <w:footnoteReference w:id="10"/>
      </w:r>
      <w:r>
        <w:rPr>
          <w:rFonts w:ascii="Times New Roman" w:hAnsi="Times New Roman" w:cs="Times New Roman"/>
          <w:noProof/>
        </w:rPr>
        <w:t>. The budgetary authority took 16 decisions in 2015 and 9 decisions in 2016</w:t>
      </w:r>
      <w:r>
        <w:rPr>
          <w:rFonts w:ascii="Times New Roman" w:hAnsi="Times New Roman" w:cs="Times New Roman"/>
          <w:noProof/>
          <w:color w:val="000000" w:themeColor="text1"/>
        </w:rPr>
        <w:t>. For the majority of the co</w:t>
      </w:r>
      <w:r>
        <w:rPr>
          <w:rFonts w:ascii="Times New Roman" w:hAnsi="Times New Roman" w:cs="Times New Roman"/>
          <w:noProof/>
          <w:color w:val="000000" w:themeColor="text1"/>
        </w:rPr>
        <w:t xml:space="preserve">ntributions granted (22) the co-funding rate was 60 %. The co-funding rate was 50 % for three </w:t>
      </w:r>
      <w:r>
        <w:rPr>
          <w:rFonts w:ascii="Times New Roman" w:hAnsi="Times New Roman" w:cs="Times New Roman"/>
          <w:noProof/>
        </w:rPr>
        <w:t>cases to which Regulation (EC) No 1927/2006 applied</w:t>
      </w:r>
      <w:r>
        <w:rPr>
          <w:rStyle w:val="FootnoteReference"/>
          <w:rFonts w:ascii="Times New Roman" w:hAnsi="Times New Roman" w:cs="Times New Roman"/>
          <w:noProof/>
        </w:rPr>
        <w:footnoteReference w:id="11"/>
      </w:r>
      <w:r>
        <w:rPr>
          <w:rFonts w:ascii="Times New Roman" w:hAnsi="Times New Roman" w:cs="Times New Roman"/>
          <w:noProof/>
        </w:rPr>
        <w:t xml:space="preserve"> </w:t>
      </w:r>
      <w:r>
        <w:rPr>
          <w:rFonts w:ascii="Times New Roman" w:hAnsi="Times New Roman" w:cs="Times New Roman"/>
          <w:noProof/>
          <w:color w:val="000000" w:themeColor="text1"/>
        </w:rPr>
        <w:t xml:space="preserve">. </w:t>
      </w:r>
    </w:p>
    <w:p w:rsidR="00B54C1A" w:rsidRDefault="00BA5FEF">
      <w:pPr>
        <w:jc w:val="both"/>
        <w:rPr>
          <w:rFonts w:ascii="Times New Roman" w:hAnsi="Times New Roman" w:cs="Times New Roman"/>
          <w:noProof/>
        </w:rPr>
      </w:pPr>
      <w:r>
        <w:rPr>
          <w:rFonts w:ascii="Times New Roman" w:hAnsi="Times New Roman" w:cs="Times New Roman"/>
          <w:noProof/>
        </w:rPr>
        <w:t xml:space="preserve">The </w:t>
      </w:r>
      <w:r>
        <w:rPr>
          <w:rFonts w:ascii="Times New Roman" w:hAnsi="Times New Roman" w:cs="Times New Roman"/>
          <w:noProof/>
          <w:color w:val="000000" w:themeColor="text1"/>
        </w:rPr>
        <w:t>25 contributions granted targeted 25 353 beneficiaries (thereof 1 251 NEETs) in 11 Member States, with</w:t>
      </w:r>
      <w:r>
        <w:rPr>
          <w:rFonts w:ascii="Times New Roman" w:hAnsi="Times New Roman" w:cs="Times New Roman"/>
          <w:noProof/>
          <w:color w:val="000000" w:themeColor="text1"/>
        </w:rPr>
        <w:t xml:space="preserve"> a total amount of EUR 70 392 546</w:t>
      </w:r>
      <w:r>
        <w:rPr>
          <w:rStyle w:val="FootnoteReference"/>
          <w:rFonts w:ascii="Times New Roman" w:hAnsi="Times New Roman" w:cs="Times New Roman"/>
          <w:noProof/>
          <w:color w:val="000000" w:themeColor="text1"/>
        </w:rPr>
        <w:footnoteReference w:id="12"/>
      </w:r>
      <w:r>
        <w:rPr>
          <w:rFonts w:ascii="Times New Roman" w:hAnsi="Times New Roman" w:cs="Times New Roman"/>
          <w:noProof/>
          <w:color w:val="000000" w:themeColor="text1"/>
        </w:rPr>
        <w:t xml:space="preserve"> granted from the </w:t>
      </w:r>
      <w:r>
        <w:rPr>
          <w:rFonts w:ascii="Times New Roman" w:hAnsi="Times New Roman" w:cs="Times New Roman"/>
          <w:noProof/>
        </w:rPr>
        <w:t xml:space="preserve">EGF funding (average </w:t>
      </w:r>
      <w:r>
        <w:rPr>
          <w:rFonts w:ascii="Times New Roman" w:hAnsi="Times New Roman"/>
          <w:noProof/>
        </w:rPr>
        <w:t>EUR 2 776 per targeted beneficiary)</w:t>
      </w:r>
      <w:r>
        <w:rPr>
          <w:rFonts w:ascii="Times New Roman" w:hAnsi="Times New Roman" w:cs="Times New Roman"/>
          <w:noProof/>
        </w:rPr>
        <w:t xml:space="preserve">. </w:t>
      </w:r>
    </w:p>
    <w:p w:rsidR="00B54C1A" w:rsidRDefault="00BA5FEF">
      <w:pPr>
        <w:pStyle w:val="Heading3"/>
        <w:rPr>
          <w:noProof/>
        </w:rPr>
      </w:pPr>
      <w:bookmarkStart w:id="13" w:name="_Toc496267944"/>
      <w:r>
        <w:rPr>
          <w:noProof/>
        </w:rPr>
        <w:lastRenderedPageBreak/>
        <w:t>3.2.1. Actions funded with EGF assistance</w:t>
      </w:r>
      <w:bookmarkEnd w:id="13"/>
    </w:p>
    <w:p w:rsidR="00B54C1A" w:rsidRDefault="00BA5FEF">
      <w:pPr>
        <w:autoSpaceDE w:val="0"/>
        <w:autoSpaceDN w:val="0"/>
        <w:adjustRightInd w:val="0"/>
        <w:spacing w:after="0"/>
        <w:jc w:val="both"/>
        <w:rPr>
          <w:rFonts w:ascii="Times New Roman" w:hAnsi="Times New Roman" w:cs="Times New Roman"/>
          <w:noProof/>
        </w:rPr>
      </w:pPr>
      <w:r>
        <w:rPr>
          <w:rFonts w:ascii="Times New Roman" w:hAnsi="Times New Roman" w:cs="Times New Roman"/>
          <w:noProof/>
        </w:rPr>
        <w:t xml:space="preserve">Under Article 7 of Regulation (EU) No 1309/2013, a financial contribution from the EGF may be made for </w:t>
      </w:r>
      <w:r>
        <w:rPr>
          <w:rFonts w:ascii="Times New Roman" w:hAnsi="Times New Roman" w:cs="Times New Roman"/>
          <w:noProof/>
        </w:rPr>
        <w:t>active labour market measures that form part of a coordinated package of personalised services, designed to facilitate the reintegration of the targeted beneficiaries and, in particular, disadvantaged, older and young unemployed persons, into employment or</w:t>
      </w:r>
      <w:r>
        <w:rPr>
          <w:rFonts w:ascii="Times New Roman" w:hAnsi="Times New Roman" w:cs="Times New Roman"/>
          <w:noProof/>
        </w:rPr>
        <w:t xml:space="preserve"> self-employment. The measures approved for the 25 EGF contributions granted in 2015 and 2016 aimed to reintegrate 25 353 beneficiaries into the labour market. The measures consisted mainly of the following:</w:t>
      </w:r>
    </w:p>
    <w:p w:rsidR="00B54C1A" w:rsidRDefault="00B54C1A">
      <w:pPr>
        <w:autoSpaceDE w:val="0"/>
        <w:autoSpaceDN w:val="0"/>
        <w:adjustRightInd w:val="0"/>
        <w:spacing w:after="0"/>
        <w:jc w:val="both"/>
        <w:rPr>
          <w:rFonts w:ascii="Times New Roman" w:hAnsi="Times New Roman" w:cs="Times New Roman"/>
          <w:noProof/>
        </w:rPr>
      </w:pPr>
    </w:p>
    <w:p w:rsidR="00B54C1A" w:rsidRDefault="00BA5FEF">
      <w:pPr>
        <w:numPr>
          <w:ilvl w:val="0"/>
          <w:numId w:val="5"/>
        </w:numPr>
        <w:autoSpaceDE w:val="0"/>
        <w:autoSpaceDN w:val="0"/>
        <w:contextualSpacing/>
        <w:jc w:val="both"/>
        <w:rPr>
          <w:rFonts w:ascii="Times New Roman" w:hAnsi="Times New Roman"/>
          <w:noProof/>
          <w:color w:val="000000" w:themeColor="text1"/>
        </w:rPr>
      </w:pPr>
      <w:r>
        <w:rPr>
          <w:rFonts w:ascii="Times New Roman" w:hAnsi="Times New Roman"/>
          <w:noProof/>
          <w:color w:val="000000" w:themeColor="text1"/>
        </w:rPr>
        <w:t>intensive personalised job search assistance an</w:t>
      </w:r>
      <w:r>
        <w:rPr>
          <w:rFonts w:ascii="Times New Roman" w:hAnsi="Times New Roman"/>
          <w:noProof/>
          <w:color w:val="000000" w:themeColor="text1"/>
        </w:rPr>
        <w:t>d case management;</w:t>
      </w:r>
    </w:p>
    <w:p w:rsidR="00B54C1A" w:rsidRDefault="00BA5FEF">
      <w:pPr>
        <w:numPr>
          <w:ilvl w:val="0"/>
          <w:numId w:val="5"/>
        </w:numPr>
        <w:autoSpaceDE w:val="0"/>
        <w:autoSpaceDN w:val="0"/>
        <w:contextualSpacing/>
        <w:jc w:val="both"/>
        <w:rPr>
          <w:rFonts w:ascii="Times New Roman" w:hAnsi="Times New Roman"/>
          <w:noProof/>
          <w:color w:val="000000" w:themeColor="text1"/>
        </w:rPr>
      </w:pPr>
      <w:r>
        <w:rPr>
          <w:rFonts w:ascii="Times New Roman" w:hAnsi="Times New Roman"/>
          <w:noProof/>
          <w:color w:val="000000" w:themeColor="text1"/>
        </w:rPr>
        <w:t>a variety of vocational training, higher education programmes, language training, upskilling and retraining measures;</w:t>
      </w:r>
    </w:p>
    <w:p w:rsidR="00B54C1A" w:rsidRDefault="00BA5FEF">
      <w:pPr>
        <w:numPr>
          <w:ilvl w:val="0"/>
          <w:numId w:val="5"/>
        </w:numPr>
        <w:autoSpaceDE w:val="0"/>
        <w:autoSpaceDN w:val="0"/>
        <w:contextualSpacing/>
        <w:jc w:val="both"/>
        <w:rPr>
          <w:rFonts w:ascii="Times New Roman" w:hAnsi="Times New Roman"/>
          <w:noProof/>
          <w:color w:val="000000" w:themeColor="text1"/>
        </w:rPr>
      </w:pPr>
      <w:r>
        <w:rPr>
          <w:rFonts w:ascii="Times New Roman" w:hAnsi="Times New Roman"/>
          <w:noProof/>
          <w:color w:val="000000" w:themeColor="text1"/>
        </w:rPr>
        <w:t>various temporary financial incentives/allowances for the duration of the active labour market measures;</w:t>
      </w:r>
    </w:p>
    <w:p w:rsidR="00B54C1A" w:rsidRDefault="00BA5FEF">
      <w:pPr>
        <w:numPr>
          <w:ilvl w:val="0"/>
          <w:numId w:val="5"/>
        </w:numPr>
        <w:autoSpaceDE w:val="0"/>
        <w:autoSpaceDN w:val="0"/>
        <w:contextualSpacing/>
        <w:jc w:val="both"/>
        <w:rPr>
          <w:rFonts w:ascii="Times New Roman" w:hAnsi="Times New Roman"/>
          <w:noProof/>
        </w:rPr>
      </w:pPr>
      <w:r>
        <w:rPr>
          <w:rFonts w:ascii="Times New Roman" w:hAnsi="Times New Roman"/>
          <w:noProof/>
        </w:rPr>
        <w:t xml:space="preserve">support </w:t>
      </w:r>
      <w:r>
        <w:rPr>
          <w:rFonts w:ascii="Times New Roman" w:hAnsi="Times New Roman"/>
          <w:noProof/>
        </w:rPr>
        <w:t>measures up to the time when the workers actually went back into employment;</w:t>
      </w:r>
    </w:p>
    <w:p w:rsidR="00B54C1A" w:rsidRDefault="00BA5FEF">
      <w:pPr>
        <w:numPr>
          <w:ilvl w:val="0"/>
          <w:numId w:val="5"/>
        </w:numPr>
        <w:autoSpaceDE w:val="0"/>
        <w:autoSpaceDN w:val="0"/>
        <w:contextualSpacing/>
        <w:jc w:val="both"/>
        <w:rPr>
          <w:rFonts w:ascii="Times New Roman" w:hAnsi="Times New Roman"/>
          <w:noProof/>
        </w:rPr>
      </w:pPr>
      <w:r>
        <w:rPr>
          <w:rFonts w:ascii="Times New Roman" w:hAnsi="Times New Roman"/>
          <w:noProof/>
        </w:rPr>
        <w:t>some mentoring during the initial phase in the new job;</w:t>
      </w:r>
    </w:p>
    <w:p w:rsidR="00B54C1A" w:rsidRDefault="00BA5FEF">
      <w:pPr>
        <w:numPr>
          <w:ilvl w:val="0"/>
          <w:numId w:val="5"/>
        </w:numPr>
        <w:autoSpaceDE w:val="0"/>
        <w:autoSpaceDN w:val="0"/>
        <w:contextualSpacing/>
        <w:jc w:val="both"/>
        <w:rPr>
          <w:rFonts w:ascii="Times New Roman" w:hAnsi="Times New Roman"/>
          <w:noProof/>
        </w:rPr>
      </w:pPr>
      <w:r>
        <w:rPr>
          <w:rFonts w:ascii="Times New Roman" w:hAnsi="Times New Roman"/>
          <w:noProof/>
        </w:rPr>
        <w:t>other types of activities, such as entrepreneurship promotion/business creation, and</w:t>
      </w:r>
    </w:p>
    <w:p w:rsidR="00B54C1A" w:rsidRDefault="00BA5FEF">
      <w:pPr>
        <w:numPr>
          <w:ilvl w:val="0"/>
          <w:numId w:val="5"/>
        </w:numPr>
        <w:contextualSpacing/>
        <w:jc w:val="both"/>
        <w:rPr>
          <w:rFonts w:ascii="Calibri" w:hAnsi="Calibri" w:cs="Calibri"/>
          <w:noProof/>
        </w:rPr>
      </w:pPr>
      <w:r>
        <w:rPr>
          <w:rFonts w:ascii="Times New Roman" w:hAnsi="Times New Roman"/>
          <w:noProof/>
        </w:rPr>
        <w:t>one-off employment/hiring incentives.</w:t>
      </w:r>
    </w:p>
    <w:p w:rsidR="00B54C1A" w:rsidRDefault="00B54C1A">
      <w:pPr>
        <w:ind w:left="720"/>
        <w:contextualSpacing/>
        <w:jc w:val="both"/>
        <w:rPr>
          <w:rFonts w:ascii="Calibri" w:hAnsi="Calibri" w:cs="Calibri"/>
          <w:noProof/>
        </w:rPr>
      </w:pPr>
    </w:p>
    <w:p w:rsidR="00B54C1A" w:rsidRDefault="00BA5FEF">
      <w:pPr>
        <w:jc w:val="both"/>
        <w:rPr>
          <w:rFonts w:ascii="Times New Roman" w:hAnsi="Times New Roman" w:cs="Times New Roman"/>
          <w:noProof/>
        </w:rPr>
      </w:pPr>
      <w:r>
        <w:rPr>
          <w:rFonts w:ascii="Times New Roman" w:hAnsi="Times New Roman" w:cs="Times New Roman"/>
          <w:noProof/>
        </w:rPr>
        <w:t>When designing their support packages, Member States took into account the backgrounds, experiences and educational levels of the individual beneficiaries, their ability to be mobile and the current or expected job opportunities in the regions concerned.</w:t>
      </w:r>
    </w:p>
    <w:p w:rsidR="00B54C1A" w:rsidRDefault="00BA5FEF">
      <w:pPr>
        <w:pStyle w:val="Heading3"/>
        <w:rPr>
          <w:noProof/>
        </w:rPr>
      </w:pPr>
      <w:bookmarkStart w:id="14" w:name="_Toc496267945"/>
      <w:r>
        <w:rPr>
          <w:noProof/>
        </w:rPr>
        <w:t>3.2.2. Complementarity with actions funded by the European Social Fund (ESF)</w:t>
      </w:r>
      <w:bookmarkEnd w:id="14"/>
    </w:p>
    <w:p w:rsidR="00B54C1A" w:rsidRDefault="00BA5FEF">
      <w:pPr>
        <w:jc w:val="both"/>
        <w:rPr>
          <w:rFonts w:ascii="Times New Roman" w:hAnsi="Times New Roman" w:cs="Times New Roman"/>
          <w:noProof/>
        </w:rPr>
      </w:pPr>
      <w:r>
        <w:rPr>
          <w:rFonts w:ascii="Times New Roman" w:hAnsi="Times New Roman" w:cs="Times New Roman"/>
          <w:noProof/>
        </w:rPr>
        <w:t>The EGF is designed to increase employability and ensure the rapid integration of the targeted beneficiaries into employment through active labour market measures, thus complement</w:t>
      </w:r>
      <w:r>
        <w:rPr>
          <w:rFonts w:ascii="Times New Roman" w:hAnsi="Times New Roman" w:cs="Times New Roman"/>
          <w:noProof/>
        </w:rPr>
        <w:t xml:space="preserve">ing the ESF, which is the major EU instrument for promoting employment. Generally, the complementarity of the two funds lies in their ability to address these issues from two different time perspectives: the EGF </w:t>
      </w:r>
      <w:r>
        <w:rPr>
          <w:rFonts w:ascii="Times New Roman" w:hAnsi="Times New Roman"/>
          <w:noProof/>
        </w:rPr>
        <w:t xml:space="preserve">generally provides for redundant workers or </w:t>
      </w:r>
      <w:r>
        <w:rPr>
          <w:rFonts w:ascii="Times New Roman" w:hAnsi="Times New Roman"/>
          <w:noProof/>
        </w:rPr>
        <w:t xml:space="preserve">self-employed </w:t>
      </w:r>
      <w:r>
        <w:rPr>
          <w:rFonts w:ascii="Times New Roman" w:hAnsi="Times New Roman" w:cs="Times New Roman"/>
          <w:noProof/>
        </w:rPr>
        <w:t xml:space="preserve">in response to a specific, large-scale mass redundancy which happened within a short period, whereas the ESF supports strategic, long-term goals (e.g. increasing human capital, managing change) through multiannual programmes, whose resources </w:t>
      </w:r>
      <w:r>
        <w:rPr>
          <w:rFonts w:ascii="Times New Roman" w:hAnsi="Times New Roman" w:cs="Times New Roman"/>
          <w:noProof/>
        </w:rPr>
        <w:t>cannot normally be allocated to deal with crisis situations caused by mass redundancies. EGF and ESF measures are sometimes used to complement each other to provide both short-term and longer-term solutions. The decisive criterion is the potential of avail</w:t>
      </w:r>
      <w:r>
        <w:rPr>
          <w:rFonts w:ascii="Times New Roman" w:hAnsi="Times New Roman" w:cs="Times New Roman"/>
          <w:noProof/>
        </w:rPr>
        <w:t xml:space="preserve">able instruments to help the targeted beneficiaries, and it is up to Member States to select – and to programme – the instruments and actions best suited to achieving the objectives pursued. </w:t>
      </w:r>
    </w:p>
    <w:p w:rsidR="00B54C1A" w:rsidRDefault="00BA5FEF">
      <w:pPr>
        <w:jc w:val="both"/>
        <w:rPr>
          <w:rFonts w:ascii="Times New Roman" w:hAnsi="Times New Roman"/>
          <w:noProof/>
          <w:lang w:eastAsia="en-GB"/>
        </w:rPr>
      </w:pPr>
      <w:r>
        <w:rPr>
          <w:rFonts w:ascii="Times New Roman" w:hAnsi="Times New Roman" w:cs="Times New Roman"/>
          <w:noProof/>
        </w:rPr>
        <w:t>EGF provides an opportunity to ensure intense personalised measu</w:t>
      </w:r>
      <w:r>
        <w:rPr>
          <w:rFonts w:ascii="Times New Roman" w:hAnsi="Times New Roman" w:cs="Times New Roman"/>
          <w:noProof/>
        </w:rPr>
        <w:t>res that are tailored to the needs of individual redundant workers whereas ESF support is usually more generalised and targets the wider population (both in-work and out of work).</w:t>
      </w:r>
      <w:r>
        <w:rPr>
          <w:rFonts w:ascii="Times New Roman" w:hAnsi="Times New Roman"/>
          <w:noProof/>
          <w:lang w:eastAsia="en-GB"/>
        </w:rPr>
        <w:t xml:space="preserve"> Furthermore, the ESF has greater focus on supporting both labour demand and </w:t>
      </w:r>
      <w:r>
        <w:rPr>
          <w:rFonts w:ascii="Times New Roman" w:hAnsi="Times New Roman"/>
          <w:noProof/>
          <w:lang w:eastAsia="en-GB"/>
        </w:rPr>
        <w:t xml:space="preserve">supply (skills, needs and aspirations of beneficiaries) in an integrated manner, while traditionally the EGF is more geared towards the supply side. </w:t>
      </w:r>
    </w:p>
    <w:p w:rsidR="00B54C1A" w:rsidRDefault="00B54C1A">
      <w:pPr>
        <w:jc w:val="both"/>
        <w:rPr>
          <w:rFonts w:ascii="Times New Roman" w:hAnsi="Times New Roman"/>
          <w:noProof/>
          <w:lang w:eastAsia="en-GB"/>
        </w:rPr>
      </w:pPr>
    </w:p>
    <w:p w:rsidR="00B54C1A" w:rsidRDefault="00B54C1A">
      <w:pPr>
        <w:pStyle w:val="BodyText"/>
        <w:jc w:val="both"/>
        <w:rPr>
          <w:rFonts w:ascii="Times New Roman" w:hAnsi="Times New Roman" w:cs="Times New Roman"/>
          <w:noProof/>
          <w:color w:val="auto"/>
          <w:sz w:val="22"/>
          <w:highlight w:val="yellow"/>
        </w:rPr>
      </w:pPr>
    </w:p>
    <w:p w:rsidR="00B54C1A" w:rsidRDefault="00BA5FEF">
      <w:pPr>
        <w:jc w:val="both"/>
        <w:rPr>
          <w:rFonts w:ascii="Times New Roman" w:hAnsi="Times New Roman" w:cs="Times New Roman"/>
          <w:noProof/>
        </w:rPr>
      </w:pPr>
      <w:r>
        <w:rPr>
          <w:rFonts w:ascii="Times New Roman" w:hAnsi="Times New Roman" w:cs="Times New Roman"/>
          <w:noProof/>
        </w:rPr>
        <w:lastRenderedPageBreak/>
        <w:t xml:space="preserve">The content of the 'coordinated package of personalised services' to be co-funded by the EGF </w:t>
      </w:r>
      <w:r>
        <w:rPr>
          <w:rFonts w:ascii="Times New Roman" w:hAnsi="Times New Roman"/>
          <w:noProof/>
        </w:rPr>
        <w:t>which for e</w:t>
      </w:r>
      <w:r>
        <w:rPr>
          <w:rFonts w:ascii="Times New Roman" w:hAnsi="Times New Roman"/>
          <w:noProof/>
        </w:rPr>
        <w:t xml:space="preserve">ach case consists of specific personalised services and tailor-made assistance, </w:t>
      </w:r>
      <w:r>
        <w:rPr>
          <w:rFonts w:ascii="Times New Roman" w:hAnsi="Times New Roman" w:cs="Times New Roman"/>
          <w:noProof/>
        </w:rPr>
        <w:t xml:space="preserve"> should be balanced with other actions and complement them. The measures co-funded by the EGF can go well beyond standard courses and actions. Practice has shown that the EGF allows Member States to offer targeted beneficiaries better tailor-made and more </w:t>
      </w:r>
      <w:r>
        <w:rPr>
          <w:rFonts w:ascii="Times New Roman" w:hAnsi="Times New Roman" w:cs="Times New Roman"/>
          <w:noProof/>
        </w:rPr>
        <w:t>in-depth assistance than would be possible without it, including measures to which they would not normally have access (e.g. second- or third-level education). The EGF allows Member States to pay particular attention to vulnerable people, such as lower-ski</w:t>
      </w:r>
      <w:r>
        <w:rPr>
          <w:rFonts w:ascii="Times New Roman" w:hAnsi="Times New Roman" w:cs="Times New Roman"/>
          <w:noProof/>
        </w:rPr>
        <w:t>lled or those with a migrant background, and to provide support with a better counsellor-beneficiary ratio and/or over a longer period of time than it would be possible without the EGF. This serves to increase the beneficiaries' prospects of improving thei</w:t>
      </w:r>
      <w:r>
        <w:rPr>
          <w:rFonts w:ascii="Times New Roman" w:hAnsi="Times New Roman" w:cs="Times New Roman"/>
          <w:noProof/>
        </w:rPr>
        <w:t xml:space="preserve">r situation. By way of derogation until the end of 2017, the EGF Regulation (EU) No 1309/2013 allows Member States to extend the support to NEETs in regions of high youth unemployment. The aim is to support the implementation of the Youth Guarantee, which </w:t>
      </w:r>
      <w:r>
        <w:rPr>
          <w:rFonts w:ascii="Times New Roman" w:hAnsi="Times New Roman" w:cs="Times New Roman"/>
          <w:noProof/>
        </w:rPr>
        <w:t>was endorsed by Council in April 2013</w:t>
      </w:r>
      <w:r>
        <w:rPr>
          <w:rFonts w:ascii="Times New Roman" w:hAnsi="Times New Roman" w:cs="Times New Roman"/>
          <w:noProof/>
          <w:vertAlign w:val="superscript"/>
        </w:rPr>
        <w:footnoteReference w:id="13"/>
      </w:r>
      <w:r>
        <w:rPr>
          <w:rFonts w:ascii="Times New Roman" w:hAnsi="Times New Roman" w:cs="Times New Roman"/>
          <w:noProof/>
        </w:rPr>
        <w:t xml:space="preserve">. </w:t>
      </w:r>
    </w:p>
    <w:p w:rsidR="00B54C1A" w:rsidRDefault="00BA5FEF">
      <w:pPr>
        <w:jc w:val="both"/>
        <w:rPr>
          <w:rFonts w:ascii="Times New Roman" w:hAnsi="Times New Roman"/>
          <w:noProof/>
          <w:lang w:eastAsia="en-GB"/>
        </w:rPr>
      </w:pPr>
      <w:r>
        <w:rPr>
          <w:rFonts w:ascii="Times New Roman" w:hAnsi="Times New Roman" w:cs="Times New Roman"/>
          <w:noProof/>
        </w:rPr>
        <w:t xml:space="preserve">As required by Article 9(5) of Regulation (EU) No 1309/2013, all Member States must put in place the necessary mechanisms to avoid any risk of double funding from EU financial instruments. </w:t>
      </w:r>
      <w:r>
        <w:rPr>
          <w:rFonts w:ascii="Times New Roman" w:hAnsi="Times New Roman"/>
          <w:noProof/>
          <w:lang w:eastAsia="en-GB"/>
        </w:rPr>
        <w:t>In most Member States, the</w:t>
      </w:r>
      <w:r>
        <w:rPr>
          <w:rFonts w:ascii="Times New Roman" w:hAnsi="Times New Roman"/>
          <w:noProof/>
          <w:lang w:eastAsia="en-GB"/>
        </w:rPr>
        <w:t xml:space="preserve"> ESF Managing Authority is also responsible for the implementation of  EGF cases, which ensures that displacement effects can be avoided. It also gives the possibility to seek for complementary between the different interventions. A particular  responsibil</w:t>
      </w:r>
      <w:r>
        <w:rPr>
          <w:rFonts w:ascii="Times New Roman" w:hAnsi="Times New Roman"/>
          <w:noProof/>
          <w:lang w:eastAsia="en-GB"/>
        </w:rPr>
        <w:t>ity is placed on Member States to ensure that what is funded through ESF Operational Programmes and the measures included in EGF cases do not result in displacement. Neither information provided by Member States in the Final Reports (on synergies in implem</w:t>
      </w:r>
      <w:r>
        <w:rPr>
          <w:rFonts w:ascii="Times New Roman" w:hAnsi="Times New Roman"/>
          <w:noProof/>
          <w:lang w:eastAsia="en-GB"/>
        </w:rPr>
        <w:t>entation between the various funds) nor the result of the mid-term evaluation (based on a limited number of cases with finalised implementation) gives evidence that there was an issue regarding the complementarity between the EGF and the ESF. At case level</w:t>
      </w:r>
      <w:r>
        <w:rPr>
          <w:rFonts w:ascii="Times New Roman" w:hAnsi="Times New Roman"/>
          <w:noProof/>
          <w:lang w:eastAsia="en-GB"/>
        </w:rPr>
        <w:t xml:space="preserve">, </w:t>
      </w:r>
      <w:r>
        <w:rPr>
          <w:rFonts w:ascii="Times New Roman" w:hAnsi="Times New Roman"/>
          <w:bCs/>
          <w:noProof/>
          <w:lang w:eastAsia="en-GB"/>
        </w:rPr>
        <w:t>the EGF commonly builds on existing national or ESF measures</w:t>
      </w:r>
      <w:r>
        <w:rPr>
          <w:rFonts w:ascii="Times New Roman" w:hAnsi="Times New Roman"/>
          <w:noProof/>
          <w:lang w:eastAsia="en-GB"/>
        </w:rPr>
        <w:t xml:space="preserve"> by topping them up </w:t>
      </w:r>
      <w:r>
        <w:rPr>
          <w:rFonts w:ascii="Times New Roman" w:hAnsi="Times New Roman"/>
          <w:bCs/>
          <w:noProof/>
          <w:lang w:eastAsia="en-GB"/>
        </w:rPr>
        <w:t>or by offering different, additional</w:t>
      </w:r>
      <w:r>
        <w:rPr>
          <w:rFonts w:ascii="Times New Roman" w:hAnsi="Times New Roman"/>
          <w:noProof/>
          <w:lang w:eastAsia="en-GB"/>
        </w:rPr>
        <w:t xml:space="preserve"> measures. </w:t>
      </w:r>
    </w:p>
    <w:p w:rsidR="00B54C1A" w:rsidRDefault="00BA5FEF">
      <w:pPr>
        <w:jc w:val="both"/>
        <w:rPr>
          <w:rFonts w:ascii="Times New Roman" w:hAnsi="Times New Roman"/>
          <w:noProof/>
          <w:lang w:eastAsia="en-GB"/>
        </w:rPr>
      </w:pPr>
      <w:r>
        <w:rPr>
          <w:rFonts w:ascii="Times New Roman" w:hAnsi="Times New Roman"/>
          <w:noProof/>
          <w:lang w:eastAsia="en-GB"/>
        </w:rPr>
        <w:t>In line with the principle of subsidiarity, the mix of EGF measures designed at Member State level is largely complementary to</w:t>
      </w:r>
      <w:r>
        <w:rPr>
          <w:rFonts w:ascii="Times New Roman" w:hAnsi="Times New Roman"/>
          <w:noProof/>
          <w:lang w:eastAsia="en-GB"/>
        </w:rPr>
        <w:t xml:space="preserve"> mainstream ESF provisions to support transitions back to employment. The decision whether to apply for ESF or EGF funding is made at Member States level, on the condition that the ESF operational programme agreed with the Commission is compatible with suc</w:t>
      </w:r>
      <w:r>
        <w:rPr>
          <w:rFonts w:ascii="Times New Roman" w:hAnsi="Times New Roman"/>
          <w:noProof/>
          <w:lang w:eastAsia="en-GB"/>
        </w:rPr>
        <w:t xml:space="preserve">h ESF support. It's up to the Member State to manage the complementarity between the ESF and EGF in the best possible manner given the local conditions prevailing at the time. </w:t>
      </w:r>
    </w:p>
    <w:p w:rsidR="00B54C1A" w:rsidRDefault="00BA5FEF">
      <w:pPr>
        <w:jc w:val="both"/>
        <w:rPr>
          <w:rFonts w:ascii="Times New Roman" w:hAnsi="Times New Roman"/>
          <w:noProof/>
          <w:lang w:eastAsia="en-GB"/>
        </w:rPr>
      </w:pPr>
      <w:r>
        <w:rPr>
          <w:rFonts w:ascii="Times New Roman" w:hAnsi="Times New Roman"/>
          <w:noProof/>
          <w:lang w:eastAsia="en-GB"/>
        </w:rPr>
        <w:t xml:space="preserve">However, there does </w:t>
      </w:r>
      <w:r>
        <w:rPr>
          <w:rFonts w:ascii="Times New Roman" w:hAnsi="Times New Roman"/>
          <w:bCs/>
          <w:noProof/>
          <w:lang w:eastAsia="en-GB"/>
        </w:rPr>
        <w:t>not seem to be any evidence of an integrated approach to us</w:t>
      </w:r>
      <w:r>
        <w:rPr>
          <w:rFonts w:ascii="Times New Roman" w:hAnsi="Times New Roman"/>
          <w:bCs/>
          <w:noProof/>
          <w:lang w:eastAsia="en-GB"/>
        </w:rPr>
        <w:t>ing EU funds at case level</w:t>
      </w:r>
      <w:r>
        <w:rPr>
          <w:rFonts w:ascii="Times New Roman" w:hAnsi="Times New Roman"/>
          <w:noProof/>
          <w:lang w:eastAsia="en-GB"/>
        </w:rPr>
        <w:t>. The reason for this seems to be the long-term programming of the European Structural and Investment Funds (ESI Funds). The fact that the EGF operates outside the multiannual framework unavoidably influences the timeline of proce</w:t>
      </w:r>
      <w:r>
        <w:rPr>
          <w:rFonts w:ascii="Times New Roman" w:hAnsi="Times New Roman"/>
          <w:noProof/>
          <w:lang w:eastAsia="en-GB"/>
        </w:rPr>
        <w:t xml:space="preserve">dures and in some cases the ESF actions which are already programmed are first deployed in restructuring cases. </w:t>
      </w:r>
    </w:p>
    <w:p w:rsidR="00B54C1A" w:rsidRDefault="00BA5FEF">
      <w:pPr>
        <w:jc w:val="both"/>
        <w:rPr>
          <w:rFonts w:ascii="Times New Roman" w:hAnsi="Times New Roman"/>
          <w:noProof/>
          <w:lang w:eastAsia="en-GB"/>
        </w:rPr>
      </w:pPr>
      <w:r>
        <w:rPr>
          <w:rFonts w:ascii="Times New Roman" w:hAnsi="Times New Roman"/>
          <w:noProof/>
          <w:lang w:eastAsia="en-GB"/>
        </w:rPr>
        <w:t>The conclusions of the mid-term evaluation show that the EGF has delivered significant European added value by its ability to support dismissed</w:t>
      </w:r>
      <w:r>
        <w:rPr>
          <w:rFonts w:ascii="Times New Roman" w:hAnsi="Times New Roman"/>
          <w:noProof/>
          <w:lang w:eastAsia="en-GB"/>
        </w:rPr>
        <w:t xml:space="preserve"> workers in a personalized manner through flexible provisions and focusing on the 'whole-person approach' in counselling. </w:t>
      </w:r>
    </w:p>
    <w:p w:rsidR="00B54C1A" w:rsidRDefault="00B54C1A">
      <w:pPr>
        <w:jc w:val="both"/>
        <w:rPr>
          <w:rFonts w:ascii="Times New Roman" w:hAnsi="Times New Roman" w:cs="Times New Roman"/>
          <w:noProof/>
        </w:rPr>
      </w:pPr>
    </w:p>
    <w:p w:rsidR="00B54C1A" w:rsidRDefault="00BA5FEF">
      <w:pPr>
        <w:pStyle w:val="Heading2"/>
        <w:rPr>
          <w:noProof/>
        </w:rPr>
      </w:pPr>
      <w:bookmarkStart w:id="15" w:name="_Toc483224332"/>
      <w:bookmarkStart w:id="16" w:name="_Toc496267946"/>
      <w:r>
        <w:rPr>
          <w:noProof/>
        </w:rPr>
        <w:lastRenderedPageBreak/>
        <w:t>3.3. Applications rejected or withdrawn</w:t>
      </w:r>
      <w:bookmarkEnd w:id="15"/>
      <w:bookmarkEnd w:id="16"/>
    </w:p>
    <w:p w:rsidR="00B54C1A" w:rsidRDefault="00BA5FEF">
      <w:pPr>
        <w:jc w:val="both"/>
        <w:rPr>
          <w:rFonts w:ascii="Times New Roman" w:hAnsi="Times New Roman" w:cs="Times New Roman"/>
          <w:noProof/>
        </w:rPr>
      </w:pPr>
      <w:r>
        <w:rPr>
          <w:rFonts w:ascii="Times New Roman" w:hAnsi="Times New Roman" w:cs="Times New Roman"/>
          <w:noProof/>
          <w:color w:val="000000" w:themeColor="text1"/>
        </w:rPr>
        <w:t>Of the 20 applications received in 2015 and 2016, none was rejected by the Commission and th</w:t>
      </w:r>
      <w:r>
        <w:rPr>
          <w:rFonts w:ascii="Times New Roman" w:hAnsi="Times New Roman" w:cs="Times New Roman"/>
          <w:noProof/>
          <w:color w:val="000000" w:themeColor="text1"/>
        </w:rPr>
        <w:t xml:space="preserve">ree were withdrawn by the Member States. </w:t>
      </w:r>
      <w:r>
        <w:rPr>
          <w:rFonts w:ascii="Times New Roman" w:hAnsi="Times New Roman" w:cs="Times New Roman"/>
          <w:noProof/>
        </w:rPr>
        <w:t>The application EGF/2015/008 EL/Supermarket Larissa was withdrawn for technical reasons and introduced again in November 2015 in a revised form (EGF/2015/011 EL/Supermarket Larissa). The applications EGF/2016/006 FI</w:t>
      </w:r>
      <w:r>
        <w:rPr>
          <w:rFonts w:ascii="Times New Roman" w:hAnsi="Times New Roman" w:cs="Times New Roman"/>
          <w:noProof/>
        </w:rPr>
        <w:t xml:space="preserve">/Helsinki-Uusimaa Education and EGF/2016/007 NL/Gelderland-Overijssel Social Work have been withdrawn due to a missing link between the dismissals and globalisation or the global financial and economic crisis. They have not been introduced again. </w:t>
      </w:r>
    </w:p>
    <w:p w:rsidR="00B54C1A" w:rsidRDefault="00B54C1A">
      <w:pPr>
        <w:jc w:val="both"/>
        <w:rPr>
          <w:rFonts w:ascii="Times New Roman" w:hAnsi="Times New Roman" w:cs="Times New Roman"/>
          <w:noProof/>
          <w:color w:val="000000" w:themeColor="text1"/>
        </w:rPr>
      </w:pPr>
    </w:p>
    <w:p w:rsidR="00B54C1A" w:rsidRDefault="00BA5FEF">
      <w:pPr>
        <w:jc w:val="center"/>
        <w:rPr>
          <w:rFonts w:ascii="Times New Roman" w:hAnsi="Times New Roman" w:cs="Times New Roman"/>
          <w:b/>
          <w:i/>
          <w:noProof/>
          <w:sz w:val="28"/>
          <w:szCs w:val="28"/>
        </w:rPr>
      </w:pPr>
      <w:r>
        <w:rPr>
          <w:rFonts w:ascii="Times New Roman" w:hAnsi="Times New Roman" w:cs="Times New Roman"/>
          <w:b/>
          <w:i/>
          <w:noProof/>
          <w:sz w:val="28"/>
          <w:szCs w:val="28"/>
        </w:rPr>
        <w:t>Table 2</w:t>
      </w:r>
      <w:r>
        <w:rPr>
          <w:rFonts w:ascii="Times New Roman" w:hAnsi="Times New Roman" w:cs="Times New Roman"/>
          <w:b/>
          <w:i/>
          <w:noProof/>
          <w:sz w:val="28"/>
          <w:szCs w:val="28"/>
        </w:rPr>
        <w:t>: Withdrawn applications in 2015 and 2016</w:t>
      </w:r>
    </w:p>
    <w:p w:rsidR="00B54C1A" w:rsidRDefault="00BA5FEF">
      <w:pPr>
        <w:jc w:val="both"/>
        <w:rPr>
          <w:rFonts w:ascii="Times New Roman" w:hAnsi="Times New Roman" w:cs="Times New Roman"/>
          <w:noProof/>
        </w:rPr>
      </w:pPr>
      <w:r>
        <w:rPr>
          <w:noProof/>
          <w:lang w:eastAsia="en-GB"/>
        </w:rPr>
        <w:drawing>
          <wp:inline distT="0" distB="0" distL="0" distR="0">
            <wp:extent cx="5827594" cy="856087"/>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8975" cy="856290"/>
                    </a:xfrm>
                    <a:prstGeom prst="rect">
                      <a:avLst/>
                    </a:prstGeom>
                    <a:noFill/>
                    <a:ln>
                      <a:noFill/>
                    </a:ln>
                  </pic:spPr>
                </pic:pic>
              </a:graphicData>
            </a:graphic>
          </wp:inline>
        </w:drawing>
      </w:r>
    </w:p>
    <w:p w:rsidR="00B54C1A" w:rsidRDefault="00B54C1A">
      <w:pPr>
        <w:jc w:val="both"/>
        <w:rPr>
          <w:rFonts w:ascii="Times New Roman" w:hAnsi="Times New Roman" w:cs="Times New Roman"/>
          <w:noProof/>
        </w:rPr>
        <w:sectPr w:rsidR="00B54C1A">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pPr>
    </w:p>
    <w:p w:rsidR="00B54C1A" w:rsidRDefault="00BA5FEF">
      <w:pPr>
        <w:jc w:val="center"/>
        <w:rPr>
          <w:rFonts w:ascii="Times New Roman" w:hAnsi="Times New Roman" w:cs="Times New Roman"/>
          <w:b/>
          <w:i/>
          <w:noProof/>
          <w:sz w:val="28"/>
          <w:szCs w:val="28"/>
        </w:rPr>
      </w:pPr>
      <w:r>
        <w:rPr>
          <w:rFonts w:ascii="Times New Roman" w:hAnsi="Times New Roman" w:cs="Times New Roman"/>
          <w:b/>
          <w:i/>
          <w:noProof/>
          <w:sz w:val="28"/>
          <w:szCs w:val="28"/>
        </w:rPr>
        <w:lastRenderedPageBreak/>
        <w:t>Table 3: Details of contributions granted in 2015 and 2016</w:t>
      </w:r>
    </w:p>
    <w:p w:rsidR="00B54C1A" w:rsidRDefault="00BA5FEF">
      <w:pPr>
        <w:jc w:val="center"/>
        <w:rPr>
          <w:rFonts w:ascii="Times New Roman" w:hAnsi="Times New Roman" w:cs="Times New Roman"/>
          <w:b/>
          <w:i/>
          <w:noProof/>
          <w:sz w:val="28"/>
          <w:szCs w:val="28"/>
        </w:rPr>
      </w:pPr>
      <w:r>
        <w:rPr>
          <w:rFonts w:ascii="Times New Roman" w:hAnsi="Times New Roman" w:cs="Times New Roman"/>
          <w:b/>
          <w:i/>
          <w:noProof/>
          <w:sz w:val="28"/>
          <w:szCs w:val="28"/>
        </w:rPr>
        <w:t>(Date of Signature by BA in 2015 and 2016)</w:t>
      </w:r>
    </w:p>
    <w:p w:rsidR="00B54C1A" w:rsidRDefault="00BA5FEF">
      <w:pPr>
        <w:jc w:val="center"/>
        <w:rPr>
          <w:rFonts w:ascii="Times New Roman" w:hAnsi="Times New Roman" w:cs="Times New Roman"/>
          <w:b/>
          <w:i/>
          <w:noProof/>
          <w:sz w:val="28"/>
          <w:szCs w:val="28"/>
        </w:rPr>
      </w:pPr>
      <w:r>
        <w:rPr>
          <w:noProof/>
          <w:lang w:eastAsia="en-GB"/>
        </w:rPr>
        <w:drawing>
          <wp:inline distT="0" distB="0" distL="0" distR="0">
            <wp:extent cx="8892540" cy="461545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2540" cy="4615457"/>
                    </a:xfrm>
                    <a:prstGeom prst="rect">
                      <a:avLst/>
                    </a:prstGeom>
                    <a:noFill/>
                    <a:ln>
                      <a:noFill/>
                    </a:ln>
                  </pic:spPr>
                </pic:pic>
              </a:graphicData>
            </a:graphic>
          </wp:inline>
        </w:drawing>
      </w:r>
    </w:p>
    <w:p w:rsidR="00B54C1A" w:rsidRDefault="00BA5FEF">
      <w:pPr>
        <w:jc w:val="center"/>
        <w:rPr>
          <w:rFonts w:ascii="Times New Roman" w:hAnsi="Times New Roman" w:cs="Times New Roman"/>
          <w:b/>
          <w:i/>
          <w:noProof/>
          <w:sz w:val="28"/>
          <w:szCs w:val="28"/>
        </w:rPr>
      </w:pPr>
      <w:r>
        <w:rPr>
          <w:rFonts w:ascii="Times New Roman" w:hAnsi="Times New Roman" w:cs="Times New Roman"/>
          <w:b/>
          <w:i/>
          <w:noProof/>
          <w:sz w:val="28"/>
          <w:szCs w:val="28"/>
        </w:rPr>
        <w:br w:type="page"/>
      </w:r>
    </w:p>
    <w:p w:rsidR="00B54C1A" w:rsidRDefault="00BA5FEF">
      <w:pPr>
        <w:jc w:val="center"/>
        <w:rPr>
          <w:rFonts w:ascii="Times New Roman" w:hAnsi="Times New Roman" w:cs="Times New Roman"/>
          <w:b/>
          <w:i/>
          <w:noProof/>
          <w:sz w:val="28"/>
          <w:szCs w:val="28"/>
        </w:rPr>
      </w:pPr>
      <w:r>
        <w:rPr>
          <w:rFonts w:ascii="Times New Roman" w:hAnsi="Times New Roman" w:cs="Times New Roman"/>
          <w:b/>
          <w:i/>
          <w:noProof/>
          <w:sz w:val="28"/>
          <w:szCs w:val="28"/>
        </w:rPr>
        <w:lastRenderedPageBreak/>
        <w:t>Table 4: EGF contributions granted in 2015 and 2016:</w:t>
      </w:r>
    </w:p>
    <w:p w:rsidR="00B54C1A" w:rsidRDefault="00BA5FEF">
      <w:pPr>
        <w:jc w:val="center"/>
        <w:rPr>
          <w:rFonts w:ascii="Times New Roman" w:hAnsi="Times New Roman" w:cs="Times New Roman"/>
          <w:b/>
          <w:i/>
          <w:noProof/>
          <w:sz w:val="28"/>
          <w:szCs w:val="28"/>
        </w:rPr>
      </w:pPr>
      <w:r>
        <w:rPr>
          <w:rFonts w:ascii="Times New Roman" w:hAnsi="Times New Roman" w:cs="Times New Roman"/>
          <w:b/>
          <w:i/>
          <w:noProof/>
          <w:sz w:val="28"/>
          <w:szCs w:val="28"/>
        </w:rPr>
        <w:t>Profile of workers targeted (no NEETs included)</w:t>
      </w:r>
    </w:p>
    <w:p w:rsidR="00B54C1A" w:rsidRDefault="00B54C1A">
      <w:pPr>
        <w:jc w:val="both"/>
        <w:rPr>
          <w:rFonts w:ascii="Times New Roman" w:hAnsi="Times New Roman"/>
          <w:noProof/>
          <w:lang w:eastAsia="en-GB"/>
        </w:rPr>
      </w:pPr>
    </w:p>
    <w:p w:rsidR="00B54C1A" w:rsidRDefault="00BA5FEF">
      <w:pPr>
        <w:jc w:val="both"/>
        <w:rPr>
          <w:rFonts w:ascii="Times New Roman" w:eastAsiaTheme="majorEastAsia" w:hAnsi="Times New Roman" w:cs="Times New Roman"/>
          <w:b/>
          <w:bCs/>
          <w:noProof/>
          <w:color w:val="000000" w:themeColor="text1"/>
          <w:sz w:val="24"/>
        </w:rPr>
        <w:sectPr w:rsidR="00B54C1A">
          <w:headerReference w:type="even" r:id="rId42"/>
          <w:headerReference w:type="default" r:id="rId43"/>
          <w:footerReference w:type="even" r:id="rId44"/>
          <w:footerReference w:type="default" r:id="rId45"/>
          <w:headerReference w:type="first" r:id="rId46"/>
          <w:footerReference w:type="first" r:id="rId47"/>
          <w:pgSz w:w="16838" w:h="11906" w:orient="landscape"/>
          <w:pgMar w:top="1417" w:right="1417" w:bottom="1417" w:left="1417" w:header="708" w:footer="708" w:gutter="0"/>
          <w:cols w:space="708"/>
          <w:docGrid w:linePitch="360"/>
        </w:sectPr>
      </w:pPr>
      <w:r>
        <w:rPr>
          <w:noProof/>
          <w:lang w:eastAsia="en-GB"/>
        </w:rPr>
        <w:drawing>
          <wp:inline distT="0" distB="0" distL="0" distR="0">
            <wp:extent cx="9247031" cy="420247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60238" cy="4208477"/>
                    </a:xfrm>
                    <a:prstGeom prst="rect">
                      <a:avLst/>
                    </a:prstGeom>
                    <a:noFill/>
                    <a:ln>
                      <a:noFill/>
                    </a:ln>
                  </pic:spPr>
                </pic:pic>
              </a:graphicData>
            </a:graphic>
          </wp:inline>
        </w:drawing>
      </w:r>
    </w:p>
    <w:p w:rsidR="00B54C1A" w:rsidRDefault="00BA5FEF">
      <w:pPr>
        <w:pStyle w:val="Heading2"/>
        <w:rPr>
          <w:noProof/>
        </w:rPr>
      </w:pPr>
      <w:bookmarkStart w:id="17" w:name="_Toc496267947"/>
      <w:r>
        <w:rPr>
          <w:noProof/>
        </w:rPr>
        <w:lastRenderedPageBreak/>
        <w:t>3.4. Results achieved by the EGF</w:t>
      </w:r>
      <w:bookmarkEnd w:id="17"/>
    </w:p>
    <w:p w:rsidR="00B54C1A" w:rsidRDefault="00BA5FEF">
      <w:pPr>
        <w:jc w:val="both"/>
        <w:rPr>
          <w:rFonts w:ascii="Times New Roman" w:hAnsi="Times New Roman" w:cs="Times New Roman"/>
          <w:b/>
          <w:noProof/>
          <w:color w:val="000000" w:themeColor="text1"/>
        </w:rPr>
      </w:pPr>
      <w:r>
        <w:rPr>
          <w:rFonts w:ascii="Times New Roman" w:hAnsi="Times New Roman" w:cs="Times New Roman"/>
          <w:noProof/>
        </w:rPr>
        <w:t xml:space="preserve">The main sources of information on the results achieved by the EGF are the final reports submitted by the Member </w:t>
      </w:r>
      <w:r>
        <w:rPr>
          <w:rFonts w:ascii="Times New Roman" w:hAnsi="Times New Roman" w:cs="Times New Roman"/>
          <w:noProof/>
          <w:color w:val="000000" w:themeColor="text1"/>
        </w:rPr>
        <w:t xml:space="preserve">States. These </w:t>
      </w:r>
      <w:r>
        <w:rPr>
          <w:rFonts w:ascii="Times New Roman" w:hAnsi="Times New Roman" w:cs="Times New Roman"/>
          <w:noProof/>
        </w:rPr>
        <w:t xml:space="preserve">are supplemented by information shared by Member States in direct </w:t>
      </w:r>
      <w:r>
        <w:rPr>
          <w:rFonts w:ascii="Times New Roman" w:hAnsi="Times New Roman" w:cs="Times New Roman"/>
          <w:noProof/>
          <w:color w:val="000000" w:themeColor="text1"/>
        </w:rPr>
        <w:t xml:space="preserve">contacts with the Commission, during meetings and conferences and by audit works. </w:t>
      </w:r>
    </w:p>
    <w:p w:rsidR="00B54C1A" w:rsidRDefault="00BA5FEF">
      <w:pPr>
        <w:jc w:val="both"/>
        <w:rPr>
          <w:rFonts w:ascii="Times New Roman" w:hAnsi="Times New Roman" w:cs="Times New Roman"/>
          <w:b/>
          <w:noProof/>
          <w:color w:val="000000" w:themeColor="text1"/>
        </w:rPr>
      </w:pPr>
      <w:r>
        <w:rPr>
          <w:rFonts w:ascii="Times New Roman" w:hAnsi="Times New Roman" w:cs="Times New Roman"/>
          <w:noProof/>
          <w:color w:val="000000" w:themeColor="text1"/>
        </w:rPr>
        <w:t>In 2015 and 2016, the Commission received 26 final reports</w:t>
      </w:r>
      <w:r>
        <w:rPr>
          <w:rFonts w:ascii="Times New Roman" w:hAnsi="Times New Roman" w:cs="Times New Roman"/>
          <w:noProof/>
          <w:color w:val="000000" w:themeColor="text1"/>
          <w:vertAlign w:val="superscript"/>
        </w:rPr>
        <w:footnoteReference w:id="14"/>
      </w:r>
      <w:r>
        <w:rPr>
          <w:rFonts w:ascii="Times New Roman" w:hAnsi="Times New Roman" w:cs="Times New Roman"/>
          <w:noProof/>
          <w:color w:val="FF0000"/>
        </w:rPr>
        <w:t xml:space="preserve"> </w:t>
      </w:r>
      <w:r>
        <w:rPr>
          <w:rFonts w:ascii="Times New Roman" w:hAnsi="Times New Roman" w:cs="Times New Roman"/>
          <w:noProof/>
          <w:color w:val="000000" w:themeColor="text1"/>
        </w:rPr>
        <w:t>for EGF co-funded cases implement</w:t>
      </w:r>
      <w:r>
        <w:rPr>
          <w:rFonts w:ascii="Times New Roman" w:hAnsi="Times New Roman" w:cs="Times New Roman"/>
          <w:noProof/>
          <w:color w:val="000000" w:themeColor="text1"/>
        </w:rPr>
        <w:t>ed by 12 Member States up to the middle of 2016</w:t>
      </w:r>
      <w:r>
        <w:rPr>
          <w:rFonts w:ascii="Times New Roman" w:hAnsi="Times New Roman" w:cs="Times New Roman"/>
          <w:noProof/>
          <w:color w:val="000000" w:themeColor="text1"/>
          <w:vertAlign w:val="superscript"/>
        </w:rPr>
        <w:footnoteReference w:id="15"/>
      </w:r>
      <w:r>
        <w:rPr>
          <w:rFonts w:ascii="Times New Roman" w:hAnsi="Times New Roman" w:cs="Times New Roman"/>
          <w:noProof/>
          <w:color w:val="000000" w:themeColor="text1"/>
        </w:rPr>
        <w:t xml:space="preserve">. </w:t>
      </w:r>
    </w:p>
    <w:p w:rsidR="00B54C1A" w:rsidRDefault="00BA5FEF">
      <w:pPr>
        <w:jc w:val="both"/>
        <w:rPr>
          <w:rFonts w:ascii="Times New Roman" w:hAnsi="Times New Roman" w:cs="Times New Roman"/>
          <w:noProof/>
        </w:rPr>
      </w:pPr>
      <w:r>
        <w:rPr>
          <w:rFonts w:ascii="Times New Roman" w:hAnsi="Times New Roman" w:cs="Times New Roman"/>
          <w:noProof/>
        </w:rPr>
        <w:t xml:space="preserve">The main results and data reported by these Member States in 2015 and 2016 are summarized in this section and in Table 5. </w:t>
      </w:r>
    </w:p>
    <w:p w:rsidR="00B54C1A" w:rsidRDefault="00BA5FEF">
      <w:pPr>
        <w:jc w:val="both"/>
        <w:rPr>
          <w:rFonts w:ascii="Times New Roman" w:hAnsi="Times New Roman" w:cs="Times New Roman"/>
          <w:noProof/>
        </w:rPr>
      </w:pPr>
      <w:r>
        <w:rPr>
          <w:rFonts w:ascii="Times New Roman" w:hAnsi="Times New Roman" w:cs="Times New Roman"/>
          <w:noProof/>
        </w:rPr>
        <w:t xml:space="preserve">Overall, the Commission has received final reports for 121 EGF contributions (since 2008 when the results of the first EGF case became available until December 2016), representing 82 % of the total number of applications (147) received by the end of 2016. </w:t>
      </w:r>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Based on the information in the Member States' final reports, the Commission can conclude that the EGF adds value to what the Member States could otherwise do to help the targeted beneficiaries to find new jobs. The EGF allows Member States to provide bet</w:t>
      </w:r>
      <w:r>
        <w:rPr>
          <w:rFonts w:ascii="Times New Roman" w:hAnsi="Times New Roman" w:cs="Times New Roman"/>
          <w:noProof/>
          <w:color w:val="000000" w:themeColor="text1"/>
        </w:rPr>
        <w:t xml:space="preserve">ter quality measures for more targeted beneficiaries and for longer than would be possible without EGF funding. </w:t>
      </w:r>
    </w:p>
    <w:p w:rsidR="00B54C1A" w:rsidRDefault="00BA5FEF">
      <w:pPr>
        <w:pStyle w:val="Heading3"/>
        <w:rPr>
          <w:noProof/>
          <w:color w:val="auto"/>
        </w:rPr>
      </w:pPr>
      <w:bookmarkStart w:id="18" w:name="_Toc496267948"/>
      <w:r>
        <w:rPr>
          <w:noProof/>
        </w:rPr>
        <w:t>3.4.1. Summary of the results reported in 2015 and 2016</w:t>
      </w:r>
      <w:bookmarkEnd w:id="18"/>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The 26 final reports received in 2015 and 2016 and presented by 12 Member States showed</w:t>
      </w:r>
      <w:r>
        <w:rPr>
          <w:rFonts w:ascii="Times New Roman" w:hAnsi="Times New Roman" w:cs="Times New Roman"/>
          <w:noProof/>
          <w:color w:val="000000" w:themeColor="text1"/>
        </w:rPr>
        <w:t xml:space="preserve"> that at the end of the implementation period, </w:t>
      </w:r>
      <w:r>
        <w:rPr>
          <w:rFonts w:ascii="Times New Roman" w:eastAsia="Times New Roman" w:hAnsi="Times New Roman" w:cs="Times New Roman"/>
          <w:bCs/>
          <w:noProof/>
          <w:color w:val="000000" w:themeColor="text1"/>
          <w:lang w:eastAsia="en-GB"/>
        </w:rPr>
        <w:t>9 072</w:t>
      </w:r>
      <w:r>
        <w:rPr>
          <w:rFonts w:ascii="Times New Roman" w:eastAsia="Times New Roman" w:hAnsi="Times New Roman" w:cs="Times New Roman"/>
          <w:b/>
          <w:bCs/>
          <w:noProof/>
          <w:color w:val="000000" w:themeColor="text1"/>
          <w:lang w:eastAsia="en-GB"/>
        </w:rPr>
        <w:t xml:space="preserve"> </w:t>
      </w:r>
      <w:r>
        <w:rPr>
          <w:rFonts w:ascii="Times New Roman" w:hAnsi="Times New Roman" w:cs="Times New Roman"/>
          <w:noProof/>
          <w:color w:val="000000" w:themeColor="text1"/>
        </w:rPr>
        <w:t xml:space="preserve">workers, or 47 % of the </w:t>
      </w:r>
      <w:r>
        <w:rPr>
          <w:rFonts w:ascii="Times New Roman" w:eastAsia="Times New Roman" w:hAnsi="Times New Roman" w:cs="Times New Roman"/>
          <w:bCs/>
          <w:noProof/>
          <w:color w:val="000000" w:themeColor="text1"/>
          <w:lang w:eastAsia="en-GB"/>
        </w:rPr>
        <w:t>19 434</w:t>
      </w:r>
      <w:r>
        <w:rPr>
          <w:rFonts w:ascii="Times New Roman" w:eastAsia="Times New Roman" w:hAnsi="Times New Roman" w:cs="Times New Roman"/>
          <w:b/>
          <w:bCs/>
          <w:noProof/>
          <w:color w:val="000000" w:themeColor="text1"/>
          <w:lang w:eastAsia="en-GB"/>
        </w:rPr>
        <w:t xml:space="preserve"> </w:t>
      </w:r>
      <w:r>
        <w:rPr>
          <w:rFonts w:ascii="Times New Roman" w:hAnsi="Times New Roman" w:cs="Times New Roman"/>
          <w:noProof/>
          <w:color w:val="000000" w:themeColor="text1"/>
        </w:rPr>
        <w:t xml:space="preserve">beneficiaries who received EGF assistance, had found new jobs by the end of the EGF implementation period (7 601 as dependent employees, 1 471 as self-employed). </w:t>
      </w:r>
    </w:p>
    <w:p w:rsidR="00B54C1A" w:rsidRDefault="00BA5FEF">
      <w:pPr>
        <w:jc w:val="both"/>
        <w:rPr>
          <w:rFonts w:ascii="Times New Roman" w:hAnsi="Times New Roman" w:cs="Times New Roman"/>
          <w:noProof/>
        </w:rPr>
      </w:pPr>
      <w:r>
        <w:rPr>
          <w:rFonts w:ascii="Times New Roman" w:hAnsi="Times New Roman" w:cs="Times New Roman"/>
          <w:noProof/>
        </w:rPr>
        <w:t>Approxima</w:t>
      </w:r>
      <w:r>
        <w:rPr>
          <w:rFonts w:ascii="Times New Roman" w:hAnsi="Times New Roman" w:cs="Times New Roman"/>
          <w:noProof/>
        </w:rPr>
        <w:t xml:space="preserve">tely </w:t>
      </w:r>
      <w:r>
        <w:rPr>
          <w:rFonts w:ascii="Times New Roman" w:hAnsi="Times New Roman" w:cs="Times New Roman"/>
          <w:noProof/>
          <w:color w:val="000000" w:themeColor="text1"/>
        </w:rPr>
        <w:t xml:space="preserve">3 % were </w:t>
      </w:r>
      <w:r>
        <w:rPr>
          <w:rFonts w:ascii="Times New Roman" w:hAnsi="Times New Roman" w:cs="Times New Roman"/>
          <w:noProof/>
        </w:rPr>
        <w:t xml:space="preserve">still in education or training, </w:t>
      </w:r>
      <w:r>
        <w:rPr>
          <w:rFonts w:ascii="Times New Roman" w:hAnsi="Times New Roman" w:cs="Times New Roman"/>
          <w:noProof/>
          <w:color w:val="000000" w:themeColor="text1"/>
        </w:rPr>
        <w:t xml:space="preserve">48 % were </w:t>
      </w:r>
      <w:r>
        <w:rPr>
          <w:rFonts w:ascii="Times New Roman" w:hAnsi="Times New Roman" w:cs="Times New Roman"/>
          <w:noProof/>
        </w:rPr>
        <w:t xml:space="preserve">unemployed or inactive for various reasons and for 2 % of the beneficiaries the employment status was not available. </w:t>
      </w:r>
    </w:p>
    <w:p w:rsidR="00B54C1A" w:rsidRDefault="00BA5FEF">
      <w:pPr>
        <w:jc w:val="both"/>
        <w:rPr>
          <w:rFonts w:ascii="Times New Roman" w:hAnsi="Times New Roman" w:cs="Times New Roman"/>
          <w:noProof/>
        </w:rPr>
      </w:pPr>
      <w:r>
        <w:rPr>
          <w:rFonts w:ascii="Times New Roman" w:hAnsi="Times New Roman" w:cs="Times New Roman"/>
          <w:noProof/>
        </w:rPr>
        <w:t>It is worth pointing out that the beneficiaries supported by EGF co-funded measure</w:t>
      </w:r>
      <w:r>
        <w:rPr>
          <w:rFonts w:ascii="Times New Roman" w:hAnsi="Times New Roman" w:cs="Times New Roman"/>
          <w:noProof/>
        </w:rPr>
        <w:t>s are usually among those facing the greatest difficulties on the labour market. T</w:t>
      </w:r>
      <w:r>
        <w:rPr>
          <w:rFonts w:ascii="Times New Roman" w:hAnsi="Times New Roman" w:cs="Times New Roman"/>
          <w:noProof/>
          <w:color w:val="000000" w:themeColor="text1"/>
        </w:rPr>
        <w:t xml:space="preserve">he results in terms of reintegration into work are influenced by absorption </w:t>
      </w:r>
      <w:r>
        <w:rPr>
          <w:rFonts w:ascii="Times New Roman" w:hAnsi="Times New Roman" w:cs="Times New Roman"/>
          <w:noProof/>
        </w:rPr>
        <w:t>capacities of local and regional labour markets in the aftermath of the global economic and financ</w:t>
      </w:r>
      <w:r>
        <w:rPr>
          <w:rFonts w:ascii="Times New Roman" w:hAnsi="Times New Roman" w:cs="Times New Roman"/>
          <w:noProof/>
        </w:rPr>
        <w:t>ial crisis. The reintegration rate recorded at the end of the respective implementation periods merely provides a snapshot of the beneficiaries' employment situation at the moment the data were collected. It does not give any information on the type or qua</w:t>
      </w:r>
      <w:r>
        <w:rPr>
          <w:rFonts w:ascii="Times New Roman" w:hAnsi="Times New Roman" w:cs="Times New Roman"/>
          <w:noProof/>
        </w:rPr>
        <w:t>lity of employment that has been found, which can change significantly in a short period of time. According to information received from several Member States, reintegration rates tend to rise in the months which follow the end of the measures and increase</w:t>
      </w:r>
      <w:r>
        <w:rPr>
          <w:rFonts w:ascii="Times New Roman" w:hAnsi="Times New Roman" w:cs="Times New Roman"/>
          <w:noProof/>
        </w:rPr>
        <w:t xml:space="preserve"> further in the medium term. Most of the EGF co-funded support has an additional positive impact on the longer run. </w:t>
      </w:r>
    </w:p>
    <w:p w:rsidR="00B54C1A" w:rsidRDefault="00BA5FEF">
      <w:pPr>
        <w:pStyle w:val="Heading3"/>
        <w:rPr>
          <w:noProof/>
        </w:rPr>
      </w:pPr>
      <w:bookmarkStart w:id="19" w:name="_Toc496267949"/>
      <w:r>
        <w:rPr>
          <w:noProof/>
        </w:rPr>
        <w:lastRenderedPageBreak/>
        <w:t>3.4.2. Qualitative assessment of the Final Reports submitted in 2015 and 2016</w:t>
      </w:r>
      <w:bookmarkEnd w:id="19"/>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support packages provided by the 12 Member States to the targeted beneficiaries include a wide range of personalised job search, outplacement and (re)qualification measures. The highest amounts were spent on 3 categories: </w:t>
      </w:r>
    </w:p>
    <w:p w:rsidR="00B54C1A" w:rsidRDefault="00BA5FEF">
      <w:pPr>
        <w:numPr>
          <w:ilvl w:val="0"/>
          <w:numId w:val="6"/>
        </w:numPr>
        <w:contextualSpacing/>
        <w:jc w:val="both"/>
        <w:rPr>
          <w:rFonts w:ascii="Times New Roman" w:hAnsi="Times New Roman" w:cs="Times New Roman"/>
          <w:noProof/>
          <w:color w:val="000000" w:themeColor="text1"/>
        </w:rPr>
      </w:pPr>
      <w:r>
        <w:rPr>
          <w:rFonts w:ascii="Times New Roman" w:hAnsi="Times New Roman" w:cs="Times New Roman"/>
          <w:noProof/>
          <w:color w:val="000000" w:themeColor="text1"/>
        </w:rPr>
        <w:t>Job search allowances</w:t>
      </w:r>
      <w:r>
        <w:rPr>
          <w:rFonts w:ascii="Times New Roman" w:hAnsi="Times New Roman" w:cs="Times New Roman"/>
          <w:noProof/>
          <w:color w:val="000000" w:themeColor="text1"/>
          <w:vertAlign w:val="superscript"/>
        </w:rPr>
        <w:footnoteReference w:id="16"/>
      </w:r>
      <w:r>
        <w:rPr>
          <w:rFonts w:ascii="Times New Roman" w:hAnsi="Times New Roman" w:cs="Times New Roman"/>
          <w:noProof/>
          <w:color w:val="000000" w:themeColor="text1"/>
        </w:rPr>
        <w:t>: EUR 4</w:t>
      </w:r>
      <w:r>
        <w:rPr>
          <w:rFonts w:ascii="Times New Roman" w:hAnsi="Times New Roman" w:cs="Times New Roman"/>
          <w:noProof/>
          <w:color w:val="000000" w:themeColor="text1"/>
        </w:rPr>
        <w:t>8,8 million (41 % of the total amount of personalised services for the 26 reported cases)</w:t>
      </w:r>
    </w:p>
    <w:p w:rsidR="00B54C1A" w:rsidRDefault="00BA5FEF">
      <w:pPr>
        <w:numPr>
          <w:ilvl w:val="0"/>
          <w:numId w:val="6"/>
        </w:numPr>
        <w:contextualSpacing/>
        <w:jc w:val="both"/>
        <w:rPr>
          <w:rFonts w:ascii="Times New Roman" w:hAnsi="Times New Roman" w:cs="Times New Roman"/>
          <w:noProof/>
          <w:color w:val="000000" w:themeColor="text1"/>
        </w:rPr>
      </w:pPr>
      <w:r>
        <w:rPr>
          <w:rFonts w:ascii="Times New Roman" w:hAnsi="Times New Roman" w:cs="Times New Roman"/>
          <w:noProof/>
          <w:color w:val="000000" w:themeColor="text1"/>
        </w:rPr>
        <w:t>Individual case management: EUR 24,2 million (20 % of the total amount of personalised services for the 26 reported cases)</w:t>
      </w:r>
    </w:p>
    <w:p w:rsidR="00B54C1A" w:rsidRDefault="00BA5FEF">
      <w:pPr>
        <w:numPr>
          <w:ilvl w:val="0"/>
          <w:numId w:val="6"/>
        </w:numPr>
        <w:contextualSpacing/>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Training and retraining: EUR 23, 3 million </w:t>
      </w:r>
      <w:r>
        <w:rPr>
          <w:rFonts w:ascii="Times New Roman" w:hAnsi="Times New Roman" w:cs="Times New Roman"/>
          <w:noProof/>
          <w:color w:val="000000" w:themeColor="text1"/>
        </w:rPr>
        <w:t>(19 % of the total amount of personalised services for the 26 reported cases).</w:t>
      </w:r>
    </w:p>
    <w:p w:rsidR="00B54C1A" w:rsidRDefault="00B54C1A">
      <w:pPr>
        <w:ind w:left="720"/>
        <w:contextualSpacing/>
        <w:jc w:val="both"/>
        <w:rPr>
          <w:rFonts w:ascii="Times New Roman" w:hAnsi="Times New Roman" w:cs="Times New Roman"/>
          <w:noProof/>
          <w:color w:val="000000" w:themeColor="text1"/>
        </w:rPr>
      </w:pPr>
    </w:p>
    <w:p w:rsidR="00B54C1A" w:rsidRDefault="00BA5FEF">
      <w:pPr>
        <w:jc w:val="both"/>
        <w:rPr>
          <w:rFonts w:ascii="Times New Roman" w:hAnsi="Times New Roman" w:cs="Times New Roman"/>
          <w:noProof/>
        </w:rPr>
      </w:pPr>
      <w:r>
        <w:rPr>
          <w:rFonts w:ascii="Times New Roman" w:hAnsi="Times New Roman" w:cs="Times New Roman"/>
          <w:noProof/>
        </w:rPr>
        <w:t>The qualification and training programmes were tailored to the needs and wishes of the beneficiaries targeted while taking into account the requirements of the local or regiona</w:t>
      </w:r>
      <w:r>
        <w:rPr>
          <w:rFonts w:ascii="Times New Roman" w:hAnsi="Times New Roman" w:cs="Times New Roman"/>
          <w:noProof/>
        </w:rPr>
        <w:t xml:space="preserve">l labour markets and the future potential of promising sectors. </w:t>
      </w:r>
    </w:p>
    <w:p w:rsidR="00B54C1A" w:rsidRDefault="00BA5FEF">
      <w:pPr>
        <w:jc w:val="both"/>
        <w:rPr>
          <w:rFonts w:ascii="Times New Roman" w:hAnsi="Times New Roman" w:cs="Times New Roman"/>
          <w:noProof/>
        </w:rPr>
      </w:pPr>
      <w:r>
        <w:rPr>
          <w:rFonts w:ascii="Times New Roman" w:hAnsi="Times New Roman" w:cs="Times New Roman"/>
          <w:noProof/>
        </w:rPr>
        <w:t>During 2015-2017, the Commission carried out a mid-term evaluation of the EGF to assess how and to what extent the EGF is reaching its objectives. As the evaluation report has not yet been pu</w:t>
      </w:r>
      <w:r>
        <w:rPr>
          <w:rFonts w:ascii="Times New Roman" w:hAnsi="Times New Roman" w:cs="Times New Roman"/>
          <w:noProof/>
        </w:rPr>
        <w:t>blished, the results have to be regarded as being preliminary.</w:t>
      </w:r>
    </w:p>
    <w:p w:rsidR="00B54C1A" w:rsidRDefault="00BA5FEF">
      <w:pPr>
        <w:jc w:val="both"/>
        <w:rPr>
          <w:rFonts w:ascii="Times New Roman" w:hAnsi="Times New Roman" w:cs="Times New Roman"/>
          <w:noProof/>
        </w:rPr>
      </w:pPr>
      <w:r>
        <w:rPr>
          <w:rFonts w:ascii="Times New Roman" w:hAnsi="Times New Roman" w:cs="Times New Roman"/>
          <w:noProof/>
        </w:rPr>
        <w:t>The evaluation covers all 29 EGF cases in which applications were received in 2014 and 2015</w:t>
      </w:r>
      <w:r>
        <w:rPr>
          <w:rStyle w:val="FootnoteReference"/>
          <w:rFonts w:ascii="Times New Roman" w:hAnsi="Times New Roman" w:cs="Times New Roman"/>
          <w:noProof/>
        </w:rPr>
        <w:footnoteReference w:id="17"/>
      </w:r>
      <w:r>
        <w:rPr>
          <w:rFonts w:ascii="Times New Roman" w:hAnsi="Times New Roman" w:cs="Times New Roman"/>
          <w:noProof/>
        </w:rPr>
        <w:t>. The evaluation does not cover any cases that were submitted in the former programming period.</w:t>
      </w:r>
    </w:p>
    <w:p w:rsidR="00B54C1A" w:rsidRDefault="00BA5FEF">
      <w:pPr>
        <w:jc w:val="both"/>
        <w:rPr>
          <w:rFonts w:ascii="Times New Roman" w:hAnsi="Times New Roman" w:cs="Times New Roman"/>
          <w:noProof/>
        </w:rPr>
      </w:pPr>
      <w:r>
        <w:rPr>
          <w:rFonts w:ascii="Times New Roman" w:hAnsi="Times New Roman"/>
          <w:noProof/>
        </w:rPr>
        <w:t>The E</w:t>
      </w:r>
      <w:r>
        <w:rPr>
          <w:rFonts w:ascii="Times New Roman" w:hAnsi="Times New Roman"/>
          <w:noProof/>
        </w:rPr>
        <w:t xml:space="preserve">GF evaluation findings (both ex-post 2007-2013 and mid-term 2014-2020) show </w:t>
      </w:r>
      <w:r>
        <w:rPr>
          <w:rFonts w:ascii="Times New Roman" w:hAnsi="Times New Roman" w:cs="Times New Roman"/>
          <w:noProof/>
        </w:rPr>
        <w:t>that EGF assistance helps beneficiaries (the redundant workers or the NEETs) build-up self-esteem, not only through intense guidance counselling, but also particularly through tail</w:t>
      </w:r>
      <w:r>
        <w:rPr>
          <w:rFonts w:ascii="Times New Roman" w:hAnsi="Times New Roman" w:cs="Times New Roman"/>
          <w:noProof/>
        </w:rPr>
        <w:t>or-made training measures. The EGF often also enables beneficiaries to take part in these measures by offering assistance such as mobility allowances or by supporting childcare provision.</w:t>
      </w:r>
    </w:p>
    <w:p w:rsidR="00B54C1A" w:rsidRDefault="00BA5FEF">
      <w:pPr>
        <w:jc w:val="both"/>
        <w:rPr>
          <w:rFonts w:ascii="Times New Roman" w:hAnsi="Times New Roman" w:cs="Times New Roman"/>
          <w:noProof/>
        </w:rPr>
      </w:pPr>
      <w:r>
        <w:rPr>
          <w:rFonts w:ascii="Times New Roman" w:hAnsi="Times New Roman" w:cs="Times New Roman"/>
          <w:noProof/>
        </w:rPr>
        <w:t>Even though evidence identified during the evaluation shows that the</w:t>
      </w:r>
      <w:r>
        <w:rPr>
          <w:rFonts w:ascii="Times New Roman" w:hAnsi="Times New Roman" w:cs="Times New Roman"/>
          <w:noProof/>
        </w:rPr>
        <w:t xml:space="preserve"> re-employment rates of EGF beneficiaries improved compared to the previous funding period (from 49 % to 56 %), these results have to be taken with caution, as the implementing period is now twice as long as before. Furthermore, evidence suggests that the </w:t>
      </w:r>
      <w:r>
        <w:rPr>
          <w:rFonts w:ascii="Times New Roman" w:hAnsi="Times New Roman" w:cs="Times New Roman"/>
          <w:noProof/>
        </w:rPr>
        <w:t>re-integration rates are very case specific, for example depending on the specific economic situation in the area concerned. It is therefore not only difficult to compare re-integration rates over cases, but also to find other suitable comparators of simil</w:t>
      </w:r>
      <w:r>
        <w:rPr>
          <w:rFonts w:ascii="Times New Roman" w:hAnsi="Times New Roman" w:cs="Times New Roman"/>
          <w:noProof/>
        </w:rPr>
        <w:t>ar measures.</w:t>
      </w:r>
    </w:p>
    <w:p w:rsidR="00B54C1A" w:rsidRDefault="00BA5FEF">
      <w:pPr>
        <w:jc w:val="both"/>
        <w:rPr>
          <w:rFonts w:ascii="Times New Roman" w:hAnsi="Times New Roman" w:cs="Times New Roman"/>
          <w:noProof/>
        </w:rPr>
      </w:pPr>
      <w:r>
        <w:rPr>
          <w:rFonts w:ascii="Times New Roman" w:hAnsi="Times New Roman" w:cs="Times New Roman"/>
          <w:noProof/>
        </w:rPr>
        <w:t xml:space="preserve">The NEETs derogation was </w:t>
      </w:r>
      <w:r>
        <w:rPr>
          <w:rFonts w:ascii="Times New Roman" w:hAnsi="Times New Roman"/>
          <w:noProof/>
        </w:rPr>
        <w:t xml:space="preserve">used in two cases (EGF/2014/001 EL/Nutriart and EGF/2014/006 IE/Andersen Ireland) for which the final reports have been received in the course of 2015 and 2016. </w:t>
      </w:r>
      <w:r>
        <w:rPr>
          <w:rFonts w:ascii="Times New Roman" w:hAnsi="Times New Roman" w:cs="Times New Roman"/>
          <w:noProof/>
        </w:rPr>
        <w:t>Evidence shows that the help offered has been picked up t</w:t>
      </w:r>
      <w:r>
        <w:rPr>
          <w:rFonts w:ascii="Times New Roman" w:hAnsi="Times New Roman" w:cs="Times New Roman"/>
          <w:noProof/>
        </w:rPr>
        <w:t>o a large degree by the young people targeted, and the assistance they would otherwise not have received. However, EGF implementers have frequently questioned whether the EGF is the right mechanism for delivering this help. This suggests it might be of mor</w:t>
      </w:r>
      <w:r>
        <w:rPr>
          <w:rFonts w:ascii="Times New Roman" w:hAnsi="Times New Roman" w:cs="Times New Roman"/>
          <w:noProof/>
        </w:rPr>
        <w:t>e benefit to the NEETs if any assistance granted was not tied to the occurrence of EGF-related redundancies in a respective region, but any kind of significant restructuring event.</w:t>
      </w:r>
    </w:p>
    <w:p w:rsidR="00B54C1A" w:rsidRDefault="00BA5FEF">
      <w:pPr>
        <w:jc w:val="both"/>
        <w:rPr>
          <w:rFonts w:ascii="Times New Roman" w:hAnsi="Times New Roman" w:cs="Times New Roman"/>
          <w:noProof/>
        </w:rPr>
      </w:pPr>
      <w:r>
        <w:rPr>
          <w:rFonts w:ascii="Times New Roman" w:hAnsi="Times New Roman" w:cs="Times New Roman"/>
          <w:noProof/>
        </w:rPr>
        <w:lastRenderedPageBreak/>
        <w:t xml:space="preserve">Member States' institutional capacity and experience to provide assistance </w:t>
      </w:r>
      <w:r>
        <w:rPr>
          <w:rFonts w:ascii="Times New Roman" w:hAnsi="Times New Roman" w:cs="Times New Roman"/>
          <w:noProof/>
        </w:rPr>
        <w:t>in restructuring events is a key to furthering the success of the EGF. However, in cases where Member States have little or no experience, they could benefit greatly from the EGF if mechanisms to deliver it are tested and put in place. Another crucial succ</w:t>
      </w:r>
      <w:r>
        <w:rPr>
          <w:rFonts w:ascii="Times New Roman" w:hAnsi="Times New Roman" w:cs="Times New Roman"/>
          <w:noProof/>
        </w:rPr>
        <w:t>ess factor is the degree to which beneficiaries or their representatives are involved from the very start in designing and implementing EGF assistance.</w:t>
      </w:r>
    </w:p>
    <w:p w:rsidR="00B54C1A" w:rsidRDefault="00B54C1A">
      <w:pPr>
        <w:jc w:val="both"/>
        <w:rPr>
          <w:rFonts w:ascii="Times New Roman" w:hAnsi="Times New Roman" w:cs="Times New Roman"/>
          <w:noProof/>
        </w:rPr>
      </w:pPr>
    </w:p>
    <w:p w:rsidR="00B54C1A" w:rsidRDefault="00BA5FEF">
      <w:pPr>
        <w:pStyle w:val="Heading2"/>
        <w:rPr>
          <w:noProof/>
        </w:rPr>
      </w:pPr>
      <w:bookmarkStart w:id="20" w:name="_Toc496267950"/>
      <w:r>
        <w:rPr>
          <w:noProof/>
        </w:rPr>
        <w:t>3.5. MFF Review – Regulation (EU) No 1309/2013</w:t>
      </w:r>
      <w:bookmarkEnd w:id="20"/>
      <w:r>
        <w:rPr>
          <w:noProof/>
        </w:rPr>
        <w:t xml:space="preserve"> </w:t>
      </w:r>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Regulation (EU) No 1309/2013 reintroduces the crisis cr</w:t>
      </w:r>
      <w:r>
        <w:rPr>
          <w:rFonts w:ascii="Times New Roman" w:hAnsi="Times New Roman" w:cs="Times New Roman"/>
          <w:noProof/>
          <w:color w:val="000000" w:themeColor="text1"/>
        </w:rPr>
        <w:t>iterion, so that an EGF application can be justified by the current or future economic and financial crisis. It also extends the scope of the EGF by making workers on temporary contracts and self-employed workers eligible for the support. To support the im</w:t>
      </w:r>
      <w:r>
        <w:rPr>
          <w:rFonts w:ascii="Times New Roman" w:hAnsi="Times New Roman" w:cs="Times New Roman"/>
          <w:noProof/>
          <w:color w:val="000000" w:themeColor="text1"/>
        </w:rPr>
        <w:t xml:space="preserve">plementation of the Youth Guarantee, </w:t>
      </w:r>
      <w:r>
        <w:rPr>
          <w:rFonts w:ascii="Times New Roman" w:hAnsi="Times New Roman" w:cs="Times New Roman"/>
          <w:noProof/>
        </w:rPr>
        <w:t>Regulation (EU) No 1309/2013</w:t>
      </w:r>
      <w:r>
        <w:rPr>
          <w:rFonts w:ascii="Times New Roman" w:hAnsi="Times New Roman" w:cs="Times New Roman"/>
          <w:noProof/>
          <w:color w:val="000000" w:themeColor="text1"/>
        </w:rPr>
        <w:t xml:space="preserve"> contains derogation, valid until the end of 2017, allowing for the inclusion of NEETs in regions eligible under the Youth Employment initiative (YEI).</w:t>
      </w:r>
    </w:p>
    <w:p w:rsidR="00B54C1A" w:rsidRDefault="00BA5FEF">
      <w:pPr>
        <w:pStyle w:val="Default"/>
        <w:jc w:val="both"/>
        <w:rPr>
          <w:rFonts w:ascii="Times New Roman" w:hAnsi="Times New Roman" w:cs="Times New Roman"/>
          <w:noProof/>
          <w:color w:val="000000" w:themeColor="text1"/>
        </w:rPr>
      </w:pPr>
      <w:r>
        <w:rPr>
          <w:rFonts w:ascii="Times New Roman" w:hAnsi="Times New Roman" w:cs="Times New Roman"/>
          <w:noProof/>
          <w:color w:val="000000" w:themeColor="text1"/>
          <w:sz w:val="22"/>
          <w:szCs w:val="22"/>
        </w:rPr>
        <w:t xml:space="preserve">Even though the EGF is not part of the </w:t>
      </w:r>
      <w:r>
        <w:rPr>
          <w:rFonts w:ascii="Times New Roman" w:hAnsi="Times New Roman" w:cs="Times New Roman"/>
          <w:noProof/>
          <w:color w:val="000000" w:themeColor="text1"/>
          <w:sz w:val="22"/>
          <w:szCs w:val="22"/>
        </w:rPr>
        <w:t>Multi-Annual Financial Framework (MFF), it is covered by the Proposal for a Regulation of the European Parliament and of the Council on the financial rules applicable to the general budget of the Union and amending Regulation (EC) No 2012/2002, Regulations</w:t>
      </w:r>
      <w:r>
        <w:rPr>
          <w:rFonts w:ascii="Times New Roman" w:hAnsi="Times New Roman" w:cs="Times New Roman"/>
          <w:noProof/>
          <w:color w:val="000000" w:themeColor="text1"/>
          <w:sz w:val="22"/>
          <w:szCs w:val="22"/>
        </w:rPr>
        <w:t xml:space="preserve"> (EU) No 1296/2013, (EU) 1301/2013, (EU) No 1303/2013, EU No 1304/2013, (EU) No 1305/2013, (EU) No 1306/2013, (EU) No 1307/2013, (EU) No 1308/2013, (EU) No 1309/2013, (EU) No 1316/2013, (EU) No 223/2014,(EU) No 283/2014, (EU) No 652/2014 of the European Pa</w:t>
      </w:r>
      <w:r>
        <w:rPr>
          <w:rFonts w:ascii="Times New Roman" w:hAnsi="Times New Roman" w:cs="Times New Roman"/>
          <w:noProof/>
          <w:color w:val="000000" w:themeColor="text1"/>
          <w:sz w:val="22"/>
          <w:szCs w:val="22"/>
        </w:rPr>
        <w:t>rliament and of the Council and Decision No 541/2014/EU of the European Parliament and of the Council</w:t>
      </w:r>
      <w:r>
        <w:rPr>
          <w:rFonts w:ascii="Times New Roman" w:hAnsi="Times New Roman" w:cs="Times New Roman"/>
          <w:noProof/>
        </w:rPr>
        <w:t xml:space="preserve"> </w:t>
      </w:r>
      <w:r>
        <w:rPr>
          <w:rStyle w:val="FootnoteReference"/>
          <w:rFonts w:ascii="Times New Roman" w:hAnsi="Times New Roman" w:cs="Times New Roman"/>
          <w:noProof/>
          <w:color w:val="000000" w:themeColor="text1"/>
        </w:rPr>
        <w:footnoteReference w:id="18"/>
      </w:r>
      <w:r>
        <w:rPr>
          <w:rFonts w:ascii="Times New Roman" w:hAnsi="Times New Roman" w:cs="Times New Roman"/>
          <w:noProof/>
          <w:color w:val="000000" w:themeColor="text1"/>
        </w:rPr>
        <w:t>.</w:t>
      </w:r>
    </w:p>
    <w:p w:rsidR="00B54C1A" w:rsidRDefault="00B54C1A">
      <w:pPr>
        <w:pStyle w:val="Default"/>
        <w:jc w:val="both"/>
        <w:rPr>
          <w:rFonts w:ascii="Times New Roman" w:hAnsi="Times New Roman" w:cs="Times New Roman"/>
          <w:noProof/>
          <w:color w:val="000000" w:themeColor="text1"/>
        </w:rPr>
      </w:pPr>
    </w:p>
    <w:p w:rsidR="00B54C1A" w:rsidRDefault="00BA5FEF">
      <w:pPr>
        <w:rPr>
          <w:noProof/>
        </w:rPr>
      </w:pPr>
      <w:r>
        <w:rPr>
          <w:rFonts w:ascii="Times New Roman" w:hAnsi="Times New Roman" w:cs="Times New Roman"/>
          <w:noProof/>
          <w:color w:val="000000" w:themeColor="text1"/>
        </w:rPr>
        <w:t>The Commission proposed the extension of the derogation for NEETs in the EGF-Regulation, as well as some changes that would facilitate the budgetary p</w:t>
      </w:r>
      <w:r>
        <w:rPr>
          <w:rFonts w:ascii="Times New Roman" w:hAnsi="Times New Roman" w:cs="Times New Roman"/>
          <w:noProof/>
          <w:color w:val="000000" w:themeColor="text1"/>
        </w:rPr>
        <w:t>rocedure regarding the mobilisation of the EGF.</w:t>
      </w:r>
    </w:p>
    <w:p w:rsidR="00B54C1A" w:rsidRDefault="00B54C1A">
      <w:pPr>
        <w:jc w:val="both"/>
        <w:rPr>
          <w:rFonts w:ascii="Times New Roman" w:hAnsi="Times New Roman" w:cs="Times New Roman"/>
          <w:noProof/>
        </w:rPr>
      </w:pPr>
    </w:p>
    <w:p w:rsidR="00B54C1A" w:rsidRDefault="00B54C1A">
      <w:pPr>
        <w:jc w:val="both"/>
        <w:rPr>
          <w:rFonts w:ascii="Times New Roman" w:hAnsi="Times New Roman" w:cs="Times New Roman"/>
          <w:noProof/>
        </w:rPr>
        <w:sectPr w:rsidR="00B54C1A">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pPr>
    </w:p>
    <w:p w:rsidR="00B54C1A" w:rsidRDefault="00BA5FEF">
      <w:pPr>
        <w:jc w:val="center"/>
        <w:rPr>
          <w:rFonts w:ascii="Times New Roman" w:hAnsi="Times New Roman" w:cs="Times New Roman"/>
          <w:b/>
          <w:noProof/>
          <w:sz w:val="32"/>
          <w:szCs w:val="32"/>
        </w:rPr>
      </w:pPr>
      <w:r>
        <w:rPr>
          <w:rFonts w:ascii="Times New Roman" w:hAnsi="Times New Roman" w:cs="Times New Roman"/>
          <w:b/>
          <w:noProof/>
          <w:sz w:val="32"/>
          <w:szCs w:val="32"/>
        </w:rPr>
        <w:lastRenderedPageBreak/>
        <w:t>Table 5: Final Reports received in 2015 and 2016</w:t>
      </w:r>
    </w:p>
    <w:p w:rsidR="00B54C1A" w:rsidRDefault="00BA5FEF">
      <w:pPr>
        <w:jc w:val="center"/>
        <w:rPr>
          <w:rFonts w:ascii="Times New Roman" w:hAnsi="Times New Roman" w:cs="Times New Roman"/>
          <w:noProof/>
        </w:rPr>
      </w:pPr>
      <w:r>
        <w:rPr>
          <w:noProof/>
          <w:bdr w:val="single" w:sz="4" w:space="0" w:color="auto"/>
          <w:lang w:eastAsia="en-GB"/>
        </w:rPr>
        <w:drawing>
          <wp:inline distT="0" distB="0" distL="0" distR="0">
            <wp:extent cx="8712200" cy="45191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48805" cy="4538152"/>
                    </a:xfrm>
                    <a:prstGeom prst="rect">
                      <a:avLst/>
                    </a:prstGeom>
                    <a:noFill/>
                    <a:ln>
                      <a:noFill/>
                    </a:ln>
                  </pic:spPr>
                </pic:pic>
              </a:graphicData>
            </a:graphic>
          </wp:inline>
        </w:drawing>
      </w:r>
    </w:p>
    <w:p w:rsidR="00B54C1A" w:rsidRDefault="00BA5FEF">
      <w:pPr>
        <w:spacing w:after="0"/>
        <w:rPr>
          <w:rFonts w:ascii="Times New Roman" w:hAnsi="Times New Roman" w:cs="Times New Roman"/>
          <w:i/>
          <w:noProof/>
          <w:sz w:val="18"/>
          <w:szCs w:val="18"/>
        </w:rPr>
      </w:pPr>
      <w:r>
        <w:rPr>
          <w:rFonts w:ascii="Times New Roman" w:hAnsi="Times New Roman" w:cs="Times New Roman"/>
          <w:i/>
          <w:noProof/>
          <w:sz w:val="18"/>
          <w:szCs w:val="18"/>
        </w:rPr>
        <w:t xml:space="preserve">(*) The labour market status of the workers provided in this table reflects the situation at the end of </w:t>
      </w:r>
      <w:r>
        <w:rPr>
          <w:rFonts w:ascii="Times New Roman" w:hAnsi="Times New Roman" w:cs="Times New Roman"/>
          <w:i/>
          <w:noProof/>
          <w:sz w:val="18"/>
          <w:szCs w:val="18"/>
        </w:rPr>
        <w:t>the implementation period; however, in some cases, the data provided shows the situation a few months later</w:t>
      </w:r>
    </w:p>
    <w:p w:rsidR="00B54C1A" w:rsidRDefault="00BA5FEF">
      <w:pPr>
        <w:spacing w:after="0"/>
        <w:rPr>
          <w:rFonts w:ascii="Times New Roman" w:hAnsi="Times New Roman" w:cs="Times New Roman"/>
          <w:i/>
          <w:noProof/>
          <w:sz w:val="18"/>
          <w:szCs w:val="18"/>
        </w:rPr>
      </w:pPr>
      <w:r>
        <w:rPr>
          <w:rFonts w:ascii="Times New Roman" w:hAnsi="Times New Roman" w:cs="Times New Roman"/>
          <w:i/>
          <w:noProof/>
          <w:sz w:val="18"/>
          <w:szCs w:val="18"/>
        </w:rPr>
        <w:t>**) 'inactive' can mean that people are not available for the labour market any longer for different personal reasons, such as start of pension.</w:t>
      </w:r>
    </w:p>
    <w:p w:rsidR="00B54C1A" w:rsidRDefault="00BA5FEF">
      <w:pPr>
        <w:jc w:val="both"/>
        <w:rPr>
          <w:rFonts w:ascii="Times New Roman" w:hAnsi="Times New Roman" w:cs="Times New Roman"/>
          <w:noProof/>
          <w:sz w:val="18"/>
          <w:szCs w:val="18"/>
        </w:rPr>
      </w:pPr>
      <w:r>
        <w:rPr>
          <w:noProof/>
          <w:bdr w:val="single" w:sz="4" w:space="0" w:color="auto"/>
          <w:lang w:eastAsia="en-GB"/>
        </w:rPr>
        <w:lastRenderedPageBreak/>
        <w:drawing>
          <wp:inline distT="0" distB="0" distL="0" distR="0">
            <wp:extent cx="9073944" cy="507783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77067" cy="5079586"/>
                    </a:xfrm>
                    <a:prstGeom prst="rect">
                      <a:avLst/>
                    </a:prstGeom>
                    <a:noFill/>
                    <a:ln>
                      <a:noFill/>
                    </a:ln>
                  </pic:spPr>
                </pic:pic>
              </a:graphicData>
            </a:graphic>
          </wp:inline>
        </w:drawing>
      </w:r>
    </w:p>
    <w:p w:rsidR="00B54C1A" w:rsidRDefault="00BA5FEF">
      <w:pPr>
        <w:spacing w:after="0" w:line="240" w:lineRule="auto"/>
        <w:jc w:val="both"/>
        <w:rPr>
          <w:rFonts w:ascii="Times New Roman" w:hAnsi="Times New Roman" w:cs="Times New Roman"/>
          <w:i/>
          <w:noProof/>
          <w:sz w:val="18"/>
          <w:szCs w:val="18"/>
        </w:rPr>
      </w:pPr>
      <w:r>
        <w:rPr>
          <w:rFonts w:ascii="Times New Roman" w:hAnsi="Times New Roman" w:cs="Times New Roman"/>
          <w:i/>
          <w:noProof/>
          <w:sz w:val="18"/>
          <w:szCs w:val="18"/>
        </w:rPr>
        <w:t>(</w:t>
      </w:r>
      <w:r>
        <w:rPr>
          <w:rFonts w:ascii="Times New Roman" w:hAnsi="Times New Roman" w:cs="Times New Roman"/>
          <w:i/>
          <w:noProof/>
          <w:sz w:val="18"/>
          <w:szCs w:val="18"/>
        </w:rPr>
        <w:t>*) The labour market status of the workers provided in this table reflects the situation at the end of the implementation period; however, in some cases, the data provided shows the situation a few months later</w:t>
      </w:r>
    </w:p>
    <w:p w:rsidR="00B54C1A" w:rsidRDefault="00BA5FEF">
      <w:pPr>
        <w:spacing w:after="0" w:line="240" w:lineRule="auto"/>
        <w:jc w:val="both"/>
        <w:rPr>
          <w:noProof/>
          <w:sz w:val="18"/>
          <w:szCs w:val="18"/>
          <w:lang w:eastAsia="en-GB"/>
        </w:rPr>
      </w:pPr>
      <w:r>
        <w:rPr>
          <w:rFonts w:ascii="Times New Roman" w:hAnsi="Times New Roman" w:cs="Times New Roman"/>
          <w:i/>
          <w:noProof/>
          <w:sz w:val="18"/>
          <w:szCs w:val="18"/>
        </w:rPr>
        <w:t xml:space="preserve">(**) 'inactive' can mean that people are not </w:t>
      </w:r>
      <w:r>
        <w:rPr>
          <w:rFonts w:ascii="Times New Roman" w:hAnsi="Times New Roman" w:cs="Times New Roman"/>
          <w:i/>
          <w:noProof/>
          <w:sz w:val="18"/>
          <w:szCs w:val="18"/>
        </w:rPr>
        <w:t>available for the labour market any longer for different personal reasons, such as start of pension.</w:t>
      </w:r>
    </w:p>
    <w:p w:rsidR="00B54C1A" w:rsidRDefault="00B54C1A">
      <w:pPr>
        <w:spacing w:after="0" w:line="240" w:lineRule="auto"/>
        <w:jc w:val="both"/>
        <w:rPr>
          <w:rFonts w:ascii="Times New Roman" w:hAnsi="Times New Roman" w:cs="Times New Roman"/>
          <w:noProof/>
          <w:sz w:val="18"/>
          <w:szCs w:val="18"/>
        </w:rPr>
        <w:sectPr w:rsidR="00B54C1A">
          <w:headerReference w:type="even" r:id="rId57"/>
          <w:headerReference w:type="default" r:id="rId58"/>
          <w:footerReference w:type="even" r:id="rId59"/>
          <w:footerReference w:type="default" r:id="rId60"/>
          <w:headerReference w:type="first" r:id="rId61"/>
          <w:footerReference w:type="first" r:id="rId62"/>
          <w:pgSz w:w="16838" w:h="11906" w:orient="landscape"/>
          <w:pgMar w:top="1417" w:right="1417" w:bottom="1417" w:left="1417" w:header="708" w:footer="708" w:gutter="0"/>
          <w:cols w:space="708"/>
          <w:docGrid w:linePitch="360"/>
        </w:sectPr>
      </w:pPr>
    </w:p>
    <w:p w:rsidR="00B54C1A" w:rsidRDefault="00BA5FEF">
      <w:pPr>
        <w:pStyle w:val="Heading2"/>
        <w:rPr>
          <w:noProof/>
        </w:rPr>
      </w:pPr>
      <w:bookmarkStart w:id="21" w:name="_Toc496267951"/>
      <w:r>
        <w:rPr>
          <w:noProof/>
        </w:rPr>
        <w:lastRenderedPageBreak/>
        <w:t>3.6. Financial execution</w:t>
      </w:r>
      <w:bookmarkEnd w:id="21"/>
    </w:p>
    <w:p w:rsidR="00B54C1A" w:rsidRDefault="00BA5FEF">
      <w:pPr>
        <w:pStyle w:val="Heading3"/>
        <w:rPr>
          <w:noProof/>
        </w:rPr>
      </w:pPr>
      <w:bookmarkStart w:id="22" w:name="_Toc496267952"/>
      <w:r>
        <w:rPr>
          <w:noProof/>
        </w:rPr>
        <w:t>3.6.1. Funds contributed by the EGF</w:t>
      </w:r>
      <w:bookmarkEnd w:id="22"/>
      <w:r>
        <w:rPr>
          <w:noProof/>
        </w:rPr>
        <w:t xml:space="preserve"> </w:t>
      </w:r>
    </w:p>
    <w:p w:rsidR="00B54C1A" w:rsidRDefault="00BA5FEF">
      <w:pPr>
        <w:jc w:val="both"/>
        <w:rPr>
          <w:rFonts w:ascii="Times New Roman" w:hAnsi="Times New Roman" w:cs="Times New Roman"/>
          <w:noProof/>
        </w:rPr>
      </w:pPr>
      <w:r>
        <w:rPr>
          <w:rFonts w:ascii="Times New Roman" w:hAnsi="Times New Roman" w:cs="Times New Roman"/>
          <w:noProof/>
          <w:color w:val="000000" w:themeColor="text1"/>
        </w:rPr>
        <w:t xml:space="preserve">In 2015 and 2016, the budgetary </w:t>
      </w:r>
      <w:r>
        <w:rPr>
          <w:rFonts w:ascii="Times New Roman" w:hAnsi="Times New Roman" w:cs="Times New Roman"/>
          <w:noProof/>
          <w:color w:val="000000" w:themeColor="text1"/>
        </w:rPr>
        <w:t>authority approved 25 contributions from the EGF totalling EUR 70 392 546</w:t>
      </w:r>
      <w:r>
        <w:rPr>
          <w:rStyle w:val="FootnoteReference"/>
          <w:rFonts w:ascii="Times New Roman" w:hAnsi="Times New Roman" w:cs="Times New Roman"/>
          <w:noProof/>
          <w:color w:val="000000" w:themeColor="text1"/>
        </w:rPr>
        <w:footnoteReference w:id="19"/>
      </w:r>
      <w:r>
        <w:rPr>
          <w:rFonts w:ascii="Times New Roman" w:hAnsi="Times New Roman" w:cs="Times New Roman"/>
          <w:noProof/>
          <w:color w:val="000000" w:themeColor="text1"/>
        </w:rPr>
        <w:t xml:space="preserve"> (see Table 2), </w:t>
      </w:r>
      <w:r>
        <w:rPr>
          <w:rFonts w:ascii="Times New Roman" w:hAnsi="Times New Roman"/>
          <w:noProof/>
        </w:rPr>
        <w:t>out of which EUR 42 754 375 were mobilized in 2015, and EUR 27 638 171 in 2016.</w:t>
      </w:r>
      <w:r>
        <w:rPr>
          <w:rFonts w:ascii="Times New Roman" w:hAnsi="Times New Roman" w:cs="Times New Roman"/>
          <w:noProof/>
        </w:rPr>
        <w:t xml:space="preserve"> </w:t>
      </w:r>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For 2014 to 2020, Article 12 of Council Regulation (EU, Euratom) No 1311/2013 of  2 D</w:t>
      </w:r>
      <w:r>
        <w:rPr>
          <w:rFonts w:ascii="Times New Roman" w:hAnsi="Times New Roman" w:cs="Times New Roman"/>
          <w:noProof/>
          <w:color w:val="000000" w:themeColor="text1"/>
        </w:rPr>
        <w:t>ecember 2013 laying down the multiannual financial framework for the year 2014-2020</w:t>
      </w:r>
      <w:r>
        <w:rPr>
          <w:rStyle w:val="FootnoteReference"/>
          <w:rFonts w:ascii="Times New Roman" w:hAnsi="Times New Roman" w:cs="Times New Roman"/>
          <w:noProof/>
          <w:color w:val="000000" w:themeColor="text1"/>
        </w:rPr>
        <w:footnoteReference w:id="20"/>
      </w:r>
      <w:r>
        <w:rPr>
          <w:rFonts w:ascii="Times New Roman" w:hAnsi="Times New Roman" w:cs="Times New Roman"/>
          <w:noProof/>
          <w:color w:val="000000" w:themeColor="text1"/>
        </w:rPr>
        <w:t xml:space="preserve"> establishes the maximum annual financial ceiling and allows the use of the EGF up to a maximum annual amount of EUR 150 million (2011 prices). This means that in 2015 comm</w:t>
      </w:r>
      <w:r>
        <w:rPr>
          <w:rFonts w:ascii="Times New Roman" w:hAnsi="Times New Roman" w:cs="Times New Roman"/>
          <w:noProof/>
          <w:color w:val="000000" w:themeColor="text1"/>
        </w:rPr>
        <w:t>itment appropriations of EUR </w:t>
      </w:r>
      <w:r>
        <w:rPr>
          <w:rFonts w:ascii="Times New Roman" w:hAnsi="Times New Roman"/>
          <w:noProof/>
          <w:color w:val="000000" w:themeColor="text1"/>
        </w:rPr>
        <w:t>162 365 </w:t>
      </w:r>
      <w:r>
        <w:rPr>
          <w:rFonts w:ascii="Times New Roman" w:hAnsi="Times New Roman" w:cs="Times New Roman"/>
          <w:noProof/>
          <w:color w:val="000000" w:themeColor="text1"/>
        </w:rPr>
        <w:t>000, and in 2016, commitment appropriations of EUR </w:t>
      </w:r>
      <w:r>
        <w:rPr>
          <w:rFonts w:ascii="Times New Roman" w:hAnsi="Times New Roman"/>
          <w:noProof/>
          <w:color w:val="000000" w:themeColor="text1"/>
        </w:rPr>
        <w:t>165 612 000</w:t>
      </w:r>
      <w:r>
        <w:rPr>
          <w:rFonts w:ascii="Times New Roman" w:hAnsi="Times New Roman" w:cs="Times New Roman"/>
          <w:noProof/>
          <w:color w:val="000000" w:themeColor="text1"/>
        </w:rPr>
        <w:t xml:space="preserve"> were made available on the EGF reserve line</w:t>
      </w:r>
      <w:r>
        <w:rPr>
          <w:rStyle w:val="FootnoteReference"/>
          <w:rFonts w:ascii="Times New Roman" w:hAnsi="Times New Roman" w:cs="Times New Roman"/>
          <w:noProof/>
          <w:color w:val="000000" w:themeColor="text1"/>
        </w:rPr>
        <w:footnoteReference w:id="21"/>
      </w:r>
      <w:r>
        <w:rPr>
          <w:rFonts w:ascii="Times New Roman" w:hAnsi="Times New Roman" w:cs="Times New Roman"/>
          <w:noProof/>
          <w:color w:val="000000" w:themeColor="text1"/>
        </w:rPr>
        <w:t>. The commitment appropriations for the contributions granted in both years were transferred from the EGF reserv</w:t>
      </w:r>
      <w:r>
        <w:rPr>
          <w:rFonts w:ascii="Times New Roman" w:hAnsi="Times New Roman" w:cs="Times New Roman"/>
          <w:noProof/>
          <w:color w:val="000000" w:themeColor="text1"/>
        </w:rPr>
        <w:t>e to the EGF budget line following the adoption of each mobilisation by the budgetary authority.</w:t>
      </w:r>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In terms of payment appropriations, a total amount of EUR 105 923 969 was credited to the EGF budget line in 2015 and 2016. In 2015, the pre-financing</w:t>
      </w:r>
      <w:r>
        <w:rPr>
          <w:rStyle w:val="FootnoteReference"/>
          <w:rFonts w:ascii="Times New Roman" w:hAnsi="Times New Roman" w:cs="Times New Roman"/>
          <w:noProof/>
          <w:color w:val="000000" w:themeColor="text1"/>
        </w:rPr>
        <w:footnoteReference w:id="22"/>
      </w:r>
      <w:r>
        <w:rPr>
          <w:rFonts w:ascii="Times New Roman" w:hAnsi="Times New Roman" w:cs="Times New Roman"/>
          <w:noProof/>
          <w:color w:val="000000" w:themeColor="text1"/>
        </w:rPr>
        <w:t xml:space="preserve"> payment</w:t>
      </w:r>
      <w:r>
        <w:rPr>
          <w:rFonts w:ascii="Times New Roman" w:hAnsi="Times New Roman" w:cs="Times New Roman"/>
          <w:noProof/>
          <w:color w:val="000000" w:themeColor="text1"/>
        </w:rPr>
        <w:t>s totalled to EUR 78 285 798</w:t>
      </w:r>
      <w:r>
        <w:rPr>
          <w:rStyle w:val="FootnoteReference"/>
          <w:rFonts w:ascii="Times New Roman" w:hAnsi="Times New Roman" w:cs="Times New Roman"/>
          <w:noProof/>
          <w:color w:val="000000" w:themeColor="text1"/>
        </w:rPr>
        <w:footnoteReference w:id="23"/>
      </w:r>
      <w:r>
        <w:rPr>
          <w:rFonts w:ascii="Times New Roman" w:hAnsi="Times New Roman" w:cs="Times New Roman"/>
          <w:noProof/>
          <w:color w:val="000000" w:themeColor="text1"/>
        </w:rPr>
        <w:t xml:space="preserve"> and in 2016 the amount of EUR 27 638 171 was paid for the adopted EGF mobilisations. Part of these came from recovered amounts following underspending reported by Member States at the closure stage. </w:t>
      </w:r>
    </w:p>
    <w:p w:rsidR="00B54C1A" w:rsidRDefault="00BA5FEF">
      <w:pPr>
        <w:pStyle w:val="Heading3"/>
        <w:rPr>
          <w:noProof/>
        </w:rPr>
      </w:pPr>
      <w:bookmarkStart w:id="23" w:name="_Toc496267953"/>
      <w:r>
        <w:rPr>
          <w:noProof/>
        </w:rPr>
        <w:t>3.6.2. Technical assistanc</w:t>
      </w:r>
      <w:r>
        <w:rPr>
          <w:noProof/>
        </w:rPr>
        <w:t>e expenditure</w:t>
      </w:r>
      <w:bookmarkEnd w:id="23"/>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Under Article 11(1) of Regulation (EU) No 1309/2013, up to 0.5 % of the financial resources available for the year (EUR 811 825 in 2015 and EUR 828 060 in 2016) can be used for technical assistance at the initiative of the Commission for acti</w:t>
      </w:r>
      <w:r>
        <w:rPr>
          <w:rFonts w:ascii="Times New Roman" w:hAnsi="Times New Roman" w:cs="Times New Roman"/>
          <w:noProof/>
          <w:color w:val="000000" w:themeColor="text1"/>
        </w:rPr>
        <w:t xml:space="preserve">vities such as preparation, monitoring, information and creation of a knowledge base, administrative and technical support, and audit, control and evaluation activities necessary to implement the EGF Regulation. </w:t>
      </w:r>
    </w:p>
    <w:p w:rsidR="00B54C1A" w:rsidRDefault="00BA5FEF">
      <w:pPr>
        <w:jc w:val="both"/>
        <w:rPr>
          <w:rFonts w:ascii="Times New Roman" w:hAnsi="Times New Roman" w:cs="Times New Roman"/>
          <w:noProof/>
          <w:color w:val="000000" w:themeColor="text1"/>
        </w:rPr>
      </w:pPr>
      <w:r>
        <w:rPr>
          <w:rFonts w:ascii="Times New Roman" w:hAnsi="Times New Roman" w:cs="Times New Roman"/>
          <w:noProof/>
          <w:color w:val="000000" w:themeColor="text1"/>
        </w:rPr>
        <w:t>The budgetary authority made available on t</w:t>
      </w:r>
      <w:r>
        <w:rPr>
          <w:rFonts w:ascii="Times New Roman" w:hAnsi="Times New Roman" w:cs="Times New Roman"/>
          <w:noProof/>
          <w:color w:val="000000" w:themeColor="text1"/>
        </w:rPr>
        <w:t xml:space="preserve">he basis of the Commission proposals for 2015 and 2016 for technical assistance, respectively EUR 630 000 and EUR 380 000. </w:t>
      </w:r>
    </w:p>
    <w:p w:rsidR="00B54C1A" w:rsidRDefault="00B54C1A">
      <w:pPr>
        <w:jc w:val="center"/>
        <w:rPr>
          <w:rFonts w:ascii="Times New Roman" w:hAnsi="Times New Roman" w:cs="Times New Roman"/>
          <w:b/>
          <w:i/>
          <w:noProof/>
          <w:sz w:val="28"/>
          <w:szCs w:val="28"/>
        </w:rPr>
      </w:pPr>
    </w:p>
    <w:p w:rsidR="00B54C1A" w:rsidRDefault="00B54C1A">
      <w:pPr>
        <w:jc w:val="center"/>
        <w:rPr>
          <w:rFonts w:ascii="Times New Roman" w:hAnsi="Times New Roman" w:cs="Times New Roman"/>
          <w:b/>
          <w:i/>
          <w:noProof/>
          <w:sz w:val="28"/>
          <w:szCs w:val="28"/>
        </w:rPr>
      </w:pPr>
    </w:p>
    <w:p w:rsidR="00B54C1A" w:rsidRDefault="00B54C1A">
      <w:pPr>
        <w:jc w:val="center"/>
        <w:rPr>
          <w:rFonts w:ascii="Times New Roman" w:hAnsi="Times New Roman" w:cs="Times New Roman"/>
          <w:b/>
          <w:i/>
          <w:noProof/>
          <w:sz w:val="28"/>
          <w:szCs w:val="28"/>
        </w:rPr>
      </w:pPr>
    </w:p>
    <w:p w:rsidR="00B54C1A" w:rsidRDefault="00B54C1A">
      <w:pPr>
        <w:jc w:val="center"/>
        <w:rPr>
          <w:rFonts w:ascii="Times New Roman" w:hAnsi="Times New Roman" w:cs="Times New Roman"/>
          <w:b/>
          <w:i/>
          <w:noProof/>
          <w:sz w:val="28"/>
          <w:szCs w:val="28"/>
        </w:rPr>
      </w:pPr>
    </w:p>
    <w:p w:rsidR="00B54C1A" w:rsidRDefault="00BA5FEF">
      <w:pPr>
        <w:jc w:val="center"/>
        <w:rPr>
          <w:rFonts w:ascii="Times New Roman" w:hAnsi="Times New Roman" w:cs="Times New Roman"/>
          <w:b/>
          <w:i/>
          <w:noProof/>
          <w:sz w:val="28"/>
          <w:szCs w:val="28"/>
        </w:rPr>
      </w:pPr>
      <w:r>
        <w:rPr>
          <w:rFonts w:ascii="Times New Roman" w:hAnsi="Times New Roman" w:cs="Times New Roman"/>
          <w:b/>
          <w:i/>
          <w:noProof/>
          <w:sz w:val="28"/>
          <w:szCs w:val="28"/>
        </w:rPr>
        <w:lastRenderedPageBreak/>
        <w:t>Table 6: Technical assistance expenditure 2015</w:t>
      </w:r>
    </w:p>
    <w:p w:rsidR="00B54C1A" w:rsidRDefault="00BA5FEF">
      <w:pPr>
        <w:jc w:val="center"/>
        <w:rPr>
          <w:rFonts w:ascii="Times New Roman" w:hAnsi="Times New Roman" w:cs="Times New Roman"/>
          <w:b/>
          <w:i/>
          <w:noProof/>
        </w:rPr>
      </w:pPr>
      <w:r>
        <w:rPr>
          <w:noProof/>
          <w:lang w:eastAsia="en-GB"/>
        </w:rPr>
        <w:drawing>
          <wp:inline distT="0" distB="0" distL="0" distR="0">
            <wp:extent cx="5760720" cy="29574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957493"/>
                    </a:xfrm>
                    <a:prstGeom prst="rect">
                      <a:avLst/>
                    </a:prstGeom>
                    <a:noFill/>
                    <a:ln>
                      <a:noFill/>
                    </a:ln>
                  </pic:spPr>
                </pic:pic>
              </a:graphicData>
            </a:graphic>
          </wp:inline>
        </w:drawing>
      </w:r>
    </w:p>
    <w:p w:rsidR="00B54C1A" w:rsidRDefault="00B54C1A">
      <w:pPr>
        <w:jc w:val="center"/>
        <w:rPr>
          <w:rFonts w:ascii="Times New Roman" w:hAnsi="Times New Roman" w:cs="Times New Roman"/>
          <w:b/>
          <w:i/>
          <w:noProof/>
          <w:sz w:val="28"/>
          <w:szCs w:val="28"/>
        </w:rPr>
      </w:pPr>
    </w:p>
    <w:p w:rsidR="00B54C1A" w:rsidRDefault="00BA5FEF">
      <w:pPr>
        <w:jc w:val="center"/>
        <w:rPr>
          <w:rFonts w:ascii="Times New Roman" w:hAnsi="Times New Roman" w:cs="Times New Roman"/>
          <w:b/>
          <w:i/>
          <w:noProof/>
          <w:sz w:val="28"/>
          <w:szCs w:val="28"/>
        </w:rPr>
      </w:pPr>
      <w:r>
        <w:rPr>
          <w:rFonts w:ascii="Times New Roman" w:hAnsi="Times New Roman" w:cs="Times New Roman"/>
          <w:b/>
          <w:i/>
          <w:noProof/>
          <w:sz w:val="28"/>
          <w:szCs w:val="28"/>
        </w:rPr>
        <w:t>Table 6.1: Technical assistance expenditure 2016</w:t>
      </w:r>
    </w:p>
    <w:p w:rsidR="00B54C1A" w:rsidRDefault="00BA5FEF">
      <w:pPr>
        <w:jc w:val="center"/>
        <w:rPr>
          <w:rFonts w:ascii="Times New Roman" w:eastAsiaTheme="majorEastAsia" w:hAnsi="Times New Roman" w:cs="Times New Roman"/>
          <w:bCs/>
          <w:i/>
          <w:noProof/>
          <w:color w:val="000000" w:themeColor="text1"/>
          <w:sz w:val="24"/>
        </w:rPr>
      </w:pPr>
      <w:r>
        <w:rPr>
          <w:noProof/>
          <w:lang w:eastAsia="en-GB"/>
        </w:rPr>
        <w:drawing>
          <wp:inline distT="0" distB="0" distL="0" distR="0">
            <wp:extent cx="5760720" cy="39095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3909532"/>
                    </a:xfrm>
                    <a:prstGeom prst="rect">
                      <a:avLst/>
                    </a:prstGeom>
                    <a:noFill/>
                    <a:ln>
                      <a:noFill/>
                    </a:ln>
                  </pic:spPr>
                </pic:pic>
              </a:graphicData>
            </a:graphic>
          </wp:inline>
        </w:drawing>
      </w:r>
    </w:p>
    <w:p w:rsidR="00B54C1A" w:rsidRDefault="00BA5FEF">
      <w:pPr>
        <w:pStyle w:val="Heading3"/>
        <w:rPr>
          <w:noProof/>
        </w:rPr>
      </w:pPr>
      <w:bookmarkStart w:id="24" w:name="_Toc496267954"/>
      <w:r>
        <w:rPr>
          <w:noProof/>
        </w:rPr>
        <w:lastRenderedPageBreak/>
        <w:t xml:space="preserve">3.6.3. Irregularities </w:t>
      </w:r>
      <w:r>
        <w:rPr>
          <w:noProof/>
        </w:rPr>
        <w:t>reported</w:t>
      </w:r>
      <w:bookmarkEnd w:id="24"/>
    </w:p>
    <w:p w:rsidR="00B54C1A" w:rsidRDefault="00BA5FEF">
      <w:pPr>
        <w:jc w:val="both"/>
        <w:rPr>
          <w:rFonts w:ascii="Times New Roman" w:hAnsi="Times New Roman"/>
          <w:noProof/>
        </w:rPr>
      </w:pPr>
      <w:r>
        <w:rPr>
          <w:rFonts w:ascii="Times New Roman" w:hAnsi="Times New Roman"/>
          <w:noProof/>
        </w:rPr>
        <w:t xml:space="preserve">There were no irregularities reported to the Commission under either Regulation (EC) No 1927/2006 or Regulation </w:t>
      </w:r>
      <w:r>
        <w:rPr>
          <w:rFonts w:ascii="Times New Roman" w:hAnsi="Times New Roman" w:cs="Times New Roman"/>
          <w:noProof/>
        </w:rPr>
        <w:t xml:space="preserve">(EU) No 1309/2013 </w:t>
      </w:r>
      <w:r>
        <w:rPr>
          <w:rFonts w:ascii="Times New Roman" w:hAnsi="Times New Roman"/>
          <w:noProof/>
        </w:rPr>
        <w:t>in 2015 and 2016.</w:t>
      </w:r>
    </w:p>
    <w:p w:rsidR="00B54C1A" w:rsidRDefault="00BA5FEF">
      <w:pPr>
        <w:pStyle w:val="Heading3"/>
        <w:rPr>
          <w:noProof/>
        </w:rPr>
      </w:pPr>
      <w:bookmarkStart w:id="25" w:name="_Toc496267955"/>
      <w:r>
        <w:rPr>
          <w:noProof/>
        </w:rPr>
        <w:t>3.6.4. Winding-up of financial contributions from the EGF</w:t>
      </w:r>
      <w:bookmarkEnd w:id="25"/>
    </w:p>
    <w:p w:rsidR="00B54C1A" w:rsidRDefault="00BA5FEF">
      <w:pPr>
        <w:jc w:val="both"/>
        <w:rPr>
          <w:rFonts w:ascii="Times New Roman" w:hAnsi="Times New Roman"/>
          <w:noProof/>
          <w:color w:val="000000" w:themeColor="text1"/>
        </w:rPr>
      </w:pPr>
      <w:r>
        <w:rPr>
          <w:rFonts w:ascii="Times New Roman" w:hAnsi="Times New Roman"/>
          <w:noProof/>
        </w:rPr>
        <w:t>The procedures for winding up EGF financi</w:t>
      </w:r>
      <w:r>
        <w:rPr>
          <w:rFonts w:ascii="Times New Roman" w:hAnsi="Times New Roman"/>
          <w:noProof/>
        </w:rPr>
        <w:t xml:space="preserve">al contributions are laid down in Article </w:t>
      </w:r>
      <w:r>
        <w:rPr>
          <w:rFonts w:ascii="Times New Roman" w:hAnsi="Times New Roman"/>
          <w:noProof/>
          <w:color w:val="000000" w:themeColor="text1"/>
        </w:rPr>
        <w:t>18 of Regulation (EU) No 1309/2013. 34 cases, implemented between 2009 and 2015</w:t>
      </w:r>
      <w:r>
        <w:rPr>
          <w:i/>
          <w:noProof/>
        </w:rPr>
        <w:t>,</w:t>
      </w:r>
      <w:r>
        <w:rPr>
          <w:rFonts w:ascii="Times New Roman" w:hAnsi="Times New Roman"/>
          <w:noProof/>
          <w:color w:val="000000" w:themeColor="text1"/>
        </w:rPr>
        <w:t xml:space="preserve"> were wound up in 2015 and 2016. Details of the cases are set out in Table 3 of the Annex. </w:t>
      </w:r>
    </w:p>
    <w:p w:rsidR="00B54C1A" w:rsidRDefault="00BA5FEF">
      <w:pPr>
        <w:jc w:val="both"/>
        <w:rPr>
          <w:rFonts w:ascii="Times New Roman" w:hAnsi="Times New Roman"/>
          <w:noProof/>
          <w:color w:val="000000" w:themeColor="text1"/>
        </w:rPr>
      </w:pPr>
      <w:r>
        <w:rPr>
          <w:rFonts w:ascii="Times New Roman" w:hAnsi="Times New Roman"/>
          <w:noProof/>
          <w:color w:val="000000" w:themeColor="text1"/>
        </w:rPr>
        <w:t>An EGF case is wound up when the final rep</w:t>
      </w:r>
      <w:r>
        <w:rPr>
          <w:rFonts w:ascii="Times New Roman" w:hAnsi="Times New Roman"/>
          <w:noProof/>
          <w:color w:val="000000" w:themeColor="text1"/>
        </w:rPr>
        <w:t>ort with all required information has been sent to the Commission, all outstanding reimbursements have been paid and no further action needs to be taken by the Member State or the Commission, apart from the obligation to keep available for the Commission a</w:t>
      </w:r>
      <w:r>
        <w:rPr>
          <w:rFonts w:ascii="Times New Roman" w:hAnsi="Times New Roman"/>
          <w:noProof/>
          <w:color w:val="000000" w:themeColor="text1"/>
        </w:rPr>
        <w:t xml:space="preserve">nd the Court of Auditors all supporting documents for three years (Article 21(5) of Regulation (EU) No 1309/2013). </w:t>
      </w:r>
    </w:p>
    <w:p w:rsidR="00B54C1A" w:rsidRDefault="00BA5FEF">
      <w:pPr>
        <w:jc w:val="both"/>
        <w:rPr>
          <w:rFonts w:ascii="Times New Roman" w:hAnsi="Times New Roman"/>
          <w:noProof/>
          <w:color w:val="000000" w:themeColor="text1"/>
        </w:rPr>
      </w:pPr>
      <w:r>
        <w:rPr>
          <w:rFonts w:ascii="Times New Roman" w:hAnsi="Times New Roman"/>
          <w:noProof/>
          <w:color w:val="000000" w:themeColor="text1"/>
        </w:rPr>
        <w:t>The average budget implementation rate of the cases wound up was 57,6 %, with variations from 9 % to 100 % of budget absorption. The total a</w:t>
      </w:r>
      <w:r>
        <w:rPr>
          <w:rFonts w:ascii="Times New Roman" w:hAnsi="Times New Roman"/>
          <w:noProof/>
          <w:color w:val="000000" w:themeColor="text1"/>
        </w:rPr>
        <w:t xml:space="preserve">mount of unspent funds reimbursed to the Commission for these 34 cases was EUR 60 573 926 (42,4 % of the EGF contributions granted for these 34 cases). The Commission continues to offer guidance to Member States to improve their implementation rate. </w:t>
      </w:r>
    </w:p>
    <w:p w:rsidR="00B54C1A" w:rsidRDefault="00BA5FEF">
      <w:pPr>
        <w:jc w:val="both"/>
        <w:rPr>
          <w:rFonts w:ascii="Times New Roman" w:hAnsi="Times New Roman"/>
          <w:noProof/>
        </w:rPr>
      </w:pPr>
      <w:r>
        <w:rPr>
          <w:rFonts w:ascii="Times New Roman" w:hAnsi="Times New Roman"/>
          <w:noProof/>
        </w:rPr>
        <w:t>There</w:t>
      </w:r>
      <w:r>
        <w:rPr>
          <w:rFonts w:ascii="Times New Roman" w:hAnsi="Times New Roman"/>
          <w:noProof/>
        </w:rPr>
        <w:t xml:space="preserve"> are various reasons why Member States did not use the full amounts granted. While Member States are repeatedly encouraged to make realistic budget estimates for the coordinating package of personalised services, there can be a lack of accurate and informe</w:t>
      </w:r>
      <w:r>
        <w:rPr>
          <w:rFonts w:ascii="Times New Roman" w:hAnsi="Times New Roman"/>
          <w:noProof/>
        </w:rPr>
        <w:t>d planning. A too-high safety margin has been included in the initial calculations, which turned out to be unnecessary. The number of workers wishing to participate in the proposed measures has been overestimated in the planning phase. Some workers have op</w:t>
      </w:r>
      <w:r>
        <w:rPr>
          <w:rFonts w:ascii="Times New Roman" w:hAnsi="Times New Roman"/>
          <w:noProof/>
        </w:rPr>
        <w:t>ted for cheaper measures rather than more expensive ones or for short-term measures rather than long-term ones, or they have found new jobs sooner than initially estimated. Other reasons for low spending have been delays in starting up the measures and fai</w:t>
      </w:r>
      <w:r>
        <w:rPr>
          <w:rFonts w:ascii="Times New Roman" w:hAnsi="Times New Roman"/>
          <w:noProof/>
        </w:rPr>
        <w:t xml:space="preserve">lure to fully use the available flexibility to reallocate funds between budget items while implementing the package of personalised services. </w:t>
      </w:r>
    </w:p>
    <w:p w:rsidR="00B54C1A" w:rsidRDefault="00BA5FEF">
      <w:pPr>
        <w:jc w:val="both"/>
        <w:rPr>
          <w:rFonts w:ascii="Times New Roman" w:hAnsi="Times New Roman"/>
          <w:noProof/>
        </w:rPr>
      </w:pPr>
      <w:r>
        <w:rPr>
          <w:rFonts w:ascii="Times New Roman" w:hAnsi="Times New Roman"/>
          <w:noProof/>
        </w:rPr>
        <w:t>The budgeting of the measures and the forecasting of worker participation over the 24-month period are expected t</w:t>
      </w:r>
      <w:r>
        <w:rPr>
          <w:rFonts w:ascii="Times New Roman" w:hAnsi="Times New Roman"/>
          <w:noProof/>
        </w:rPr>
        <w:t>o improve with experience. The Commission is also seeing improvements in the timing of the arrival of the EGF funding in the affected area, the capacities of the various coordination and implementation structures and the quality of communication between th</w:t>
      </w:r>
      <w:r>
        <w:rPr>
          <w:rFonts w:ascii="Times New Roman" w:hAnsi="Times New Roman"/>
          <w:noProof/>
        </w:rPr>
        <w:t xml:space="preserve">e national and the regional/local levels. Member States are making better use of the possibility to review their budgets and reallocate expenditure between the various measures and/or implementing expenditure. The Commission now also invites Member States </w:t>
      </w:r>
      <w:r>
        <w:rPr>
          <w:rFonts w:ascii="Times New Roman" w:hAnsi="Times New Roman"/>
          <w:noProof/>
        </w:rPr>
        <w:t xml:space="preserve">to review the budget during the application phase. Finally, the EU institutions are trying hard to speed up the procedures for decision-making and the payment for EGF funds, so that the time and funds provided can be used optimally. </w:t>
      </w:r>
      <w:r>
        <w:rPr>
          <w:rFonts w:ascii="Times New Roman" w:hAnsi="Times New Roman" w:cs="Times New Roman"/>
          <w:noProof/>
        </w:rPr>
        <w:t>Regulation (EU) No 1309</w:t>
      </w:r>
      <w:r>
        <w:rPr>
          <w:rFonts w:ascii="Times New Roman" w:hAnsi="Times New Roman" w:cs="Times New Roman"/>
          <w:noProof/>
        </w:rPr>
        <w:t xml:space="preserve">/2013 </w:t>
      </w:r>
      <w:r>
        <w:rPr>
          <w:rFonts w:ascii="Times New Roman" w:hAnsi="Times New Roman"/>
          <w:noProof/>
        </w:rPr>
        <w:t>sets strict deadlines for the assessment of EGF applications and the budgetary procedure, so that funds become available sooner. Within the limit of the financial contribution, Member States can also re-budget and if the Commission agrees introduce n</w:t>
      </w:r>
      <w:r>
        <w:rPr>
          <w:rFonts w:ascii="Times New Roman" w:hAnsi="Times New Roman"/>
          <w:noProof/>
        </w:rPr>
        <w:t xml:space="preserve">ew eligible measures during the course of implementation. </w:t>
      </w:r>
    </w:p>
    <w:p w:rsidR="00B54C1A" w:rsidRDefault="00B54C1A">
      <w:pPr>
        <w:rPr>
          <w:rFonts w:ascii="Times New Roman" w:hAnsi="Times New Roman"/>
          <w:noProof/>
        </w:rPr>
      </w:pPr>
    </w:p>
    <w:p w:rsidR="00B54C1A" w:rsidRDefault="00BA5FEF">
      <w:pPr>
        <w:pStyle w:val="Heading2"/>
        <w:rPr>
          <w:noProof/>
        </w:rPr>
      </w:pPr>
      <w:bookmarkStart w:id="26" w:name="_Toc496267956"/>
      <w:r>
        <w:rPr>
          <w:noProof/>
        </w:rPr>
        <w:lastRenderedPageBreak/>
        <w:t>3.7. Technical assistance activities undertaken by the Commission</w:t>
      </w:r>
      <w:bookmarkEnd w:id="26"/>
    </w:p>
    <w:p w:rsidR="00B54C1A" w:rsidRDefault="00BA5FEF">
      <w:pPr>
        <w:pStyle w:val="Heading3"/>
        <w:rPr>
          <w:noProof/>
        </w:rPr>
      </w:pPr>
      <w:bookmarkStart w:id="27" w:name="_Toc496267957"/>
      <w:r>
        <w:rPr>
          <w:noProof/>
        </w:rPr>
        <w:t>3.7.1. Information and publicity: Internet site</w:t>
      </w:r>
      <w:bookmarkEnd w:id="27"/>
    </w:p>
    <w:p w:rsidR="00B54C1A" w:rsidRDefault="00BA5FEF">
      <w:pPr>
        <w:jc w:val="both"/>
        <w:rPr>
          <w:rFonts w:ascii="Times New Roman" w:hAnsi="Times New Roman"/>
          <w:noProof/>
        </w:rPr>
      </w:pPr>
      <w:r>
        <w:rPr>
          <w:rFonts w:ascii="Times New Roman" w:hAnsi="Times New Roman"/>
          <w:noProof/>
        </w:rPr>
        <w:t>Under Article 12(2) of Regulation (EU) No 1309/2013, the Commission is required to set up and maintain an internet site, available in all Community languages, to provide information on the EGF, guidance on the submission of applications, as well as updated</w:t>
      </w:r>
      <w:r>
        <w:rPr>
          <w:rFonts w:ascii="Times New Roman" w:hAnsi="Times New Roman"/>
          <w:noProof/>
        </w:rPr>
        <w:t xml:space="preserve"> information on accepted and rejected applications, and highlighting the role of the budgetary authority. </w:t>
      </w:r>
    </w:p>
    <w:p w:rsidR="00B54C1A" w:rsidRDefault="00BA5FEF">
      <w:pPr>
        <w:jc w:val="both"/>
        <w:rPr>
          <w:rFonts w:ascii="Times New Roman" w:hAnsi="Times New Roman"/>
          <w:noProof/>
        </w:rPr>
      </w:pPr>
      <w:r>
        <w:rPr>
          <w:rFonts w:ascii="Times New Roman" w:hAnsi="Times New Roman"/>
          <w:noProof/>
        </w:rPr>
        <w:t>The Commission's EGF internet site</w:t>
      </w:r>
      <w:r>
        <w:rPr>
          <w:rFonts w:ascii="Times New Roman" w:hAnsi="Times New Roman"/>
          <w:noProof/>
          <w:vertAlign w:val="superscript"/>
        </w:rPr>
        <w:footnoteReference w:id="24"/>
      </w:r>
      <w:r>
        <w:rPr>
          <w:rFonts w:ascii="Times New Roman" w:hAnsi="Times New Roman"/>
          <w:noProof/>
        </w:rPr>
        <w:t xml:space="preserve"> was regularly updated with relevant information in 2015 and 2016. </w:t>
      </w:r>
    </w:p>
    <w:p w:rsidR="00B54C1A" w:rsidRDefault="00BA5FEF">
      <w:pPr>
        <w:pStyle w:val="Heading3"/>
        <w:rPr>
          <w:noProof/>
        </w:rPr>
      </w:pPr>
      <w:bookmarkStart w:id="28" w:name="_Toc496267958"/>
      <w:r>
        <w:rPr>
          <w:noProof/>
        </w:rPr>
        <w:t xml:space="preserve">3.7.2. Meetings with the national authorities </w:t>
      </w:r>
      <w:r>
        <w:rPr>
          <w:noProof/>
        </w:rPr>
        <w:t>and EGF stakeholders</w:t>
      </w:r>
      <w:bookmarkEnd w:id="28"/>
    </w:p>
    <w:p w:rsidR="00B54C1A" w:rsidRDefault="00BA5FEF">
      <w:pPr>
        <w:jc w:val="both"/>
        <w:rPr>
          <w:rFonts w:ascii="Times New Roman" w:hAnsi="Times New Roman"/>
          <w:noProof/>
        </w:rPr>
      </w:pPr>
      <w:r>
        <w:rPr>
          <w:rFonts w:ascii="Times New Roman" w:hAnsi="Times New Roman"/>
          <w:noProof/>
        </w:rPr>
        <w:t>The 15</w:t>
      </w:r>
      <w:r>
        <w:rPr>
          <w:rFonts w:ascii="Times New Roman" w:hAnsi="Times New Roman"/>
          <w:noProof/>
          <w:vertAlign w:val="superscript"/>
        </w:rPr>
        <w:t>th</w:t>
      </w:r>
      <w:r>
        <w:rPr>
          <w:rFonts w:ascii="Times New Roman" w:hAnsi="Times New Roman"/>
          <w:noProof/>
        </w:rPr>
        <w:t>, 16</w:t>
      </w:r>
      <w:r>
        <w:rPr>
          <w:rFonts w:ascii="Times New Roman" w:hAnsi="Times New Roman"/>
          <w:noProof/>
          <w:vertAlign w:val="superscript"/>
        </w:rPr>
        <w:t>th</w:t>
      </w:r>
      <w:r>
        <w:rPr>
          <w:rFonts w:ascii="Times New Roman" w:hAnsi="Times New Roman"/>
          <w:noProof/>
        </w:rPr>
        <w:t>, 17</w:t>
      </w:r>
      <w:r>
        <w:rPr>
          <w:rFonts w:ascii="Times New Roman" w:hAnsi="Times New Roman"/>
          <w:noProof/>
          <w:vertAlign w:val="superscript"/>
        </w:rPr>
        <w:t>th</w:t>
      </w:r>
      <w:r>
        <w:rPr>
          <w:rFonts w:ascii="Times New Roman" w:hAnsi="Times New Roman"/>
          <w:noProof/>
        </w:rPr>
        <w:t xml:space="preserve"> and 18</w:t>
      </w:r>
      <w:r>
        <w:rPr>
          <w:rFonts w:ascii="Times New Roman" w:hAnsi="Times New Roman"/>
          <w:noProof/>
          <w:vertAlign w:val="superscript"/>
        </w:rPr>
        <w:t>th</w:t>
      </w:r>
      <w:r>
        <w:rPr>
          <w:rFonts w:ascii="Times New Roman" w:hAnsi="Times New Roman"/>
          <w:noProof/>
        </w:rPr>
        <w:t xml:space="preserve"> meetings of the Expert group of contact persons of the European Globalisation Adjustment Fund, who are the Member States' correspondents for the EGF, were held in March and October 2015 and March and Octob</w:t>
      </w:r>
      <w:r>
        <w:rPr>
          <w:rFonts w:ascii="Times New Roman" w:hAnsi="Times New Roman"/>
          <w:noProof/>
        </w:rPr>
        <w:t xml:space="preserve">er 2016. Part of each meeting was devoted to the ongoing and planned EGF applications, the Share Fund Management Common System (SFC2014), the EGF mid-term evaluation 2014 - 2020, legal and auditing matters and a range of other agenda items. </w:t>
      </w:r>
    </w:p>
    <w:p w:rsidR="00B54C1A" w:rsidRDefault="00BA5FEF">
      <w:pPr>
        <w:jc w:val="both"/>
        <w:rPr>
          <w:rFonts w:ascii="Times New Roman" w:hAnsi="Times New Roman"/>
          <w:noProof/>
        </w:rPr>
      </w:pPr>
      <w:r>
        <w:rPr>
          <w:rFonts w:ascii="Times New Roman" w:hAnsi="Times New Roman"/>
          <w:noProof/>
        </w:rPr>
        <w:t>Three networki</w:t>
      </w:r>
      <w:r>
        <w:rPr>
          <w:rFonts w:ascii="Times New Roman" w:hAnsi="Times New Roman"/>
          <w:noProof/>
        </w:rPr>
        <w:t>ng seminars were organised in 2015 and in 2016. The topics of the seminars were the use of EGF technical assistance, the process of the EGF mid-term evaluation 2014 - 2020 and the role of the national authorities in that process and the motivation strategi</w:t>
      </w:r>
      <w:r>
        <w:rPr>
          <w:rFonts w:ascii="Times New Roman" w:hAnsi="Times New Roman"/>
          <w:noProof/>
        </w:rPr>
        <w:t>es for redundant workers. Furthermore the seminars were complemented by project visits which gave the opportunity to peer-type exchange of experience and to meet the beneficiaries. All three seminars were well attended by Member State representatives, stak</w:t>
      </w:r>
      <w:r>
        <w:rPr>
          <w:rFonts w:ascii="Times New Roman" w:hAnsi="Times New Roman"/>
          <w:noProof/>
        </w:rPr>
        <w:t xml:space="preserve">eholders and EGF implementing bodies. </w:t>
      </w:r>
    </w:p>
    <w:p w:rsidR="00B54C1A" w:rsidRDefault="00BA5FEF">
      <w:pPr>
        <w:pStyle w:val="Heading3"/>
        <w:rPr>
          <w:noProof/>
        </w:rPr>
      </w:pPr>
      <w:bookmarkStart w:id="29" w:name="_Toc496267959"/>
      <w:r>
        <w:rPr>
          <w:noProof/>
        </w:rPr>
        <w:t>3.7.3. Creation of a knowledge base</w:t>
      </w:r>
      <w:bookmarkEnd w:id="29"/>
      <w:r>
        <w:rPr>
          <w:noProof/>
        </w:rPr>
        <w:t xml:space="preserve"> </w:t>
      </w:r>
    </w:p>
    <w:p w:rsidR="00B54C1A" w:rsidRDefault="00BA5FEF">
      <w:pPr>
        <w:jc w:val="both"/>
        <w:rPr>
          <w:rFonts w:ascii="Times New Roman" w:hAnsi="Times New Roman"/>
          <w:noProof/>
        </w:rPr>
      </w:pPr>
      <w:r>
        <w:rPr>
          <w:rFonts w:ascii="Times New Roman" w:hAnsi="Times New Roman"/>
          <w:noProof/>
        </w:rPr>
        <w:t>In 2014, the Commission sought to simplify procedures further by including the EGF in the Commission and Member States' IT communication system, the Share Fund Management Common Sy</w:t>
      </w:r>
      <w:r>
        <w:rPr>
          <w:rFonts w:ascii="Times New Roman" w:hAnsi="Times New Roman"/>
          <w:noProof/>
        </w:rPr>
        <w:t>stem (SFC2014). Since April 2015, Member States use this system to submit applications online through a guided application process. This should result in more correct and complete applications being submitted as the platform provides the opportunity for th</w:t>
      </w:r>
      <w:r>
        <w:rPr>
          <w:rFonts w:ascii="Times New Roman" w:hAnsi="Times New Roman"/>
          <w:noProof/>
        </w:rPr>
        <w:t>e Member States to share with the Commission data even before the official submission of an application. It makes the collection and processing of data easier and the reporting on EGF results faster. The improved procedure has contributed to reducing the t</w:t>
      </w:r>
      <w:r>
        <w:rPr>
          <w:rFonts w:ascii="Times New Roman" w:hAnsi="Times New Roman"/>
          <w:noProof/>
        </w:rPr>
        <w:t xml:space="preserve">ime it takes from the moment an application is submitted by a Member State until the proposal submitted by the Commission to the European Parliament and the Council is adopted. </w:t>
      </w:r>
    </w:p>
    <w:p w:rsidR="00B54C1A" w:rsidRDefault="00BA5FEF">
      <w:pPr>
        <w:jc w:val="both"/>
        <w:rPr>
          <w:rFonts w:ascii="Times New Roman" w:hAnsi="Times New Roman"/>
          <w:noProof/>
        </w:rPr>
      </w:pPr>
      <w:r>
        <w:rPr>
          <w:rFonts w:ascii="Times New Roman" w:hAnsi="Times New Roman"/>
          <w:noProof/>
        </w:rPr>
        <w:t>Since August 2016, also an EGF Final Report module became operational in SFC20</w:t>
      </w:r>
      <w:r>
        <w:rPr>
          <w:rFonts w:ascii="Times New Roman" w:hAnsi="Times New Roman"/>
          <w:noProof/>
        </w:rPr>
        <w:t>14 and Member States have already started submitting the final reports for the programming period 2014 - 2020 through SFC2014. Further options in SFC2014 include the development of a reporting module (Infoview), the option for withdrawing an application an</w:t>
      </w:r>
      <w:r>
        <w:rPr>
          <w:rFonts w:ascii="Times New Roman" w:hAnsi="Times New Roman"/>
          <w:noProof/>
        </w:rPr>
        <w:t xml:space="preserve">d the possibility for the Commission to </w:t>
      </w:r>
      <w:r>
        <w:rPr>
          <w:rFonts w:ascii="Times New Roman" w:hAnsi="Times New Roman"/>
          <w:noProof/>
        </w:rPr>
        <w:lastRenderedPageBreak/>
        <w:t>generate a draft Proposal for a Decision of the European Parliament and of the Council and Commission Implementing Decision   (as regards the data in it) directly from SFC2014.</w:t>
      </w:r>
    </w:p>
    <w:p w:rsidR="00B54C1A" w:rsidRDefault="00BA5FEF">
      <w:pPr>
        <w:pStyle w:val="Heading3"/>
        <w:rPr>
          <w:strike/>
          <w:noProof/>
        </w:rPr>
      </w:pPr>
      <w:bookmarkStart w:id="30" w:name="_Toc496267960"/>
      <w:r>
        <w:rPr>
          <w:noProof/>
        </w:rPr>
        <w:t>3.7.4. EGF mid-term evaluation 2014 - 2</w:t>
      </w:r>
      <w:r>
        <w:rPr>
          <w:noProof/>
        </w:rPr>
        <w:t>020.</w:t>
      </w:r>
      <w:bookmarkEnd w:id="30"/>
      <w:r>
        <w:rPr>
          <w:noProof/>
        </w:rPr>
        <w:t xml:space="preserve"> </w:t>
      </w:r>
    </w:p>
    <w:p w:rsidR="00B54C1A" w:rsidRDefault="00BA5FEF">
      <w:pPr>
        <w:jc w:val="both"/>
        <w:rPr>
          <w:rFonts w:ascii="Times New Roman" w:hAnsi="Times New Roman"/>
          <w:noProof/>
        </w:rPr>
      </w:pPr>
      <w:r>
        <w:rPr>
          <w:rFonts w:ascii="Times New Roman" w:hAnsi="Times New Roman"/>
          <w:noProof/>
        </w:rPr>
        <w:t xml:space="preserve">In accordance with Article 20 of </w:t>
      </w:r>
      <w:r>
        <w:rPr>
          <w:rFonts w:ascii="Times New Roman" w:hAnsi="Times New Roman" w:cs="Times New Roman"/>
          <w:noProof/>
        </w:rPr>
        <w:t>Regulation (EU) No 1309/2013</w:t>
      </w:r>
      <w:r>
        <w:rPr>
          <w:rFonts w:ascii="Times New Roman" w:hAnsi="Times New Roman"/>
          <w:noProof/>
        </w:rPr>
        <w:t>, by 30 June 2017, the Commission is to carry out on its own initiative a mid-term evaluation of the EGF. In 2015 the Commission selected an external service provider in a call for tender p</w:t>
      </w:r>
      <w:r>
        <w:rPr>
          <w:rFonts w:ascii="Times New Roman" w:hAnsi="Times New Roman"/>
          <w:noProof/>
        </w:rPr>
        <w:t>rocedure in the context of a framework contract. The contractor was tasked with conducting an evaluation study in the course of the year 2016 and providing a report offering answers to the evaluation questions in the form of findings, conclusions and recom</w:t>
      </w:r>
      <w:r>
        <w:rPr>
          <w:rFonts w:ascii="Times New Roman" w:hAnsi="Times New Roman"/>
          <w:noProof/>
        </w:rPr>
        <w:t xml:space="preserve">mendations. The report was also to be accompanied by annexes providing information on the individual cases (case reports). </w:t>
      </w:r>
    </w:p>
    <w:p w:rsidR="00B54C1A" w:rsidRDefault="00BA5FEF">
      <w:pPr>
        <w:jc w:val="both"/>
        <w:rPr>
          <w:rFonts w:ascii="Times New Roman" w:hAnsi="Times New Roman"/>
          <w:noProof/>
        </w:rPr>
      </w:pPr>
      <w:r>
        <w:rPr>
          <w:rFonts w:ascii="Times New Roman" w:hAnsi="Times New Roman"/>
          <w:noProof/>
        </w:rPr>
        <w:t>The report draws on a mixture of qualitative and quantitative information and relies on a variety of sources of information to reach</w:t>
      </w:r>
      <w:r>
        <w:rPr>
          <w:rFonts w:ascii="Times New Roman" w:hAnsi="Times New Roman"/>
          <w:noProof/>
        </w:rPr>
        <w:t xml:space="preserve"> conclusions.</w:t>
      </w:r>
    </w:p>
    <w:p w:rsidR="00B54C1A" w:rsidRDefault="00BA5FEF">
      <w:pPr>
        <w:jc w:val="both"/>
        <w:rPr>
          <w:rFonts w:ascii="Times New Roman" w:hAnsi="Times New Roman"/>
          <w:noProof/>
        </w:rPr>
      </w:pPr>
      <w:r>
        <w:rPr>
          <w:rFonts w:ascii="Times New Roman" w:hAnsi="Times New Roman"/>
          <w:noProof/>
        </w:rPr>
        <w:t>The final version of this report has been accepted by the Commission in December 2016.</w:t>
      </w:r>
    </w:p>
    <w:p w:rsidR="00B54C1A" w:rsidRDefault="00BA5FEF">
      <w:pPr>
        <w:jc w:val="both"/>
        <w:rPr>
          <w:rFonts w:ascii="Times New Roman" w:hAnsi="Times New Roman"/>
          <w:noProof/>
        </w:rPr>
      </w:pPr>
      <w:r>
        <w:rPr>
          <w:rFonts w:ascii="Times New Roman" w:hAnsi="Times New Roman"/>
          <w:noProof/>
        </w:rPr>
        <w:t xml:space="preserve">The final results of the evaluation process </w:t>
      </w:r>
      <w:r>
        <w:rPr>
          <w:rFonts w:ascii="Times New Roman" w:hAnsi="Times New Roman" w:cs="Times New Roman"/>
          <w:noProof/>
          <w:color w:val="000000" w:themeColor="text1"/>
        </w:rPr>
        <w:t xml:space="preserve">will be </w:t>
      </w:r>
      <w:r>
        <w:rPr>
          <w:rFonts w:ascii="Times New Roman" w:hAnsi="Times New Roman"/>
          <w:noProof/>
        </w:rPr>
        <w:t>published in the form of a Commission Staff Working Document (SWD) which is based on the report provide</w:t>
      </w:r>
      <w:r>
        <w:rPr>
          <w:rFonts w:ascii="Times New Roman" w:hAnsi="Times New Roman"/>
          <w:noProof/>
        </w:rPr>
        <w:t>d by the external consultants.</w:t>
      </w:r>
    </w:p>
    <w:p w:rsidR="00B54C1A" w:rsidRDefault="00BA5FEF">
      <w:pPr>
        <w:jc w:val="both"/>
        <w:rPr>
          <w:rFonts w:ascii="Times New Roman" w:hAnsi="Times New Roman"/>
          <w:noProof/>
        </w:rPr>
      </w:pPr>
      <w:r>
        <w:rPr>
          <w:rFonts w:ascii="Times New Roman" w:hAnsi="Times New Roman" w:cs="Times New Roman"/>
          <w:noProof/>
        </w:rPr>
        <w:t>Regulation (EU) No 1309/2013</w:t>
      </w:r>
      <w:r>
        <w:rPr>
          <w:rFonts w:ascii="Times New Roman" w:hAnsi="Times New Roman"/>
          <w:noProof/>
        </w:rPr>
        <w:t xml:space="preserve"> provides for evaluating the effectiveness and sustainability of the EGF. Furthermore the Better Regulation Guidelines adopted in 2015 added the efficiency, coherence, relevance, and EU-added value</w:t>
      </w:r>
      <w:r>
        <w:rPr>
          <w:rFonts w:ascii="Times New Roman" w:hAnsi="Times New Roman"/>
          <w:noProof/>
        </w:rPr>
        <w:t xml:space="preserve"> of the respective intervention. The conducted EGF mid-term evaluation was designed from the very beginning to cover all the aspects above and thus fully complies with the requirements of the Better Regulation Guidelines. Stakeholders were consulted widely</w:t>
      </w:r>
      <w:r>
        <w:rPr>
          <w:rFonts w:ascii="Times New Roman" w:hAnsi="Times New Roman"/>
          <w:noProof/>
        </w:rPr>
        <w:t xml:space="preserve"> during this process, through an internet-based open public consultation, targeted consultations, a networking seminar. </w:t>
      </w:r>
    </w:p>
    <w:p w:rsidR="00B54C1A" w:rsidRDefault="00BA5FEF">
      <w:pPr>
        <w:pStyle w:val="Heading1"/>
        <w:rPr>
          <w:noProof/>
        </w:rPr>
      </w:pPr>
      <w:bookmarkStart w:id="31" w:name="_Toc496267961"/>
      <w:r>
        <w:rPr>
          <w:noProof/>
        </w:rPr>
        <w:t>4. Cumulative data from 2007 till 2016</w:t>
      </w:r>
      <w:bookmarkEnd w:id="31"/>
    </w:p>
    <w:p w:rsidR="00B54C1A" w:rsidRDefault="00BA5FEF">
      <w:pPr>
        <w:jc w:val="both"/>
        <w:rPr>
          <w:rFonts w:ascii="Times New Roman" w:hAnsi="Times New Roman"/>
          <w:noProof/>
        </w:rPr>
      </w:pPr>
      <w:r>
        <w:rPr>
          <w:rFonts w:ascii="Times New Roman" w:hAnsi="Times New Roman"/>
          <w:noProof/>
        </w:rPr>
        <w:t>Every year, more data are available to identify trends in applications and to gain an overview o</w:t>
      </w:r>
      <w:r>
        <w:rPr>
          <w:rFonts w:ascii="Times New Roman" w:hAnsi="Times New Roman"/>
          <w:noProof/>
        </w:rPr>
        <w:t>f the direction of the fund's activities. The data in the following charts and Tables 1 and 2 in the Annex relate to 147 applications submitted by Member States from 2007 to 2016</w:t>
      </w:r>
      <w:r>
        <w:rPr>
          <w:rFonts w:ascii="Times New Roman" w:hAnsi="Times New Roman"/>
          <w:noProof/>
          <w:vertAlign w:val="superscript"/>
        </w:rPr>
        <w:footnoteReference w:id="25"/>
      </w:r>
      <w:r>
        <w:rPr>
          <w:rFonts w:ascii="Times New Roman" w:hAnsi="Times New Roman"/>
          <w:noProof/>
        </w:rPr>
        <w:t xml:space="preserve">. </w:t>
      </w:r>
    </w:p>
    <w:p w:rsidR="00B54C1A" w:rsidRDefault="00BA5FEF">
      <w:pPr>
        <w:jc w:val="both"/>
        <w:rPr>
          <w:rFonts w:ascii="Times New Roman" w:hAnsi="Times New Roman"/>
          <w:noProof/>
        </w:rPr>
      </w:pPr>
      <w:r>
        <w:rPr>
          <w:rFonts w:ascii="Times New Roman" w:hAnsi="Times New Roman"/>
          <w:noProof/>
        </w:rPr>
        <w:t>A total of EUR 592 894 194 has been requested so far for measures in favou</w:t>
      </w:r>
      <w:r>
        <w:rPr>
          <w:rFonts w:ascii="Times New Roman" w:hAnsi="Times New Roman"/>
          <w:noProof/>
        </w:rPr>
        <w:t>r of 140 545 targeted beneficiaries</w:t>
      </w:r>
      <w:r>
        <w:rPr>
          <w:rFonts w:ascii="Times New Roman" w:hAnsi="Times New Roman"/>
          <w:noProof/>
          <w:vertAlign w:val="superscript"/>
        </w:rPr>
        <w:footnoteReference w:id="26"/>
      </w:r>
      <w:r>
        <w:rPr>
          <w:rFonts w:ascii="Times New Roman" w:hAnsi="Times New Roman"/>
          <w:noProof/>
        </w:rPr>
        <w:t xml:space="preserve">. </w:t>
      </w:r>
    </w:p>
    <w:p w:rsidR="00B54C1A" w:rsidRDefault="00B54C1A">
      <w:pPr>
        <w:tabs>
          <w:tab w:val="left" w:pos="3290"/>
        </w:tabs>
        <w:rPr>
          <w:rFonts w:ascii="Times New Roman" w:hAnsi="Times New Roman"/>
          <w:b/>
          <w:i/>
          <w:noProof/>
        </w:rPr>
      </w:pPr>
    </w:p>
    <w:p w:rsidR="00B54C1A" w:rsidRDefault="00B54C1A">
      <w:pPr>
        <w:tabs>
          <w:tab w:val="left" w:pos="3290"/>
        </w:tabs>
        <w:rPr>
          <w:rFonts w:ascii="Times New Roman" w:hAnsi="Times New Roman"/>
          <w:b/>
          <w:i/>
          <w:noProof/>
        </w:rPr>
      </w:pPr>
    </w:p>
    <w:p w:rsidR="00B54C1A" w:rsidRDefault="00B54C1A">
      <w:pPr>
        <w:tabs>
          <w:tab w:val="left" w:pos="3290"/>
        </w:tabs>
        <w:rPr>
          <w:rFonts w:ascii="Times New Roman" w:hAnsi="Times New Roman"/>
          <w:b/>
          <w:i/>
          <w:noProof/>
        </w:rPr>
      </w:pPr>
    </w:p>
    <w:p w:rsidR="00B54C1A" w:rsidRDefault="00B54C1A">
      <w:pPr>
        <w:tabs>
          <w:tab w:val="left" w:pos="3290"/>
        </w:tabs>
        <w:rPr>
          <w:rFonts w:ascii="Times New Roman" w:hAnsi="Times New Roman"/>
          <w:b/>
          <w:i/>
          <w:noProof/>
        </w:rPr>
      </w:pPr>
    </w:p>
    <w:p w:rsidR="00B54C1A" w:rsidRDefault="00BA5FEF">
      <w:pPr>
        <w:tabs>
          <w:tab w:val="left" w:pos="3290"/>
        </w:tabs>
        <w:rPr>
          <w:rFonts w:ascii="Times New Roman" w:hAnsi="Times New Roman"/>
          <w:b/>
          <w:i/>
          <w:noProof/>
        </w:rPr>
      </w:pPr>
      <w:r>
        <w:rPr>
          <w:rFonts w:ascii="Times New Roman" w:hAnsi="Times New Roman"/>
          <w:b/>
          <w:i/>
          <w:noProof/>
        </w:rPr>
        <w:lastRenderedPageBreak/>
        <w:t>Chart 6:  Number of applications received in 2007 – 2016</w:t>
      </w:r>
      <w:r>
        <w:rPr>
          <w:rStyle w:val="FootnoteReference"/>
          <w:noProof/>
        </w:rPr>
        <w:footnoteReference w:id="27"/>
      </w:r>
      <w:r>
        <w:rPr>
          <w:rFonts w:ascii="Times New Roman" w:hAnsi="Times New Roman"/>
          <w:b/>
          <w:i/>
          <w:noProof/>
        </w:rPr>
        <w:t xml:space="preserve"> </w:t>
      </w:r>
    </w:p>
    <w:p w:rsidR="00B54C1A" w:rsidRDefault="00BA5FEF">
      <w:pPr>
        <w:jc w:val="center"/>
        <w:rPr>
          <w:rFonts w:ascii="Times New Roman" w:hAnsi="Times New Roman"/>
          <w:noProof/>
        </w:rPr>
      </w:pPr>
      <w:r>
        <w:rPr>
          <w:rFonts w:ascii="Times New Roman" w:hAnsi="Times New Roman"/>
          <w:noProof/>
          <w:lang w:eastAsia="en-GB"/>
        </w:rPr>
        <w:drawing>
          <wp:inline distT="0" distB="0" distL="0" distR="0">
            <wp:extent cx="5845629" cy="267065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78635" cy="2685732"/>
                    </a:xfrm>
                    <a:prstGeom prst="rect">
                      <a:avLst/>
                    </a:prstGeom>
                    <a:noFill/>
                  </pic:spPr>
                </pic:pic>
              </a:graphicData>
            </a:graphic>
          </wp:inline>
        </w:drawing>
      </w:r>
    </w:p>
    <w:p w:rsidR="00B54C1A" w:rsidRDefault="00B54C1A">
      <w:pPr>
        <w:jc w:val="both"/>
        <w:rPr>
          <w:rFonts w:ascii="Times New Roman" w:hAnsi="Times New Roman"/>
          <w:noProof/>
        </w:rPr>
      </w:pPr>
    </w:p>
    <w:p w:rsidR="00B54C1A" w:rsidRDefault="00BA5FEF">
      <w:pPr>
        <w:jc w:val="both"/>
        <w:rPr>
          <w:rFonts w:ascii="Times New Roman" w:hAnsi="Times New Roman"/>
          <w:noProof/>
        </w:rPr>
      </w:pPr>
      <w:r>
        <w:rPr>
          <w:rFonts w:ascii="Times New Roman" w:hAnsi="Times New Roman"/>
          <w:noProof/>
        </w:rPr>
        <w:t>Regulation (EC) No 546/2009, with its inclusion of the crisis criterion, had a considerable impact on the number of applications received by the Commission: from 2009 (when the relevant amendment became applicable) to 31 December 2011, there was a signific</w:t>
      </w:r>
      <w:r>
        <w:rPr>
          <w:rFonts w:ascii="Times New Roman" w:hAnsi="Times New Roman"/>
          <w:noProof/>
        </w:rPr>
        <w:t xml:space="preserve">ant rise in applications. </w:t>
      </w:r>
    </w:p>
    <w:p w:rsidR="00B54C1A" w:rsidRDefault="00BA5FEF">
      <w:pPr>
        <w:jc w:val="both"/>
        <w:rPr>
          <w:rFonts w:ascii="Times New Roman" w:hAnsi="Times New Roman"/>
          <w:noProof/>
        </w:rPr>
      </w:pPr>
      <w:r>
        <w:rPr>
          <w:rFonts w:ascii="Times New Roman" w:hAnsi="Times New Roman"/>
          <w:noProof/>
        </w:rPr>
        <w:t>From 2007 to 2016, the Commission received 77 crisis-related applications and 70 trade-related applications. The total number of applications received each year is volatile with an average of about 15 applications per year.</w:t>
      </w:r>
    </w:p>
    <w:p w:rsidR="00B54C1A" w:rsidRDefault="00BA5FEF">
      <w:pPr>
        <w:jc w:val="both"/>
        <w:rPr>
          <w:rFonts w:ascii="Times New Roman" w:hAnsi="Times New Roman"/>
          <w:noProof/>
        </w:rPr>
      </w:pPr>
      <w:r>
        <w:rPr>
          <w:rFonts w:ascii="Times New Roman" w:hAnsi="Times New Roman"/>
          <w:noProof/>
        </w:rPr>
        <w:t>As sh</w:t>
      </w:r>
      <w:r>
        <w:rPr>
          <w:rFonts w:ascii="Times New Roman" w:hAnsi="Times New Roman"/>
          <w:noProof/>
        </w:rPr>
        <w:t>own in Table 2 of the Annex, Spain is the Member State which has submitted the highest number of applications (21), followed by the Netherlands (17), Italy (13) and Belgium (12). By the end of 2016, seven</w:t>
      </w:r>
      <w:r>
        <w:rPr>
          <w:rStyle w:val="FootnoteReference"/>
          <w:rFonts w:ascii="Times New Roman" w:hAnsi="Times New Roman"/>
          <w:noProof/>
        </w:rPr>
        <w:footnoteReference w:id="28"/>
      </w:r>
      <w:r>
        <w:rPr>
          <w:rFonts w:ascii="Times New Roman" w:hAnsi="Times New Roman"/>
          <w:noProof/>
        </w:rPr>
        <w:t xml:space="preserve"> Member States had not yet applied for EGF support:</w:t>
      </w:r>
      <w:r>
        <w:rPr>
          <w:rFonts w:ascii="Times New Roman" w:hAnsi="Times New Roman"/>
          <w:noProof/>
        </w:rPr>
        <w:t xml:space="preserve"> Cyprus, Croatia, Hungary, Luxembourg, Latvia, Slovakia and the United Kingdom. </w:t>
      </w:r>
    </w:p>
    <w:p w:rsidR="00B54C1A" w:rsidRDefault="00B54C1A">
      <w:pPr>
        <w:rPr>
          <w:rFonts w:ascii="Times New Roman" w:hAnsi="Times New Roman"/>
          <w:b/>
          <w:i/>
          <w:noProof/>
        </w:rPr>
      </w:pPr>
    </w:p>
    <w:p w:rsidR="00B54C1A" w:rsidRDefault="00B54C1A">
      <w:pPr>
        <w:rPr>
          <w:rFonts w:ascii="Times New Roman" w:hAnsi="Times New Roman"/>
          <w:b/>
          <w:i/>
          <w:noProof/>
        </w:rPr>
      </w:pPr>
    </w:p>
    <w:p w:rsidR="00B54C1A" w:rsidRDefault="00B54C1A">
      <w:pPr>
        <w:rPr>
          <w:rFonts w:ascii="Times New Roman" w:hAnsi="Times New Roman"/>
          <w:b/>
          <w:i/>
          <w:noProof/>
        </w:rPr>
      </w:pPr>
    </w:p>
    <w:p w:rsidR="00B54C1A" w:rsidRDefault="00B54C1A">
      <w:pPr>
        <w:rPr>
          <w:rFonts w:ascii="Times New Roman" w:hAnsi="Times New Roman"/>
          <w:b/>
          <w:i/>
          <w:noProof/>
        </w:rPr>
      </w:pPr>
    </w:p>
    <w:p w:rsidR="00B54C1A" w:rsidRDefault="00B54C1A">
      <w:pPr>
        <w:rPr>
          <w:rFonts w:ascii="Times New Roman" w:hAnsi="Times New Roman"/>
          <w:b/>
          <w:i/>
          <w:noProof/>
        </w:rPr>
      </w:pPr>
    </w:p>
    <w:p w:rsidR="00B54C1A" w:rsidRDefault="00B54C1A">
      <w:pPr>
        <w:rPr>
          <w:rFonts w:ascii="Times New Roman" w:hAnsi="Times New Roman"/>
          <w:b/>
          <w:i/>
          <w:noProof/>
        </w:rPr>
      </w:pPr>
    </w:p>
    <w:p w:rsidR="00B54C1A" w:rsidRDefault="00B54C1A">
      <w:pPr>
        <w:rPr>
          <w:rFonts w:ascii="Times New Roman" w:hAnsi="Times New Roman"/>
          <w:b/>
          <w:i/>
          <w:noProof/>
        </w:rPr>
      </w:pPr>
    </w:p>
    <w:p w:rsidR="00B54C1A" w:rsidRDefault="00B54C1A">
      <w:pPr>
        <w:rPr>
          <w:rFonts w:ascii="Times New Roman" w:hAnsi="Times New Roman"/>
          <w:b/>
          <w:i/>
          <w:noProof/>
        </w:rPr>
      </w:pPr>
    </w:p>
    <w:p w:rsidR="00B54C1A" w:rsidRDefault="00B54C1A">
      <w:pPr>
        <w:rPr>
          <w:rFonts w:ascii="Times New Roman" w:hAnsi="Times New Roman"/>
          <w:b/>
          <w:i/>
          <w:noProof/>
        </w:rPr>
      </w:pPr>
    </w:p>
    <w:p w:rsidR="00B54C1A" w:rsidRDefault="00BA5FEF">
      <w:pPr>
        <w:rPr>
          <w:rFonts w:ascii="Times New Roman" w:hAnsi="Times New Roman"/>
          <w:b/>
          <w:i/>
          <w:noProof/>
        </w:rPr>
      </w:pPr>
      <w:r>
        <w:rPr>
          <w:rFonts w:ascii="Times New Roman" w:hAnsi="Times New Roman"/>
          <w:b/>
          <w:i/>
          <w:noProof/>
        </w:rPr>
        <w:lastRenderedPageBreak/>
        <w:t>Chart 7:  EGF amounts requested per Member state in 2007 – 2016</w:t>
      </w:r>
    </w:p>
    <w:p w:rsidR="00B54C1A" w:rsidRDefault="00BA5FEF">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drawing>
          <wp:inline distT="0" distB="0" distL="0" distR="0">
            <wp:extent cx="5939758" cy="5099135"/>
            <wp:effectExtent l="0" t="0" r="444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337" cy="5099632"/>
                    </a:xfrm>
                    <a:prstGeom prst="rect">
                      <a:avLst/>
                    </a:prstGeom>
                    <a:noFill/>
                  </pic:spPr>
                </pic:pic>
              </a:graphicData>
            </a:graphic>
          </wp:inline>
        </w:drawing>
      </w:r>
    </w:p>
    <w:p w:rsidR="00B54C1A" w:rsidRDefault="00B54C1A">
      <w:pPr>
        <w:spacing w:after="0" w:line="240" w:lineRule="auto"/>
        <w:rPr>
          <w:rFonts w:ascii="Times New Roman" w:eastAsia="Times New Roman" w:hAnsi="Times New Roman" w:cs="Times New Roman"/>
          <w:b/>
          <w:bCs/>
          <w:noProof/>
          <w:color w:val="000000"/>
          <w:lang w:eastAsia="en-GB"/>
        </w:rPr>
      </w:pPr>
    </w:p>
    <w:p w:rsidR="00B54C1A" w:rsidRDefault="00BA5FEF">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Total EGF amount requested</w:t>
      </w:r>
      <w:r>
        <w:rPr>
          <w:b/>
          <w:noProof/>
          <w:vertAlign w:val="superscript"/>
        </w:rPr>
        <w:footnoteReference w:id="29"/>
      </w:r>
      <w:r>
        <w:rPr>
          <w:rFonts w:ascii="Times New Roman" w:eastAsia="Times New Roman" w:hAnsi="Times New Roman" w:cs="Times New Roman"/>
          <w:b/>
          <w:bCs/>
          <w:noProof/>
          <w:color w:val="000000"/>
          <w:lang w:eastAsia="en-GB"/>
        </w:rPr>
        <w:t xml:space="preserve"> per MS: </w:t>
      </w:r>
      <w:r>
        <w:rPr>
          <w:rFonts w:ascii="Times New Roman" w:eastAsia="Times New Roman" w:hAnsi="Times New Roman" w:cs="Times New Roman"/>
          <w:b/>
          <w:bCs/>
          <w:noProof/>
          <w:color w:val="000000"/>
          <w:lang w:eastAsia="en-GB"/>
        </w:rPr>
        <w:tab/>
        <w:t xml:space="preserve">    592 894 194 €</w:t>
      </w:r>
    </w:p>
    <w:p w:rsidR="00B54C1A" w:rsidRDefault="00BA5FEF">
      <w:pPr>
        <w:spacing w:after="0" w:line="240" w:lineRule="auto"/>
        <w:rPr>
          <w:rFonts w:ascii="Times New Roman" w:eastAsia="Times New Roman" w:hAnsi="Times New Roman" w:cs="Times New Roman"/>
          <w:b/>
          <w:bCs/>
          <w:noProof/>
          <w:color w:val="000000"/>
          <w:lang w:eastAsia="en-GB"/>
        </w:rPr>
      </w:pPr>
      <w:r>
        <w:rPr>
          <w:rFonts w:ascii="Times New Roman" w:eastAsia="Times New Roman" w:hAnsi="Times New Roman" w:cs="Times New Roman"/>
          <w:b/>
          <w:bCs/>
          <w:noProof/>
          <w:color w:val="000000"/>
          <w:lang w:eastAsia="en-GB"/>
        </w:rPr>
        <w:t xml:space="preserve">Average EGF amount requested per MS:        </w:t>
      </w:r>
      <w:r>
        <w:rPr>
          <w:rFonts w:ascii="Times New Roman" w:eastAsia="Times New Roman" w:hAnsi="Times New Roman" w:cs="Times New Roman"/>
          <w:b/>
          <w:bCs/>
          <w:noProof/>
          <w:color w:val="000000"/>
          <w:lang w:eastAsia="en-GB"/>
        </w:rPr>
        <w:t xml:space="preserve">     29 644 710 €</w:t>
      </w:r>
    </w:p>
    <w:p w:rsidR="00B54C1A" w:rsidRDefault="00B54C1A">
      <w:pPr>
        <w:spacing w:after="0" w:line="240" w:lineRule="auto"/>
        <w:rPr>
          <w:rFonts w:ascii="Times New Roman" w:eastAsia="Times New Roman" w:hAnsi="Times New Roman" w:cs="Times New Roman"/>
          <w:bCs/>
          <w:noProof/>
          <w:color w:val="000000"/>
          <w:lang w:eastAsia="en-GB"/>
        </w:rPr>
      </w:pPr>
    </w:p>
    <w:p w:rsidR="00B54C1A" w:rsidRDefault="00B54C1A">
      <w:pPr>
        <w:jc w:val="both"/>
        <w:rPr>
          <w:rFonts w:ascii="Times New Roman" w:eastAsia="Times New Roman" w:hAnsi="Times New Roman" w:cs="Times New Roman"/>
          <w:bCs/>
          <w:noProof/>
          <w:color w:val="000000"/>
          <w:lang w:eastAsia="en-GB"/>
        </w:rPr>
      </w:pPr>
    </w:p>
    <w:p w:rsidR="00B54C1A" w:rsidRDefault="00BA5FEF">
      <w:pPr>
        <w:jc w:val="both"/>
        <w:rPr>
          <w:rFonts w:ascii="Times New Roman" w:eastAsia="Times New Roman" w:hAnsi="Times New Roman" w:cs="Times New Roman"/>
          <w:noProof/>
          <w:color w:val="000000"/>
          <w:lang w:eastAsia="en-GB"/>
        </w:rPr>
      </w:pPr>
      <w:r>
        <w:rPr>
          <w:rFonts w:ascii="Times New Roman" w:eastAsia="Times New Roman" w:hAnsi="Times New Roman" w:cs="Times New Roman"/>
          <w:bCs/>
          <w:noProof/>
          <w:color w:val="000000"/>
          <w:lang w:eastAsia="en-GB"/>
        </w:rPr>
        <w:t>A total amount of EUR 592 894 194 was requested from the EGF by 20 Member States from 2007 to 2016. France requested the highest amount of EGF co-funding (EUR </w:t>
      </w:r>
      <w:r>
        <w:rPr>
          <w:rFonts w:ascii="Times New Roman" w:eastAsia="Times New Roman" w:hAnsi="Times New Roman" w:cs="Times New Roman"/>
          <w:noProof/>
          <w:color w:val="000000"/>
          <w:lang w:eastAsia="en-GB"/>
        </w:rPr>
        <w:t xml:space="preserve">89 760 859 for 8 applications), followed by Ireland (EUR 67 720 204 for 10 applications), Denmark (EUR 63 680 782 for 10 applications) and Italy (EUR 60 537 811 for 13 applications). </w:t>
      </w:r>
    </w:p>
    <w:p w:rsidR="00B54C1A" w:rsidRDefault="00BA5FEF">
      <w:pPr>
        <w:jc w:val="both"/>
        <w:rPr>
          <w:rFonts w:ascii="Calibri" w:eastAsia="Times New Roman" w:hAnsi="Calibri" w:cs="Times New Roman"/>
          <w:noProof/>
          <w:color w:val="000000"/>
          <w:lang w:eastAsia="en-GB"/>
        </w:rPr>
      </w:pPr>
      <w:r>
        <w:rPr>
          <w:rFonts w:ascii="Times New Roman" w:eastAsia="Times New Roman" w:hAnsi="Times New Roman" w:cs="Times New Roman"/>
          <w:noProof/>
          <w:color w:val="000000"/>
          <w:lang w:eastAsia="en-GB"/>
        </w:rPr>
        <w:t>Details of the applications per year and per Member State are set out in</w:t>
      </w:r>
      <w:r>
        <w:rPr>
          <w:rFonts w:ascii="Times New Roman" w:eastAsia="Times New Roman" w:hAnsi="Times New Roman" w:cs="Times New Roman"/>
          <w:noProof/>
          <w:color w:val="000000"/>
          <w:lang w:eastAsia="en-GB"/>
        </w:rPr>
        <w:t xml:space="preserve"> Table 2 of the Annex. </w:t>
      </w:r>
    </w:p>
    <w:p w:rsidR="00B54C1A" w:rsidRDefault="00B54C1A">
      <w:pPr>
        <w:rPr>
          <w:rFonts w:ascii="Times New Roman" w:hAnsi="Times New Roman"/>
          <w:b/>
          <w:i/>
          <w:noProof/>
        </w:rPr>
      </w:pPr>
    </w:p>
    <w:p w:rsidR="00B54C1A" w:rsidRDefault="00B54C1A">
      <w:pPr>
        <w:rPr>
          <w:rFonts w:ascii="Times New Roman" w:hAnsi="Times New Roman"/>
          <w:b/>
          <w:i/>
          <w:noProof/>
        </w:rPr>
      </w:pPr>
    </w:p>
    <w:p w:rsidR="00B54C1A" w:rsidRDefault="00B54C1A">
      <w:pPr>
        <w:rPr>
          <w:rFonts w:ascii="Times New Roman" w:hAnsi="Times New Roman"/>
          <w:b/>
          <w:i/>
          <w:noProof/>
        </w:rPr>
      </w:pPr>
    </w:p>
    <w:p w:rsidR="00B54C1A" w:rsidRDefault="00BA5FEF">
      <w:pPr>
        <w:rPr>
          <w:rFonts w:ascii="Times New Roman" w:hAnsi="Times New Roman"/>
          <w:b/>
          <w:i/>
          <w:noProof/>
        </w:rPr>
      </w:pPr>
      <w:r>
        <w:rPr>
          <w:rFonts w:ascii="Times New Roman" w:hAnsi="Times New Roman"/>
          <w:b/>
          <w:i/>
          <w:noProof/>
        </w:rPr>
        <w:lastRenderedPageBreak/>
        <w:t>Chart 8:  Number of targeted workers per Member State in 2007 – 2016</w:t>
      </w:r>
    </w:p>
    <w:p w:rsidR="00B54C1A" w:rsidRDefault="00BA5FEF">
      <w:pPr>
        <w:rPr>
          <w:rFonts w:ascii="Times New Roman" w:hAnsi="Times New Roman"/>
          <w:noProof/>
        </w:rPr>
      </w:pPr>
      <w:r>
        <w:rPr>
          <w:rFonts w:ascii="Times New Roman" w:hAnsi="Times New Roman"/>
          <w:noProof/>
          <w:lang w:eastAsia="en-GB"/>
        </w:rPr>
        <w:drawing>
          <wp:inline distT="0" distB="0" distL="0" distR="0">
            <wp:extent cx="6177963" cy="395951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8576" cy="3959903"/>
                    </a:xfrm>
                    <a:prstGeom prst="rect">
                      <a:avLst/>
                    </a:prstGeom>
                    <a:noFill/>
                  </pic:spPr>
                </pic:pic>
              </a:graphicData>
            </a:graphic>
          </wp:inline>
        </w:drawing>
      </w:r>
    </w:p>
    <w:p w:rsidR="00B54C1A" w:rsidRDefault="00BA5FEF">
      <w:pPr>
        <w:spacing w:after="0"/>
        <w:rPr>
          <w:rFonts w:ascii="Calibri" w:eastAsia="Times New Roman" w:hAnsi="Calibri" w:cs="Calibri"/>
          <w:noProof/>
          <w:color w:val="000000"/>
          <w:lang w:eastAsia="en-GB"/>
        </w:rPr>
      </w:pPr>
      <w:r>
        <w:rPr>
          <w:rFonts w:ascii="Times New Roman" w:eastAsia="Times New Roman" w:hAnsi="Times New Roman" w:cs="Times New Roman"/>
          <w:b/>
          <w:bCs/>
          <w:noProof/>
          <w:color w:val="000000"/>
          <w:lang w:eastAsia="en-GB"/>
        </w:rPr>
        <w:t xml:space="preserve">Total number of targeted workers per MS: </w:t>
      </w:r>
      <w:r>
        <w:rPr>
          <w:rFonts w:ascii="Times New Roman" w:eastAsia="Times New Roman" w:hAnsi="Times New Roman" w:cs="Times New Roman"/>
          <w:b/>
          <w:bCs/>
          <w:noProof/>
          <w:color w:val="000000"/>
          <w:lang w:eastAsia="en-GB"/>
        </w:rPr>
        <w:tab/>
      </w:r>
      <w:r>
        <w:rPr>
          <w:rFonts w:ascii="Times New Roman" w:eastAsia="Times New Roman" w:hAnsi="Times New Roman" w:cs="Times New Roman"/>
          <w:b/>
          <w:bCs/>
          <w:noProof/>
          <w:color w:val="000000"/>
          <w:lang w:eastAsia="en-GB"/>
        </w:rPr>
        <w:tab/>
        <w:t>137 601</w:t>
      </w:r>
    </w:p>
    <w:p w:rsidR="00B54C1A" w:rsidRDefault="00BA5FEF">
      <w:pPr>
        <w:jc w:val="both"/>
        <w:rPr>
          <w:rFonts w:ascii="Times New Roman" w:eastAsia="Times New Roman" w:hAnsi="Times New Roman"/>
          <w:noProof/>
          <w:color w:val="000000"/>
          <w:lang w:eastAsia="en-GB"/>
        </w:rPr>
      </w:pPr>
      <w:r>
        <w:rPr>
          <w:rFonts w:ascii="Times New Roman" w:eastAsia="Times New Roman" w:hAnsi="Times New Roman" w:cs="Times New Roman"/>
          <w:b/>
          <w:bCs/>
          <w:noProof/>
          <w:color w:val="000000"/>
          <w:lang w:eastAsia="en-GB"/>
        </w:rPr>
        <w:t>Average</w:t>
      </w:r>
      <w:r>
        <w:rPr>
          <w:rFonts w:ascii="Times New Roman" w:eastAsia="Times New Roman" w:hAnsi="Times New Roman"/>
          <w:noProof/>
          <w:color w:val="000000"/>
          <w:lang w:eastAsia="en-GB"/>
        </w:rPr>
        <w:t xml:space="preserve"> </w:t>
      </w:r>
      <w:r>
        <w:rPr>
          <w:rFonts w:ascii="Times New Roman" w:eastAsia="Times New Roman" w:hAnsi="Times New Roman" w:cs="Times New Roman"/>
          <w:b/>
          <w:bCs/>
          <w:noProof/>
          <w:color w:val="000000"/>
          <w:lang w:eastAsia="en-GB"/>
        </w:rPr>
        <w:t>number of targeted workers per MS:                6 880</w:t>
      </w:r>
    </w:p>
    <w:p w:rsidR="00B54C1A" w:rsidRDefault="00BA5FEF">
      <w:pPr>
        <w:jc w:val="both"/>
        <w:rPr>
          <w:rFonts w:ascii="Times New Roman" w:eastAsia="Times New Roman" w:hAnsi="Times New Roman"/>
          <w:noProof/>
          <w:color w:val="000000"/>
          <w:lang w:eastAsia="en-GB"/>
        </w:rPr>
      </w:pPr>
      <w:r>
        <w:rPr>
          <w:rFonts w:ascii="Times New Roman" w:eastAsia="Times New Roman" w:hAnsi="Times New Roman"/>
          <w:noProof/>
          <w:color w:val="000000"/>
          <w:lang w:eastAsia="en-GB"/>
        </w:rPr>
        <w:t>From 2007 to 2016, the applications received (excluding withdrawn or rejected applications) from the 20 Member States targeted 137 601 workers. Within the past 10 years, France requested support for the greatest number of workers (17 586), followed by Germ</w:t>
      </w:r>
      <w:r>
        <w:rPr>
          <w:rFonts w:ascii="Times New Roman" w:eastAsia="Times New Roman" w:hAnsi="Times New Roman"/>
          <w:noProof/>
          <w:color w:val="000000"/>
          <w:lang w:eastAsia="en-GB"/>
        </w:rPr>
        <w:t xml:space="preserve">any (14 517), Spain (14 468) and Belgium (14 162). </w:t>
      </w:r>
    </w:p>
    <w:p w:rsidR="00B54C1A" w:rsidRDefault="00BA5FEF">
      <w:pPr>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Nine applications submitted by three Member States over 2014 – 2016 period targeted 2 944 NEETs. Member States which applied for support for NEETs were: Belgium (2 applications - 400 NEETs), Greece (4 app</w:t>
      </w:r>
      <w:r>
        <w:rPr>
          <w:rFonts w:ascii="Times New Roman" w:eastAsia="Times New Roman" w:hAnsi="Times New Roman" w:cs="Times New Roman"/>
          <w:noProof/>
          <w:color w:val="000000"/>
          <w:lang w:eastAsia="en-GB"/>
        </w:rPr>
        <w:t>lications – 2 098 NEETs) and Ireland (3 applications - 446 NEETs).</w:t>
      </w:r>
    </w:p>
    <w:p w:rsidR="00B54C1A" w:rsidRDefault="00BA5FEF">
      <w:pPr>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Details of the applications per year and Member State are set out in Table 2 of the Annex. </w:t>
      </w:r>
    </w:p>
    <w:p w:rsidR="00B54C1A" w:rsidRDefault="00BA5FEF">
      <w:pPr>
        <w:rPr>
          <w:rFonts w:ascii="Times New Roman" w:hAnsi="Times New Roman"/>
          <w:b/>
          <w:i/>
          <w:noProof/>
        </w:rPr>
      </w:pPr>
      <w:r>
        <w:rPr>
          <w:rFonts w:ascii="Times New Roman" w:hAnsi="Times New Roman"/>
          <w:b/>
          <w:i/>
          <w:noProof/>
        </w:rPr>
        <w:br w:type="page"/>
      </w:r>
    </w:p>
    <w:p w:rsidR="00B54C1A" w:rsidRDefault="00BA5FEF">
      <w:pPr>
        <w:rPr>
          <w:rFonts w:ascii="Times New Roman" w:hAnsi="Times New Roman"/>
          <w:b/>
          <w:i/>
          <w:noProof/>
        </w:rPr>
      </w:pPr>
      <w:r>
        <w:rPr>
          <w:rFonts w:ascii="Times New Roman" w:hAnsi="Times New Roman"/>
          <w:b/>
          <w:i/>
          <w:noProof/>
        </w:rPr>
        <w:lastRenderedPageBreak/>
        <w:t>Chart 9: Number of applications by sector (NACE Rev. 2), 2007 – 2016*</w:t>
      </w:r>
    </w:p>
    <w:p w:rsidR="00B54C1A" w:rsidRDefault="00BA5FEF">
      <w:pPr>
        <w:rPr>
          <w:rFonts w:ascii="Times New Roman" w:hAnsi="Times New Roman"/>
          <w:noProof/>
        </w:rPr>
      </w:pPr>
      <w:r>
        <w:rPr>
          <w:rFonts w:ascii="Times New Roman" w:hAnsi="Times New Roman"/>
          <w:noProof/>
          <w:lang w:eastAsia="en-GB"/>
        </w:rPr>
        <w:drawing>
          <wp:inline distT="0" distB="0" distL="0" distR="0">
            <wp:extent cx="5738428" cy="365028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8428" cy="3650285"/>
                    </a:xfrm>
                    <a:prstGeom prst="rect">
                      <a:avLst/>
                    </a:prstGeom>
                    <a:noFill/>
                  </pic:spPr>
                </pic:pic>
              </a:graphicData>
            </a:graphic>
          </wp:inline>
        </w:drawing>
      </w:r>
    </w:p>
    <w:p w:rsidR="00B54C1A" w:rsidRDefault="00BA5FEF">
      <w:pPr>
        <w:jc w:val="both"/>
        <w:rPr>
          <w:rFonts w:ascii="Times New Roman" w:hAnsi="Times New Roman"/>
          <w:i/>
          <w:noProof/>
          <w:sz w:val="18"/>
          <w:szCs w:val="18"/>
        </w:rPr>
      </w:pPr>
      <w:r>
        <w:rPr>
          <w:rFonts w:ascii="Times New Roman" w:hAnsi="Times New Roman"/>
          <w:i/>
          <w:noProof/>
          <w:sz w:val="18"/>
          <w:szCs w:val="18"/>
        </w:rPr>
        <w:t xml:space="preserve">* EGF/2016/003 </w:t>
      </w:r>
      <w:r>
        <w:rPr>
          <w:rFonts w:ascii="Times New Roman" w:hAnsi="Times New Roman"/>
          <w:i/>
          <w:noProof/>
          <w:sz w:val="18"/>
          <w:szCs w:val="18"/>
        </w:rPr>
        <w:t>EE/Petroleum and chemicals case refers to two different sectors (19 and 20) and has therefore been counted twice.</w:t>
      </w:r>
    </w:p>
    <w:p w:rsidR="00B54C1A" w:rsidRDefault="00BA5FEF">
      <w:pPr>
        <w:spacing w:after="0"/>
        <w:jc w:val="both"/>
        <w:rPr>
          <w:rFonts w:ascii="Times New Roman" w:hAnsi="Times New Roman"/>
          <w:b/>
          <w:noProof/>
        </w:rPr>
      </w:pPr>
      <w:r>
        <w:rPr>
          <w:rFonts w:ascii="Times New Roman" w:hAnsi="Times New Roman"/>
          <w:b/>
          <w:noProof/>
        </w:rPr>
        <w:t>Total number of sectors: 34</w:t>
      </w:r>
    </w:p>
    <w:p w:rsidR="00B54C1A" w:rsidRDefault="00B54C1A">
      <w:pPr>
        <w:spacing w:after="0"/>
        <w:jc w:val="both"/>
        <w:rPr>
          <w:rFonts w:ascii="Times New Roman" w:eastAsia="Times New Roman" w:hAnsi="Times New Roman" w:cs="Times New Roman"/>
          <w:noProof/>
          <w:color w:val="000000"/>
          <w:lang w:eastAsia="en-GB"/>
        </w:rPr>
      </w:pPr>
    </w:p>
    <w:p w:rsidR="00B54C1A" w:rsidRDefault="00B54C1A">
      <w:pPr>
        <w:spacing w:after="0"/>
        <w:jc w:val="both"/>
        <w:rPr>
          <w:rFonts w:ascii="Times New Roman" w:eastAsia="Times New Roman" w:hAnsi="Times New Roman" w:cs="Times New Roman"/>
          <w:noProof/>
          <w:color w:val="000000"/>
          <w:lang w:eastAsia="en-GB"/>
        </w:rPr>
      </w:pPr>
    </w:p>
    <w:p w:rsidR="00B54C1A" w:rsidRDefault="00BA5FEF">
      <w:pPr>
        <w:spacing w:after="0"/>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From 2007 to 2016, the Commission received 147 EGF applications related to a broad range of sectors (34). The gr</w:t>
      </w:r>
      <w:r>
        <w:rPr>
          <w:rFonts w:ascii="Times New Roman" w:eastAsia="Times New Roman" w:hAnsi="Times New Roman" w:cs="Times New Roman"/>
          <w:noProof/>
          <w:color w:val="000000"/>
          <w:lang w:eastAsia="en-GB"/>
        </w:rPr>
        <w:t xml:space="preserve">eatest number of applications was received for the sector motor vehicles, trailers and semi-trailers (23 applications), followed by computer, electronic and optical products (16 applications) and machinery and equipment n.e.c. (14 applications). </w:t>
      </w:r>
    </w:p>
    <w:p w:rsidR="00B54C1A" w:rsidRDefault="00BA5FEF">
      <w:pPr>
        <w:jc w:val="both"/>
        <w:rPr>
          <w:rFonts w:ascii="Times New Roman" w:eastAsia="Times New Roman" w:hAnsi="Times New Roman" w:cs="Times New Roman"/>
          <w:noProof/>
          <w:color w:val="000000"/>
          <w:lang w:eastAsia="en-GB"/>
        </w:rPr>
      </w:pPr>
      <w:r>
        <w:rPr>
          <w:rFonts w:ascii="Times New Roman" w:eastAsia="Times New Roman" w:hAnsi="Times New Roman" w:cs="Times New Roman"/>
          <w:noProof/>
          <w:color w:val="000000"/>
          <w:lang w:eastAsia="en-GB"/>
        </w:rPr>
        <w:t xml:space="preserve">Details </w:t>
      </w:r>
      <w:r>
        <w:rPr>
          <w:rFonts w:ascii="Times New Roman" w:eastAsia="Times New Roman" w:hAnsi="Times New Roman" w:cs="Times New Roman"/>
          <w:noProof/>
          <w:color w:val="000000"/>
          <w:lang w:eastAsia="en-GB"/>
        </w:rPr>
        <w:t>of the applications received by sector are set out in Table 1 of the Annex.</w:t>
      </w:r>
    </w:p>
    <w:p w:rsidR="00B54C1A" w:rsidRDefault="00BA5FEF">
      <w:pPr>
        <w:rPr>
          <w:rFonts w:ascii="Times New Roman" w:hAnsi="Times New Roman"/>
          <w:b/>
          <w:i/>
          <w:noProof/>
        </w:rPr>
      </w:pPr>
      <w:r>
        <w:rPr>
          <w:rFonts w:ascii="Times New Roman" w:hAnsi="Times New Roman"/>
          <w:b/>
          <w:i/>
          <w:noProof/>
        </w:rPr>
        <w:br w:type="page"/>
      </w:r>
    </w:p>
    <w:p w:rsidR="00B54C1A" w:rsidRDefault="00BA5FEF">
      <w:pPr>
        <w:rPr>
          <w:rFonts w:ascii="Times New Roman" w:hAnsi="Times New Roman"/>
          <w:b/>
          <w:i/>
          <w:noProof/>
        </w:rPr>
      </w:pPr>
      <w:r>
        <w:rPr>
          <w:rFonts w:ascii="Times New Roman" w:hAnsi="Times New Roman"/>
          <w:b/>
          <w:i/>
          <w:noProof/>
        </w:rPr>
        <w:lastRenderedPageBreak/>
        <w:t>Chart 10:  Number of targeted workers per sector (NACE Rev. 2), 2007 – 2016*</w:t>
      </w:r>
    </w:p>
    <w:p w:rsidR="00B54C1A" w:rsidRDefault="00BA5FEF">
      <w:pPr>
        <w:rPr>
          <w:rFonts w:ascii="Times New Roman" w:hAnsi="Times New Roman"/>
          <w:noProof/>
        </w:rPr>
      </w:pPr>
      <w:r>
        <w:rPr>
          <w:rFonts w:ascii="Times New Roman" w:hAnsi="Times New Roman"/>
          <w:noProof/>
          <w:lang w:eastAsia="en-GB"/>
        </w:rPr>
        <w:drawing>
          <wp:inline distT="0" distB="0" distL="0" distR="0">
            <wp:extent cx="6024282" cy="405606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18320" cy="4052048"/>
                    </a:xfrm>
                    <a:prstGeom prst="rect">
                      <a:avLst/>
                    </a:prstGeom>
                    <a:noFill/>
                  </pic:spPr>
                </pic:pic>
              </a:graphicData>
            </a:graphic>
          </wp:inline>
        </w:drawing>
      </w:r>
    </w:p>
    <w:p w:rsidR="00B54C1A" w:rsidRDefault="00BA5FEF">
      <w:pPr>
        <w:jc w:val="both"/>
        <w:rPr>
          <w:rFonts w:ascii="Times New Roman" w:hAnsi="Times New Roman"/>
          <w:i/>
          <w:noProof/>
          <w:sz w:val="18"/>
          <w:szCs w:val="18"/>
        </w:rPr>
      </w:pPr>
      <w:r>
        <w:rPr>
          <w:rFonts w:ascii="Times New Roman" w:hAnsi="Times New Roman"/>
          <w:i/>
          <w:noProof/>
          <w:sz w:val="18"/>
          <w:szCs w:val="18"/>
        </w:rPr>
        <w:t>* EGF/2016/003 EE/Petroleum and chemicals case refers to two different sectors (19 and 20). Therefo</w:t>
      </w:r>
      <w:r>
        <w:rPr>
          <w:rFonts w:ascii="Times New Roman" w:hAnsi="Times New Roman"/>
          <w:i/>
          <w:noProof/>
          <w:sz w:val="18"/>
          <w:szCs w:val="18"/>
        </w:rPr>
        <w:t>re the 800 targeted workers of this case have been listed twice.</w:t>
      </w:r>
    </w:p>
    <w:p w:rsidR="00B54C1A" w:rsidRDefault="00BA5FEF">
      <w:pPr>
        <w:spacing w:after="0"/>
        <w:jc w:val="both"/>
        <w:rPr>
          <w:rFonts w:ascii="Times New Roman" w:hAnsi="Times New Roman"/>
          <w:b/>
          <w:noProof/>
        </w:rPr>
      </w:pPr>
      <w:r>
        <w:rPr>
          <w:rFonts w:ascii="Times New Roman" w:hAnsi="Times New Roman"/>
          <w:b/>
          <w:noProof/>
        </w:rPr>
        <w:t xml:space="preserve">Total number of targeted workers in 34 sectors: </w:t>
      </w:r>
      <w:r>
        <w:rPr>
          <w:rFonts w:ascii="Times New Roman" w:hAnsi="Times New Roman"/>
          <w:b/>
          <w:noProof/>
        </w:rPr>
        <w:tab/>
        <w:t>137 601</w:t>
      </w:r>
    </w:p>
    <w:p w:rsidR="00B54C1A" w:rsidRDefault="00B54C1A">
      <w:pPr>
        <w:spacing w:after="0"/>
        <w:jc w:val="both"/>
        <w:rPr>
          <w:rFonts w:ascii="Times New Roman" w:hAnsi="Times New Roman"/>
          <w:b/>
          <w:noProof/>
        </w:rPr>
      </w:pPr>
    </w:p>
    <w:p w:rsidR="00B54C1A" w:rsidRDefault="00B54C1A">
      <w:pPr>
        <w:spacing w:after="0"/>
        <w:jc w:val="both"/>
        <w:rPr>
          <w:rFonts w:ascii="Times New Roman" w:hAnsi="Times New Roman"/>
          <w:b/>
          <w:noProof/>
        </w:rPr>
      </w:pPr>
    </w:p>
    <w:p w:rsidR="00B54C1A" w:rsidRDefault="00BA5FEF">
      <w:pPr>
        <w:jc w:val="both"/>
        <w:rPr>
          <w:rFonts w:ascii="Times New Roman" w:hAnsi="Times New Roman"/>
          <w:noProof/>
        </w:rPr>
      </w:pPr>
      <w:r>
        <w:rPr>
          <w:rFonts w:ascii="Times New Roman" w:hAnsi="Times New Roman"/>
          <w:noProof/>
        </w:rPr>
        <w:t>From 2007 to 2016, the Commission received EGF applications submitted by 20 Member States for 137 601 workers made redundant in 34 d</w:t>
      </w:r>
      <w:r>
        <w:rPr>
          <w:rFonts w:ascii="Times New Roman" w:hAnsi="Times New Roman"/>
          <w:noProof/>
        </w:rPr>
        <w:t xml:space="preserve">ifferent sectors. The greatest number of workers was targeted in the sector motor vehicles, trailers and semi-trailers (33 202), followed by the computer, electronic and optical products sector (19 488) and textiles (12 008). </w:t>
      </w:r>
    </w:p>
    <w:p w:rsidR="00B54C1A" w:rsidRDefault="00BA5FEF">
      <w:pPr>
        <w:rPr>
          <w:rFonts w:ascii="Times New Roman" w:hAnsi="Times New Roman"/>
          <w:b/>
          <w:i/>
          <w:noProof/>
          <w:sz w:val="24"/>
          <w:szCs w:val="24"/>
        </w:rPr>
      </w:pPr>
      <w:r>
        <w:rPr>
          <w:rFonts w:ascii="Times New Roman" w:hAnsi="Times New Roman"/>
          <w:b/>
          <w:i/>
          <w:noProof/>
          <w:sz w:val="24"/>
          <w:szCs w:val="24"/>
        </w:rPr>
        <w:br w:type="page"/>
      </w:r>
    </w:p>
    <w:p w:rsidR="00B54C1A" w:rsidRDefault="00BA5FEF">
      <w:pPr>
        <w:rPr>
          <w:rFonts w:ascii="Times New Roman" w:hAnsi="Times New Roman"/>
          <w:b/>
          <w:i/>
          <w:noProof/>
        </w:rPr>
      </w:pPr>
      <w:r>
        <w:rPr>
          <w:rFonts w:ascii="Times New Roman" w:hAnsi="Times New Roman"/>
          <w:b/>
          <w:i/>
          <w:noProof/>
        </w:rPr>
        <w:lastRenderedPageBreak/>
        <w:t>Chart 11:  Average EGF amou</w:t>
      </w:r>
      <w:r>
        <w:rPr>
          <w:rFonts w:ascii="Times New Roman" w:hAnsi="Times New Roman"/>
          <w:b/>
          <w:i/>
          <w:noProof/>
        </w:rPr>
        <w:t>nt requested per beneficiary and per Member State in 2007 – 2016</w:t>
      </w:r>
    </w:p>
    <w:p w:rsidR="00B54C1A" w:rsidRDefault="00BA5FEF">
      <w:pPr>
        <w:rPr>
          <w:rFonts w:ascii="Times New Roman" w:hAnsi="Times New Roman"/>
          <w:i/>
          <w:noProof/>
        </w:rPr>
      </w:pPr>
      <w:r>
        <w:rPr>
          <w:rFonts w:ascii="Times New Roman" w:hAnsi="Times New Roman"/>
          <w:i/>
          <w:noProof/>
          <w:lang w:eastAsia="en-GB"/>
        </w:rPr>
        <w:drawing>
          <wp:inline distT="0" distB="0" distL="0" distR="0">
            <wp:extent cx="5975268" cy="394959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81990" cy="3954037"/>
                    </a:xfrm>
                    <a:prstGeom prst="rect">
                      <a:avLst/>
                    </a:prstGeom>
                    <a:noFill/>
                  </pic:spPr>
                </pic:pic>
              </a:graphicData>
            </a:graphic>
          </wp:inline>
        </w:drawing>
      </w:r>
    </w:p>
    <w:p w:rsidR="00B54C1A" w:rsidRDefault="00B54C1A">
      <w:pPr>
        <w:spacing w:after="0"/>
        <w:rPr>
          <w:rFonts w:ascii="Times New Roman" w:hAnsi="Times New Roman"/>
          <w:b/>
          <w:noProof/>
        </w:rPr>
      </w:pPr>
    </w:p>
    <w:p w:rsidR="00B54C1A" w:rsidRDefault="00BA5FEF">
      <w:pPr>
        <w:spacing w:after="0"/>
        <w:rPr>
          <w:rFonts w:ascii="Times New Roman" w:hAnsi="Times New Roman"/>
          <w:b/>
          <w:noProof/>
        </w:rPr>
      </w:pPr>
      <w:r>
        <w:rPr>
          <w:rFonts w:ascii="Times New Roman" w:hAnsi="Times New Roman"/>
          <w:b/>
          <w:noProof/>
        </w:rPr>
        <w:t xml:space="preserve">Average EGF amount requested per beneficiary and per Member State:    4 229 </w:t>
      </w:r>
      <w:r>
        <w:rPr>
          <w:rFonts w:ascii="Times New Roman" w:eastAsia="Times New Roman" w:hAnsi="Times New Roman" w:cs="Times New Roman"/>
          <w:b/>
          <w:bCs/>
          <w:noProof/>
          <w:color w:val="000000"/>
          <w:lang w:eastAsia="en-GB"/>
        </w:rPr>
        <w:t>€</w:t>
      </w:r>
    </w:p>
    <w:p w:rsidR="00B54C1A" w:rsidRDefault="00B54C1A">
      <w:pPr>
        <w:spacing w:after="0"/>
        <w:rPr>
          <w:rFonts w:ascii="Times New Roman" w:hAnsi="Times New Roman"/>
          <w:b/>
          <w:noProof/>
        </w:rPr>
      </w:pPr>
    </w:p>
    <w:p w:rsidR="00B54C1A" w:rsidRDefault="00BA5FEF">
      <w:pPr>
        <w:jc w:val="both"/>
        <w:rPr>
          <w:rFonts w:ascii="Times New Roman" w:hAnsi="Times New Roman"/>
          <w:noProof/>
        </w:rPr>
      </w:pPr>
      <w:r>
        <w:rPr>
          <w:rFonts w:ascii="Times New Roman" w:hAnsi="Times New Roman"/>
          <w:noProof/>
        </w:rPr>
        <w:t xml:space="preserve">On average, each of the 20 Member States applying for EGF support from 2007 to 2016, requested EUR 4 219 per targeted beneficiary. </w:t>
      </w:r>
      <w:r>
        <w:rPr>
          <w:rFonts w:ascii="Times New Roman" w:hAnsi="Times New Roman" w:cs="Times New Roman"/>
          <w:noProof/>
        </w:rPr>
        <w:t>The amount requested per targeted beneficiary can vary according to the severity of the lay-offs, the situation of the labour</w:t>
      </w:r>
      <w:r>
        <w:rPr>
          <w:rFonts w:ascii="Times New Roman" w:hAnsi="Times New Roman" w:cs="Times New Roman"/>
          <w:noProof/>
        </w:rPr>
        <w:t>-market affected, the individual circumstances of the targeted beneficiaries, the measures already provided by the Member State, and the cost of providing the services in the Member State or region concerned.</w:t>
      </w:r>
      <w:r>
        <w:rPr>
          <w:rFonts w:ascii="Times New Roman" w:hAnsi="Times New Roman"/>
          <w:noProof/>
        </w:rPr>
        <w:t xml:space="preserve"> The highest amount per beneficiary was requeste</w:t>
      </w:r>
      <w:r>
        <w:rPr>
          <w:rFonts w:ascii="Times New Roman" w:hAnsi="Times New Roman"/>
          <w:noProof/>
        </w:rPr>
        <w:t xml:space="preserve">d by Austria (EUR 14 343), followed by Denmark (EUR  10 215). </w:t>
      </w:r>
    </w:p>
    <w:sectPr w:rsidR="00B54C1A">
      <w:headerReference w:type="even" r:id="rId71"/>
      <w:headerReference w:type="default" r:id="rId72"/>
      <w:footerReference w:type="even" r:id="rId73"/>
      <w:footerReference w:type="default" r:id="rId74"/>
      <w:headerReference w:type="first" r:id="rId75"/>
      <w:footerReference w:type="firs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FEF" w:rsidRDefault="00BA5FEF">
      <w:pPr>
        <w:spacing w:after="0" w:line="240" w:lineRule="auto"/>
      </w:pPr>
      <w:r>
        <w:separator/>
      </w:r>
    </w:p>
  </w:endnote>
  <w:endnote w:type="continuationSeparator" w:id="0">
    <w:p w:rsidR="00BA5FEF" w:rsidRDefault="00BA5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550385"/>
      <w:docPartObj>
        <w:docPartGallery w:val="Page Numbers (Bottom of Page)"/>
        <w:docPartUnique/>
      </w:docPartObj>
    </w:sdtPr>
    <w:sdtEndPr>
      <w:rPr>
        <w:noProof/>
      </w:rPr>
    </w:sdtEndPr>
    <w:sdtContent>
      <w:p w:rsidR="00B54C1A" w:rsidRDefault="00BA5FEF">
        <w:pPr>
          <w:pStyle w:val="Footer"/>
          <w:jc w:val="center"/>
        </w:pPr>
        <w:r>
          <w:fldChar w:fldCharType="begin"/>
        </w:r>
        <w:r>
          <w:instrText xml:space="preserve"> PAGE   \* MERGEFORMAT </w:instrText>
        </w:r>
        <w:r>
          <w:fldChar w:fldCharType="separate"/>
        </w:r>
        <w:r w:rsidR="00335B79">
          <w:rPr>
            <w:noProof/>
          </w:rPr>
          <w:t>13</w:t>
        </w:r>
        <w:r>
          <w:rPr>
            <w:noProof/>
          </w:rPr>
          <w:fldChar w:fldCharType="end"/>
        </w:r>
      </w:p>
    </w:sdtContent>
  </w:sdt>
  <w:p w:rsidR="00B54C1A" w:rsidRDefault="00B54C1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170827"/>
      <w:docPartObj>
        <w:docPartGallery w:val="Page Numbers (Bottom of Page)"/>
        <w:docPartUnique/>
      </w:docPartObj>
    </w:sdtPr>
    <w:sdtEndPr>
      <w:rPr>
        <w:noProof/>
      </w:rPr>
    </w:sdtEndPr>
    <w:sdtContent>
      <w:p w:rsidR="00B54C1A" w:rsidRDefault="00BA5FEF">
        <w:pPr>
          <w:pStyle w:val="Footer"/>
          <w:jc w:val="center"/>
        </w:pPr>
        <w:r>
          <w:fldChar w:fldCharType="begin"/>
        </w:r>
        <w:r>
          <w:instrText xml:space="preserve"> PAGE   \* MERGEFORMAT </w:instrText>
        </w:r>
        <w:r>
          <w:fldChar w:fldCharType="separate"/>
        </w:r>
        <w:r w:rsidR="00335B79">
          <w:rPr>
            <w:noProof/>
          </w:rPr>
          <w:t>15</w:t>
        </w:r>
        <w:r>
          <w:rPr>
            <w:noProof/>
          </w:rPr>
          <w:fldChar w:fldCharType="end"/>
        </w:r>
      </w:p>
    </w:sdtContent>
  </w:sdt>
  <w:p w:rsidR="00B54C1A" w:rsidRDefault="00B54C1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9144"/>
      <w:docPartObj>
        <w:docPartGallery w:val="Page Numbers (Bottom of Page)"/>
        <w:docPartUnique/>
      </w:docPartObj>
    </w:sdtPr>
    <w:sdtEndPr>
      <w:rPr>
        <w:noProof/>
      </w:rPr>
    </w:sdtEndPr>
    <w:sdtContent>
      <w:p w:rsidR="00B54C1A" w:rsidRDefault="00BA5FEF">
        <w:pPr>
          <w:pStyle w:val="Footer"/>
          <w:jc w:val="center"/>
        </w:pPr>
        <w:r>
          <w:fldChar w:fldCharType="begin"/>
        </w:r>
        <w:r>
          <w:instrText xml:space="preserve"> PAGE   \* MERGEFORMAT </w:instrText>
        </w:r>
        <w:r>
          <w:fldChar w:fldCharType="separate"/>
        </w:r>
        <w:r w:rsidR="00335B79">
          <w:rPr>
            <w:noProof/>
          </w:rPr>
          <w:t>18</w:t>
        </w:r>
        <w:r>
          <w:rPr>
            <w:noProof/>
          </w:rPr>
          <w:fldChar w:fldCharType="end"/>
        </w:r>
      </w:p>
    </w:sdtContent>
  </w:sdt>
  <w:p w:rsidR="00B54C1A" w:rsidRDefault="00B54C1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A5FEF">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121334"/>
      <w:docPartObj>
        <w:docPartGallery w:val="Page Numbers (Bottom of Page)"/>
        <w:docPartUnique/>
      </w:docPartObj>
    </w:sdtPr>
    <w:sdtEndPr>
      <w:rPr>
        <w:noProof/>
      </w:rPr>
    </w:sdtEndPr>
    <w:sdtContent>
      <w:p w:rsidR="00B54C1A" w:rsidRDefault="00BA5FEF">
        <w:pPr>
          <w:pStyle w:val="Footer"/>
          <w:jc w:val="center"/>
        </w:pPr>
        <w:r>
          <w:fldChar w:fldCharType="begin"/>
        </w:r>
        <w:r>
          <w:instrText xml:space="preserve"> PAGE   \* MERGEFORMAT </w:instrText>
        </w:r>
        <w:r>
          <w:fldChar w:fldCharType="separate"/>
        </w:r>
        <w:r w:rsidR="00335B79">
          <w:rPr>
            <w:noProof/>
          </w:rPr>
          <w:t>20</w:t>
        </w:r>
        <w:r>
          <w:rPr>
            <w:noProof/>
          </w:rPr>
          <w:fldChar w:fldCharType="end"/>
        </w:r>
      </w:p>
    </w:sdtContent>
  </w:sdt>
  <w:p w:rsidR="00B54C1A" w:rsidRDefault="00B54C1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019227"/>
      <w:docPartObj>
        <w:docPartGallery w:val="Page Numbers (Bottom of Page)"/>
        <w:docPartUnique/>
      </w:docPartObj>
    </w:sdtPr>
    <w:sdtEndPr>
      <w:rPr>
        <w:noProof/>
      </w:rPr>
    </w:sdtEndPr>
    <w:sdtContent>
      <w:p w:rsidR="00B54C1A" w:rsidRDefault="00BA5FEF">
        <w:pPr>
          <w:pStyle w:val="Footer"/>
          <w:jc w:val="center"/>
        </w:pPr>
        <w:r>
          <w:fldChar w:fldCharType="begin"/>
        </w:r>
        <w:r>
          <w:instrText xml:space="preserve"> PAGE   \* MERGEFORMAT </w:instrText>
        </w:r>
        <w:r>
          <w:fldChar w:fldCharType="separate"/>
        </w:r>
        <w:r w:rsidR="00335B79">
          <w:rPr>
            <w:noProof/>
          </w:rPr>
          <w:t>31</w:t>
        </w:r>
        <w:r>
          <w:rPr>
            <w:noProof/>
          </w:rPr>
          <w:fldChar w:fldCharType="end"/>
        </w:r>
      </w:p>
    </w:sdtContent>
  </w:sdt>
  <w:p w:rsidR="00B54C1A" w:rsidRDefault="00B54C1A">
    <w:pPr>
      <w:pStyle w:val="Footer"/>
      <w:jc w:val="center"/>
      <w:rPr>
        <w:lang w:val="fr-BE"/>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92784"/>
      <w:docPartObj>
        <w:docPartGallery w:val="Page Numbers (Bottom of Page)"/>
        <w:docPartUnique/>
      </w:docPartObj>
    </w:sdtPr>
    <w:sdtEndPr>
      <w:rPr>
        <w:noProof/>
      </w:rPr>
    </w:sdtEndPr>
    <w:sdtContent>
      <w:p w:rsidR="00B54C1A" w:rsidRDefault="00BA5FEF">
        <w:pPr>
          <w:pStyle w:val="Footer"/>
          <w:jc w:val="center"/>
        </w:pPr>
        <w:r>
          <w:fldChar w:fldCharType="begin"/>
        </w:r>
        <w:r>
          <w:instrText xml:space="preserve"> PAGE   \* MERGEFORMAT </w:instrText>
        </w:r>
        <w:r>
          <w:fldChar w:fldCharType="separate"/>
        </w:r>
        <w:r w:rsidR="00335B79">
          <w:rPr>
            <w:noProof/>
          </w:rPr>
          <w:t>5</w:t>
        </w:r>
        <w:r>
          <w:rPr>
            <w:noProof/>
          </w:rPr>
          <w:fldChar w:fldCharType="end"/>
        </w:r>
      </w:p>
    </w:sdtContent>
  </w:sdt>
  <w:p w:rsidR="00B54C1A" w:rsidRDefault="00B54C1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638106"/>
      <w:docPartObj>
        <w:docPartGallery w:val="Page Numbers (Bottom of Page)"/>
        <w:docPartUnique/>
      </w:docPartObj>
    </w:sdtPr>
    <w:sdtEndPr>
      <w:rPr>
        <w:noProof/>
      </w:rPr>
    </w:sdtEndPr>
    <w:sdtContent>
      <w:p w:rsidR="00B54C1A" w:rsidRDefault="00BA5FEF">
        <w:pPr>
          <w:pStyle w:val="Footer"/>
          <w:jc w:val="center"/>
        </w:pPr>
        <w:r>
          <w:fldChar w:fldCharType="begin"/>
        </w:r>
        <w:r>
          <w:instrText xml:space="preserve"> PAGE   \* MERGEFORMAT </w:instrText>
        </w:r>
        <w:r>
          <w:fldChar w:fldCharType="separate"/>
        </w:r>
        <w:r w:rsidR="00335B79">
          <w:rPr>
            <w:noProof/>
          </w:rPr>
          <w:t>6</w:t>
        </w:r>
        <w:r>
          <w:rPr>
            <w:noProof/>
          </w:rPr>
          <w:fldChar w:fldCharType="end"/>
        </w:r>
      </w:p>
    </w:sdtContent>
  </w:sdt>
  <w:p w:rsidR="00B54C1A" w:rsidRDefault="00B54C1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FEF" w:rsidRDefault="00BA5FEF">
      <w:pPr>
        <w:spacing w:after="0" w:line="240" w:lineRule="auto"/>
      </w:pPr>
      <w:r>
        <w:separator/>
      </w:r>
    </w:p>
  </w:footnote>
  <w:footnote w:type="continuationSeparator" w:id="0">
    <w:p w:rsidR="00BA5FEF" w:rsidRDefault="00BA5FEF">
      <w:pPr>
        <w:spacing w:after="0" w:line="240" w:lineRule="auto"/>
      </w:pPr>
      <w:r>
        <w:continuationSeparator/>
      </w:r>
    </w:p>
  </w:footnote>
  <w:footnote w:id="1">
    <w:p w:rsidR="00B54C1A" w:rsidRDefault="00BA5FEF">
      <w:pPr>
        <w:pStyle w:val="FootnoteText"/>
        <w:jc w:val="both"/>
        <w:rPr>
          <w:rFonts w:cs="Times New Roman"/>
          <w:sz w:val="18"/>
          <w:szCs w:val="18"/>
        </w:rPr>
      </w:pPr>
      <w:r>
        <w:rPr>
          <w:rStyle w:val="FootnoteReference"/>
          <w:rFonts w:cs="Times New Roman"/>
          <w:szCs w:val="18"/>
        </w:rPr>
        <w:footnoteRef/>
      </w:r>
      <w:r>
        <w:rPr>
          <w:rFonts w:cs="Times New Roman"/>
          <w:sz w:val="18"/>
          <w:szCs w:val="18"/>
        </w:rPr>
        <w:t xml:space="preserve"> Regulation (EC) No 1927/2006 of the European Parliament and of the Council of 20 December 2006 on establishing the European Globalisation Adjustment Fund </w:t>
      </w:r>
    </w:p>
    <w:p w:rsidR="00B54C1A" w:rsidRDefault="00B54C1A">
      <w:pPr>
        <w:pStyle w:val="FootnoteText"/>
        <w:jc w:val="both"/>
        <w:rPr>
          <w:rFonts w:cs="Times New Roman"/>
          <w:sz w:val="18"/>
          <w:szCs w:val="18"/>
        </w:rPr>
      </w:pPr>
    </w:p>
  </w:footnote>
  <w:footnote w:id="2">
    <w:p w:rsidR="00B54C1A" w:rsidRDefault="00BA5FEF">
      <w:pPr>
        <w:pStyle w:val="FootnoteText"/>
        <w:jc w:val="both"/>
        <w:rPr>
          <w:rFonts w:cs="Times New Roman"/>
          <w:sz w:val="18"/>
          <w:szCs w:val="18"/>
        </w:rPr>
      </w:pPr>
      <w:r>
        <w:rPr>
          <w:rStyle w:val="FootnoteReference"/>
          <w:rFonts w:cs="Times New Roman"/>
          <w:szCs w:val="18"/>
        </w:rPr>
        <w:footnoteRef/>
      </w:r>
      <w:r>
        <w:rPr>
          <w:rFonts w:cs="Times New Roman"/>
          <w:sz w:val="18"/>
          <w:szCs w:val="18"/>
        </w:rPr>
        <w:t xml:space="preserve"> Regulation (EC) No 546/2009 of the European Parliament and of the Council of 18 June 2009 amendin</w:t>
      </w:r>
      <w:r>
        <w:rPr>
          <w:rFonts w:cs="Times New Roman"/>
          <w:sz w:val="18"/>
          <w:szCs w:val="18"/>
        </w:rPr>
        <w:t>g Regulation (EC) No 1927/2006 on establishing the European Globalisation Adjustment Fund introduced a temporary derogation broadening the scope of the EGF to the global financial and economic crisis and increasing the EGF co-funding up to 65% of the total</w:t>
      </w:r>
      <w:r>
        <w:rPr>
          <w:rFonts w:cs="Times New Roman"/>
          <w:sz w:val="18"/>
          <w:szCs w:val="18"/>
        </w:rPr>
        <w:t xml:space="preserve"> cost , which applied to all applications received from 1 </w:t>
      </w:r>
      <w:r>
        <w:rPr>
          <w:rFonts w:cs="Times New Roman"/>
          <w:sz w:val="18"/>
          <w:szCs w:val="18"/>
          <w:lang w:val="en-US"/>
        </w:rPr>
        <w:t>May</w:t>
      </w:r>
      <w:r>
        <w:rPr>
          <w:rFonts w:cs="Times New Roman"/>
          <w:sz w:val="18"/>
          <w:szCs w:val="18"/>
        </w:rPr>
        <w:t xml:space="preserve"> 2009 to 31 December 2011 </w:t>
      </w:r>
    </w:p>
    <w:p w:rsidR="00B54C1A" w:rsidRDefault="00B54C1A">
      <w:pPr>
        <w:pStyle w:val="FootnoteText"/>
        <w:jc w:val="both"/>
        <w:rPr>
          <w:rFonts w:cs="Times New Roman"/>
          <w:sz w:val="18"/>
          <w:szCs w:val="18"/>
        </w:rPr>
      </w:pPr>
    </w:p>
  </w:footnote>
  <w:footnote w:id="3">
    <w:p w:rsidR="00B54C1A" w:rsidRDefault="00BA5FEF">
      <w:pPr>
        <w:pStyle w:val="FootnoteText"/>
        <w:jc w:val="both"/>
        <w:rPr>
          <w:rFonts w:cs="Times New Roman"/>
          <w:sz w:val="18"/>
          <w:szCs w:val="18"/>
        </w:rPr>
      </w:pPr>
      <w:r>
        <w:rPr>
          <w:rStyle w:val="FootnoteReference"/>
          <w:rFonts w:cs="Times New Roman"/>
          <w:szCs w:val="18"/>
        </w:rPr>
        <w:footnoteRef/>
      </w:r>
      <w:r>
        <w:rPr>
          <w:rStyle w:val="FootnoteReference"/>
        </w:rPr>
        <w:t xml:space="preserve"> </w:t>
      </w:r>
      <w:r>
        <w:rPr>
          <w:rFonts w:cs="Times New Roman"/>
          <w:sz w:val="18"/>
          <w:szCs w:val="18"/>
        </w:rPr>
        <w:t xml:space="preserve">Regulation (EU) No 1309/2013 of the European Parliament and of the Council of 17 December 2013 on the European Globalisation Adjustment Fund (2014-2020) and </w:t>
      </w:r>
      <w:r>
        <w:rPr>
          <w:rFonts w:cs="Times New Roman"/>
          <w:sz w:val="18"/>
          <w:szCs w:val="18"/>
        </w:rPr>
        <w:t>repealing Regulation (EC) No 1927/2006</w:t>
      </w:r>
    </w:p>
    <w:p w:rsidR="00B54C1A" w:rsidRDefault="00B54C1A">
      <w:pPr>
        <w:pStyle w:val="FootnoteText"/>
        <w:jc w:val="both"/>
        <w:rPr>
          <w:rFonts w:cs="Times New Roman"/>
        </w:rPr>
      </w:pPr>
    </w:p>
  </w:footnote>
  <w:footnote w:id="4">
    <w:p w:rsidR="00B54C1A" w:rsidRDefault="00BA5FEF">
      <w:pPr>
        <w:pStyle w:val="FootnoteText"/>
        <w:rPr>
          <w:sz w:val="18"/>
          <w:szCs w:val="18"/>
        </w:rPr>
      </w:pPr>
      <w:r>
        <w:rPr>
          <w:rStyle w:val="FootnoteReference"/>
          <w:rFonts w:cs="Times New Roman"/>
          <w:szCs w:val="18"/>
        </w:rPr>
        <w:footnoteRef/>
      </w:r>
      <w:r>
        <w:rPr>
          <w:rStyle w:val="FootnoteReference"/>
          <w:rFonts w:cs="Times New Roman"/>
        </w:rPr>
        <w:t xml:space="preserve"> </w:t>
      </w:r>
      <w:r>
        <w:rPr>
          <w:sz w:val="18"/>
          <w:szCs w:val="18"/>
        </w:rPr>
        <w:t>The prolongation of this derogation until the end of the 2014-2020 programming period has been proposed by the Commission and is under discussion within the MFF review.</w:t>
      </w:r>
    </w:p>
  </w:footnote>
  <w:footnote w:id="5">
    <w:p w:rsidR="00B54C1A" w:rsidRDefault="00BA5FEF">
      <w:pPr>
        <w:pStyle w:val="FootnoteText"/>
        <w:rPr>
          <w:rFonts w:cs="Times New Roman"/>
          <w:color w:val="000000" w:themeColor="text1"/>
          <w:sz w:val="18"/>
          <w:szCs w:val="18"/>
        </w:rPr>
      </w:pPr>
      <w:r>
        <w:rPr>
          <w:rStyle w:val="FootnoteReference"/>
          <w:rFonts w:cs="Times New Roman"/>
          <w:szCs w:val="18"/>
        </w:rPr>
        <w:footnoteRef/>
      </w:r>
      <w:r>
        <w:rPr>
          <w:rStyle w:val="FootnoteReference"/>
        </w:rPr>
        <w:t xml:space="preserve"> </w:t>
      </w:r>
      <w:r>
        <w:rPr>
          <w:rFonts w:cs="Times New Roman"/>
          <w:color w:val="000000" w:themeColor="text1"/>
          <w:sz w:val="18"/>
          <w:szCs w:val="18"/>
        </w:rPr>
        <w:t>Applications received from the 1st of Janua</w:t>
      </w:r>
      <w:r>
        <w:rPr>
          <w:rFonts w:cs="Times New Roman"/>
          <w:color w:val="000000" w:themeColor="text1"/>
          <w:sz w:val="18"/>
          <w:szCs w:val="18"/>
        </w:rPr>
        <w:t xml:space="preserve">ry 2015 until the 31st of December 2016. </w:t>
      </w:r>
    </w:p>
  </w:footnote>
  <w:footnote w:id="6">
    <w:p w:rsidR="00B54C1A" w:rsidRDefault="00BA5FEF">
      <w:pPr>
        <w:spacing w:after="0"/>
        <w:rPr>
          <w:rFonts w:cs="Times New Roman"/>
          <w:sz w:val="18"/>
          <w:szCs w:val="18"/>
        </w:rPr>
      </w:pPr>
      <w:r>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Pr>
          <w:rFonts w:ascii="Times New Roman" w:hAnsi="Times New Roman" w:cs="Times New Roman"/>
          <w:color w:val="000000" w:themeColor="text1"/>
          <w:sz w:val="18"/>
          <w:szCs w:val="18"/>
        </w:rPr>
        <w:t>Detailed information regarding the applications withdrawn is given in section 3.3.</w:t>
      </w:r>
      <w:r>
        <w:rPr>
          <w:rFonts w:ascii="Times New Roman" w:hAnsi="Times New Roman" w:cs="Times New Roman"/>
          <w:sz w:val="18"/>
          <w:szCs w:val="18"/>
        </w:rPr>
        <w:t xml:space="preserve"> </w:t>
      </w:r>
    </w:p>
  </w:footnote>
  <w:footnote w:id="7">
    <w:p w:rsidR="00B54C1A" w:rsidRDefault="00BA5FEF">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This amount does not include technical assistance decisions </w:t>
      </w:r>
    </w:p>
  </w:footnote>
  <w:footnote w:id="8">
    <w:p w:rsidR="00B54C1A" w:rsidRDefault="00BA5FEF">
      <w:pPr>
        <w:pStyle w:val="FootnoteText"/>
        <w:rPr>
          <w:sz w:val="18"/>
          <w:szCs w:val="18"/>
        </w:rPr>
      </w:pPr>
      <w:r>
        <w:rPr>
          <w:rStyle w:val="FootnoteReference"/>
          <w:rFonts w:cs="Times New Roman"/>
          <w:sz w:val="18"/>
          <w:szCs w:val="18"/>
        </w:rPr>
        <w:footnoteRef/>
      </w:r>
      <w:r>
        <w:rPr>
          <w:rStyle w:val="FootnoteReference"/>
          <w:rFonts w:cs="Times New Roman"/>
          <w:sz w:val="18"/>
          <w:szCs w:val="18"/>
        </w:rPr>
        <w:t xml:space="preserve"> </w:t>
      </w:r>
      <w:proofErr w:type="gramStart"/>
      <w:r>
        <w:rPr>
          <w:rFonts w:cs="Times New Roman"/>
          <w:sz w:val="18"/>
          <w:szCs w:val="18"/>
        </w:rPr>
        <w:t>COM(</w:t>
      </w:r>
      <w:proofErr w:type="gramEnd"/>
      <w:r>
        <w:rPr>
          <w:rFonts w:cs="Times New Roman"/>
          <w:sz w:val="18"/>
          <w:szCs w:val="18"/>
        </w:rPr>
        <w:t>2016) 605 final.</w:t>
      </w:r>
    </w:p>
  </w:footnote>
  <w:footnote w:id="9">
    <w:p w:rsidR="00B54C1A" w:rsidRDefault="00BA5FEF">
      <w:pPr>
        <w:spacing w:after="0"/>
        <w:jc w:val="both"/>
        <w:rPr>
          <w:sz w:val="18"/>
          <w:szCs w:val="18"/>
        </w:rPr>
      </w:pPr>
      <w:r>
        <w:rPr>
          <w:rStyle w:val="FootnoteReference"/>
          <w:rFonts w:cs="Times New Roman"/>
          <w:sz w:val="20"/>
        </w:rPr>
        <w:footnoteRef/>
      </w:r>
      <w:r>
        <w:rPr>
          <w:rStyle w:val="FootnoteReference"/>
          <w:rFonts w:cs="Times New Roman"/>
          <w:sz w:val="20"/>
        </w:rPr>
        <w:t xml:space="preserve"> </w:t>
      </w:r>
      <w:r>
        <w:rPr>
          <w:rFonts w:ascii="Times New Roman" w:hAnsi="Times New Roman"/>
          <w:sz w:val="18"/>
          <w:szCs w:val="18"/>
        </w:rPr>
        <w:t xml:space="preserve">The term 'beneficiary' refers in this </w:t>
      </w:r>
      <w:r>
        <w:rPr>
          <w:rFonts w:ascii="Times New Roman" w:hAnsi="Times New Roman"/>
          <w:sz w:val="18"/>
          <w:szCs w:val="18"/>
        </w:rPr>
        <w:t>report to targeted workers and NEETs.</w:t>
      </w:r>
    </w:p>
  </w:footnote>
  <w:footnote w:id="10">
    <w:p w:rsidR="00B54C1A" w:rsidRDefault="00BA5FEF">
      <w:pPr>
        <w:pStyle w:val="FootnoteText"/>
        <w:rPr>
          <w:sz w:val="18"/>
          <w:szCs w:val="18"/>
        </w:rPr>
      </w:pPr>
      <w:r>
        <w:rPr>
          <w:rStyle w:val="FootnoteReference"/>
          <w:rFonts w:cs="Times New Roman"/>
          <w:szCs w:val="18"/>
        </w:rPr>
        <w:footnoteRef/>
      </w:r>
      <w:r>
        <w:rPr>
          <w:sz w:val="18"/>
          <w:szCs w:val="18"/>
        </w:rPr>
        <w:t xml:space="preserve"> Table 2 lists the details of the contributions granted in 2015 and 2016 while the Table 1 lists details of the applications received in 2015 and 2016. The cases in each table may differ. </w:t>
      </w:r>
    </w:p>
  </w:footnote>
  <w:footnote w:id="11">
    <w:p w:rsidR="00B54C1A" w:rsidRDefault="00BA5FEF">
      <w:pPr>
        <w:pStyle w:val="FootnoteText"/>
        <w:rPr>
          <w:sz w:val="18"/>
          <w:szCs w:val="18"/>
        </w:rPr>
      </w:pPr>
      <w:r>
        <w:rPr>
          <w:rStyle w:val="FootnoteReference"/>
          <w:rFonts w:cs="Times New Roman"/>
          <w:szCs w:val="18"/>
        </w:rPr>
        <w:footnoteRef/>
      </w:r>
      <w:r>
        <w:rPr>
          <w:rStyle w:val="FootnoteReference"/>
          <w:rFonts w:cs="Times New Roman"/>
        </w:rPr>
        <w:t xml:space="preserve"> </w:t>
      </w:r>
      <w:r>
        <w:rPr>
          <w:sz w:val="18"/>
          <w:szCs w:val="18"/>
        </w:rPr>
        <w:t>The three cases EGF/2013/0</w:t>
      </w:r>
      <w:r>
        <w:rPr>
          <w:sz w:val="18"/>
          <w:szCs w:val="18"/>
        </w:rPr>
        <w:t xml:space="preserve">07 </w:t>
      </w:r>
      <w:proofErr w:type="gramStart"/>
      <w:r>
        <w:rPr>
          <w:sz w:val="18"/>
          <w:szCs w:val="18"/>
        </w:rPr>
        <w:t>BE/</w:t>
      </w:r>
      <w:proofErr w:type="gramEnd"/>
      <w:r>
        <w:rPr>
          <w:sz w:val="18"/>
          <w:szCs w:val="18"/>
        </w:rPr>
        <w:t>Hainaut Steel, EGF/2013/009 PL/</w:t>
      </w:r>
      <w:proofErr w:type="spellStart"/>
      <w:r>
        <w:rPr>
          <w:sz w:val="18"/>
          <w:szCs w:val="18"/>
        </w:rPr>
        <w:t>Zachem</w:t>
      </w:r>
      <w:proofErr w:type="spellEnd"/>
      <w:r>
        <w:rPr>
          <w:sz w:val="18"/>
          <w:szCs w:val="18"/>
        </w:rPr>
        <w:t xml:space="preserve"> and EGF/2013/011 and BE/Saint-Gobain </w:t>
      </w:r>
      <w:proofErr w:type="spellStart"/>
      <w:r>
        <w:rPr>
          <w:sz w:val="18"/>
          <w:szCs w:val="18"/>
        </w:rPr>
        <w:t>Sekurit</w:t>
      </w:r>
      <w:proofErr w:type="spellEnd"/>
      <w:r>
        <w:rPr>
          <w:sz w:val="18"/>
          <w:szCs w:val="18"/>
        </w:rPr>
        <w:t xml:space="preserve"> were received before 2014, therefore the old Regulation (EC) No 1927/2006 still applied. </w:t>
      </w:r>
    </w:p>
  </w:footnote>
  <w:footnote w:id="12">
    <w:p w:rsidR="00B54C1A" w:rsidRDefault="00BA5FEF">
      <w:pPr>
        <w:pStyle w:val="FootnoteText"/>
      </w:pPr>
      <w:r>
        <w:rPr>
          <w:rStyle w:val="FootnoteReference"/>
        </w:rPr>
        <w:footnoteRef/>
      </w:r>
      <w:r>
        <w:t xml:space="preserve"> </w:t>
      </w:r>
      <w:r>
        <w:rPr>
          <w:sz w:val="18"/>
          <w:szCs w:val="18"/>
          <w:lang w:val="en-US"/>
        </w:rPr>
        <w:t>This amount does not include technical assistance decisions.</w:t>
      </w:r>
    </w:p>
  </w:footnote>
  <w:footnote w:id="13">
    <w:p w:rsidR="00B54C1A" w:rsidRDefault="00BA5FEF">
      <w:pPr>
        <w:pStyle w:val="FootnoteText"/>
        <w:jc w:val="both"/>
        <w:rPr>
          <w:rFonts w:cs="Times New Roman"/>
          <w:sz w:val="18"/>
          <w:szCs w:val="18"/>
        </w:rPr>
      </w:pPr>
      <w:r>
        <w:rPr>
          <w:rStyle w:val="FootnoteReference"/>
          <w:rFonts w:cs="Times New Roman"/>
          <w:szCs w:val="18"/>
        </w:rPr>
        <w:footnoteRef/>
      </w:r>
      <w:r>
        <w:rPr>
          <w:rFonts w:cs="Times New Roman"/>
          <w:sz w:val="18"/>
          <w:szCs w:val="18"/>
        </w:rPr>
        <w:t xml:space="preserve"> </w:t>
      </w:r>
      <w:proofErr w:type="gramStart"/>
      <w:r>
        <w:rPr>
          <w:rFonts w:cs="Times New Roman"/>
          <w:sz w:val="18"/>
          <w:szCs w:val="18"/>
        </w:rPr>
        <w:t>Council Reco</w:t>
      </w:r>
      <w:r>
        <w:rPr>
          <w:rFonts w:cs="Times New Roman"/>
          <w:sz w:val="18"/>
          <w:szCs w:val="18"/>
        </w:rPr>
        <w:t>mmendation of 22 April 2013 on establishing a Youth Guarantee (OJ C 120 of 26.4.2013).</w:t>
      </w:r>
      <w:proofErr w:type="gramEnd"/>
      <w:r>
        <w:rPr>
          <w:rFonts w:cs="Times New Roman"/>
          <w:sz w:val="18"/>
          <w:szCs w:val="18"/>
        </w:rPr>
        <w:t xml:space="preserve"> The number of NEETs supported by the EGF must not exceed the number of targeted beneficiaries. </w:t>
      </w:r>
    </w:p>
  </w:footnote>
  <w:footnote w:id="14">
    <w:p w:rsidR="00B54C1A" w:rsidRDefault="00BA5FEF">
      <w:pPr>
        <w:pStyle w:val="FootnoteText"/>
        <w:rPr>
          <w:sz w:val="18"/>
          <w:szCs w:val="18"/>
        </w:rPr>
      </w:pPr>
      <w:r>
        <w:rPr>
          <w:rStyle w:val="FootnoteReference"/>
          <w:rFonts w:cs="Times New Roman"/>
          <w:szCs w:val="18"/>
        </w:rPr>
        <w:footnoteRef/>
      </w:r>
      <w:r>
        <w:rPr>
          <w:sz w:val="18"/>
          <w:szCs w:val="18"/>
        </w:rPr>
        <w:t xml:space="preserve"> The results for the case EGF/2012/006 FI/Nokia </w:t>
      </w:r>
      <w:proofErr w:type="spellStart"/>
      <w:r>
        <w:rPr>
          <w:sz w:val="18"/>
          <w:szCs w:val="18"/>
        </w:rPr>
        <w:t>Salo</w:t>
      </w:r>
      <w:proofErr w:type="spellEnd"/>
      <w:r>
        <w:rPr>
          <w:sz w:val="18"/>
          <w:szCs w:val="18"/>
        </w:rPr>
        <w:t xml:space="preserve"> were presented in t</w:t>
      </w:r>
      <w:r>
        <w:rPr>
          <w:sz w:val="18"/>
          <w:szCs w:val="18"/>
        </w:rPr>
        <w:t xml:space="preserve">he previous Biennial report, </w:t>
      </w:r>
      <w:proofErr w:type="gramStart"/>
      <w:r>
        <w:rPr>
          <w:sz w:val="18"/>
          <w:szCs w:val="18"/>
        </w:rPr>
        <w:t>since  the</w:t>
      </w:r>
      <w:proofErr w:type="gramEnd"/>
      <w:r>
        <w:rPr>
          <w:sz w:val="18"/>
          <w:szCs w:val="18"/>
        </w:rPr>
        <w:t xml:space="preserve"> final report was submitted in 2014 despite the deadline set for 2015.</w:t>
      </w:r>
    </w:p>
  </w:footnote>
  <w:footnote w:id="15">
    <w:p w:rsidR="00B54C1A" w:rsidRDefault="00BA5FEF">
      <w:pPr>
        <w:pStyle w:val="FootnoteText"/>
        <w:jc w:val="both"/>
        <w:rPr>
          <w:rFonts w:cs="Times New Roman"/>
          <w:sz w:val="18"/>
          <w:szCs w:val="18"/>
        </w:rPr>
      </w:pPr>
      <w:r>
        <w:rPr>
          <w:rStyle w:val="FootnoteReference"/>
          <w:rFonts w:cs="Times New Roman"/>
          <w:szCs w:val="18"/>
        </w:rPr>
        <w:footnoteRef/>
      </w:r>
      <w:r>
        <w:rPr>
          <w:rStyle w:val="FootnoteReference"/>
          <w:rFonts w:cs="Times New Roman"/>
          <w:szCs w:val="18"/>
        </w:rPr>
        <w:t xml:space="preserve"> </w:t>
      </w:r>
      <w:r>
        <w:rPr>
          <w:rFonts w:cs="Times New Roman"/>
          <w:sz w:val="18"/>
          <w:szCs w:val="18"/>
        </w:rPr>
        <w:t xml:space="preserve">Final reports are to be submitted six months after the end of implementation. </w:t>
      </w:r>
    </w:p>
    <w:p w:rsidR="00B54C1A" w:rsidRDefault="00B54C1A">
      <w:pPr>
        <w:pStyle w:val="FootnoteText"/>
        <w:jc w:val="both"/>
        <w:rPr>
          <w:rStyle w:val="FootnoteReference"/>
          <w:rFonts w:cs="Times New Roman"/>
          <w:sz w:val="18"/>
          <w:szCs w:val="18"/>
        </w:rPr>
      </w:pPr>
    </w:p>
  </w:footnote>
  <w:footnote w:id="16">
    <w:p w:rsidR="00B54C1A" w:rsidRDefault="00BA5FEF">
      <w:pPr>
        <w:pStyle w:val="FootnoteText"/>
        <w:rPr>
          <w:sz w:val="18"/>
          <w:szCs w:val="18"/>
        </w:rPr>
      </w:pPr>
      <w:r>
        <w:rPr>
          <w:rStyle w:val="FootnoteReference"/>
          <w:rFonts w:cs="Times New Roman"/>
          <w:szCs w:val="18"/>
        </w:rPr>
        <w:footnoteRef/>
      </w:r>
      <w:r>
        <w:rPr>
          <w:rStyle w:val="FootnoteReference"/>
        </w:rPr>
        <w:t xml:space="preserve"> </w:t>
      </w:r>
      <w:r>
        <w:rPr>
          <w:rFonts w:cs="Times New Roman"/>
          <w:color w:val="000000" w:themeColor="text1"/>
          <w:sz w:val="18"/>
          <w:szCs w:val="18"/>
        </w:rPr>
        <w:t xml:space="preserve">Since </w:t>
      </w:r>
      <w:r>
        <w:rPr>
          <w:rFonts w:cs="Times New Roman"/>
          <w:sz w:val="18"/>
          <w:szCs w:val="18"/>
        </w:rPr>
        <w:t xml:space="preserve">Regulation (EU) No 1309/2013 </w:t>
      </w:r>
      <w:r>
        <w:rPr>
          <w:rFonts w:cs="Times New Roman"/>
          <w:color w:val="000000" w:themeColor="text1"/>
          <w:sz w:val="18"/>
          <w:szCs w:val="18"/>
        </w:rPr>
        <w:t xml:space="preserve">entered into force, allowances have been </w:t>
      </w:r>
      <w:proofErr w:type="gramStart"/>
      <w:r>
        <w:rPr>
          <w:rFonts w:cs="Times New Roman"/>
          <w:color w:val="000000" w:themeColor="text1"/>
          <w:sz w:val="18"/>
          <w:szCs w:val="18"/>
        </w:rPr>
        <w:t>capped  to</w:t>
      </w:r>
      <w:proofErr w:type="gramEnd"/>
      <w:r>
        <w:rPr>
          <w:rFonts w:cs="Times New Roman"/>
          <w:color w:val="000000" w:themeColor="text1"/>
          <w:sz w:val="18"/>
          <w:szCs w:val="18"/>
        </w:rPr>
        <w:t xml:space="preserve"> a maximum of 35 % of all costs. </w:t>
      </w:r>
    </w:p>
  </w:footnote>
  <w:footnote w:id="17">
    <w:p w:rsidR="00B54C1A" w:rsidRDefault="00BA5FEF">
      <w:pPr>
        <w:pStyle w:val="FootnoteText"/>
        <w:rPr>
          <w:sz w:val="18"/>
          <w:szCs w:val="18"/>
        </w:rPr>
      </w:pPr>
      <w:r>
        <w:rPr>
          <w:rStyle w:val="FootnoteReference"/>
          <w:rFonts w:cs="Times New Roman"/>
          <w:sz w:val="18"/>
          <w:szCs w:val="18"/>
        </w:rPr>
        <w:footnoteRef/>
      </w:r>
      <w:r>
        <w:rPr>
          <w:rStyle w:val="FootnoteReference"/>
          <w:rFonts w:cs="Times New Roman"/>
          <w:sz w:val="18"/>
          <w:szCs w:val="18"/>
        </w:rPr>
        <w:t xml:space="preserve"> </w:t>
      </w:r>
      <w:r>
        <w:rPr>
          <w:rFonts w:cs="Times New Roman"/>
          <w:sz w:val="18"/>
          <w:szCs w:val="18"/>
        </w:rPr>
        <w:t>N</w:t>
      </w:r>
      <w:r>
        <w:rPr>
          <w:rFonts w:cs="Times New Roman"/>
          <w:color w:val="000000" w:themeColor="text1"/>
          <w:sz w:val="18"/>
          <w:szCs w:val="18"/>
        </w:rPr>
        <w:t>ote that these are different cases from the ones that are the subject of this biennial report. Whereas the present report covers the EGF activities in 2015 and 2016 and</w:t>
      </w:r>
      <w:r>
        <w:rPr>
          <w:rFonts w:cs="Times New Roman"/>
          <w:color w:val="000000" w:themeColor="text1"/>
          <w:sz w:val="18"/>
          <w:szCs w:val="18"/>
        </w:rPr>
        <w:t xml:space="preserve"> includes EGF cases still submitted under Regulation (EC) No 1927/2006, the mid-term evaluation covers all cases submitted under Regulation </w:t>
      </w:r>
      <w:r>
        <w:rPr>
          <w:rFonts w:cs="Times New Roman"/>
          <w:sz w:val="18"/>
          <w:szCs w:val="18"/>
        </w:rPr>
        <w:t>(EU) No 1309/2013</w:t>
      </w:r>
      <w:r>
        <w:rPr>
          <w:rFonts w:cs="Times New Roman"/>
          <w:color w:val="000000" w:themeColor="text1"/>
          <w:sz w:val="18"/>
          <w:szCs w:val="18"/>
        </w:rPr>
        <w:t>.</w:t>
      </w:r>
    </w:p>
    <w:p w:rsidR="00B54C1A" w:rsidRDefault="00B54C1A">
      <w:pPr>
        <w:pStyle w:val="FootnoteText"/>
      </w:pPr>
    </w:p>
  </w:footnote>
  <w:footnote w:id="18">
    <w:p w:rsidR="00B54C1A" w:rsidRDefault="00BA5FEF">
      <w:pPr>
        <w:pStyle w:val="FootnoteText"/>
        <w:rPr>
          <w:sz w:val="18"/>
          <w:szCs w:val="18"/>
        </w:rPr>
      </w:pPr>
      <w:r>
        <w:rPr>
          <w:rStyle w:val="FootnoteReference"/>
          <w:rFonts w:cs="Times New Roman"/>
          <w:szCs w:val="18"/>
        </w:rPr>
        <w:footnoteRef/>
      </w:r>
      <w:r>
        <w:rPr>
          <w:sz w:val="18"/>
          <w:szCs w:val="18"/>
        </w:rPr>
        <w:t xml:space="preserve"> COM(2016) 605 final</w:t>
      </w:r>
    </w:p>
  </w:footnote>
  <w:footnote w:id="19">
    <w:p w:rsidR="00B54C1A" w:rsidRDefault="00BA5FEF">
      <w:pPr>
        <w:pStyle w:val="FootnoteText"/>
        <w:rPr>
          <w:sz w:val="18"/>
          <w:szCs w:val="18"/>
          <w:lang w:val="en-US"/>
        </w:rPr>
      </w:pPr>
      <w:r>
        <w:rPr>
          <w:rStyle w:val="FootnoteReference"/>
        </w:rPr>
        <w:footnoteRef/>
      </w:r>
      <w:r>
        <w:t xml:space="preserve"> </w:t>
      </w:r>
      <w:r>
        <w:rPr>
          <w:sz w:val="18"/>
          <w:szCs w:val="18"/>
          <w:lang w:val="en-US"/>
        </w:rPr>
        <w:t>This amount does not include technical assistance decisions.</w:t>
      </w:r>
    </w:p>
  </w:footnote>
  <w:footnote w:id="20">
    <w:p w:rsidR="00B54C1A" w:rsidRDefault="00BA5FEF">
      <w:pPr>
        <w:pStyle w:val="FootnoteText"/>
        <w:rPr>
          <w:sz w:val="18"/>
          <w:szCs w:val="18"/>
        </w:rPr>
      </w:pPr>
      <w:r>
        <w:rPr>
          <w:rStyle w:val="FootnoteReference"/>
          <w:rFonts w:cs="Times New Roman"/>
          <w:sz w:val="18"/>
          <w:szCs w:val="18"/>
        </w:rPr>
        <w:footnoteRef/>
      </w:r>
      <w:r>
        <w:rPr>
          <w:sz w:val="18"/>
          <w:szCs w:val="18"/>
        </w:rPr>
        <w:t xml:space="preserve"> </w:t>
      </w:r>
      <w:r>
        <w:rPr>
          <w:rFonts w:cs="Times New Roman"/>
          <w:sz w:val="18"/>
          <w:szCs w:val="18"/>
        </w:rPr>
        <w:t>OJ  L 347</w:t>
      </w:r>
      <w:r>
        <w:rPr>
          <w:rFonts w:cs="Times New Roman"/>
          <w:sz w:val="18"/>
          <w:szCs w:val="18"/>
        </w:rPr>
        <w:t xml:space="preserve"> of 20.12.2013</w:t>
      </w:r>
    </w:p>
  </w:footnote>
  <w:footnote w:id="21">
    <w:p w:rsidR="00B54C1A" w:rsidRDefault="00BA5FEF">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These amounts relate to the voted budget. </w:t>
      </w:r>
    </w:p>
  </w:footnote>
  <w:footnote w:id="22">
    <w:p w:rsidR="00B54C1A" w:rsidRDefault="00BA5FEF">
      <w:pPr>
        <w:pStyle w:val="CommentText"/>
        <w:spacing w:after="0"/>
        <w:rPr>
          <w:sz w:val="18"/>
          <w:szCs w:val="18"/>
        </w:rPr>
      </w:pPr>
      <w:r>
        <w:rPr>
          <w:rStyle w:val="FootnoteReference"/>
          <w:sz w:val="18"/>
          <w:szCs w:val="18"/>
        </w:rPr>
        <w:footnoteRef/>
      </w:r>
      <w:r>
        <w:rPr>
          <w:rStyle w:val="FootnoteReference"/>
          <w:sz w:val="18"/>
          <w:szCs w:val="18"/>
        </w:rPr>
        <w:t xml:space="preserve"> </w:t>
      </w:r>
      <w:r>
        <w:rPr>
          <w:sz w:val="18"/>
          <w:szCs w:val="18"/>
          <w:lang w:val="en-US"/>
        </w:rPr>
        <w:t xml:space="preserve">The EGF contribution is paid to the MS in a single instalment as a 100% pre-financing within 15 days of </w:t>
      </w:r>
      <w:proofErr w:type="gramStart"/>
      <w:r>
        <w:rPr>
          <w:sz w:val="18"/>
          <w:szCs w:val="18"/>
          <w:lang w:val="en-US"/>
        </w:rPr>
        <w:t>the  approval</w:t>
      </w:r>
      <w:proofErr w:type="gramEnd"/>
      <w:r>
        <w:rPr>
          <w:sz w:val="18"/>
          <w:szCs w:val="18"/>
          <w:lang w:val="en-US"/>
        </w:rPr>
        <w:t xml:space="preserve"> by the Budgetary Authority of the EGF </w:t>
      </w:r>
      <w:proofErr w:type="spellStart"/>
      <w:r>
        <w:rPr>
          <w:sz w:val="18"/>
          <w:szCs w:val="18"/>
          <w:lang w:val="en-US"/>
        </w:rPr>
        <w:t>mobilising</w:t>
      </w:r>
      <w:proofErr w:type="spellEnd"/>
      <w:r>
        <w:rPr>
          <w:sz w:val="18"/>
          <w:szCs w:val="18"/>
          <w:lang w:val="en-US"/>
        </w:rPr>
        <w:t xml:space="preserve"> decision.</w:t>
      </w:r>
    </w:p>
  </w:footnote>
  <w:footnote w:id="23">
    <w:p w:rsidR="00B54C1A" w:rsidRDefault="00BA5FEF">
      <w:pPr>
        <w:pStyle w:val="FootnoteText"/>
        <w:rPr>
          <w:sz w:val="18"/>
          <w:szCs w:val="18"/>
        </w:rPr>
      </w:pPr>
      <w:r>
        <w:rPr>
          <w:rStyle w:val="FootnoteReference"/>
          <w:sz w:val="18"/>
          <w:szCs w:val="18"/>
        </w:rPr>
        <w:footnoteRef/>
      </w:r>
      <w:r>
        <w:rPr>
          <w:sz w:val="18"/>
          <w:szCs w:val="18"/>
        </w:rPr>
        <w:t xml:space="preserve"> Including four </w:t>
      </w:r>
      <w:r>
        <w:rPr>
          <w:sz w:val="18"/>
          <w:szCs w:val="18"/>
        </w:rPr>
        <w:t>decisions mobilised in 2014 and paid in 2015.</w:t>
      </w:r>
    </w:p>
  </w:footnote>
  <w:footnote w:id="24">
    <w:p w:rsidR="00B54C1A" w:rsidRDefault="00BA5FEF">
      <w:pPr>
        <w:pStyle w:val="FootnoteText"/>
        <w:rPr>
          <w:sz w:val="18"/>
          <w:szCs w:val="18"/>
        </w:rPr>
      </w:pPr>
      <w:r>
        <w:rPr>
          <w:rStyle w:val="FootnoteReference"/>
          <w:rFonts w:cs="Times New Roman"/>
          <w:szCs w:val="18"/>
        </w:rPr>
        <w:footnoteRef/>
      </w:r>
      <w:r>
        <w:rPr>
          <w:sz w:val="18"/>
          <w:szCs w:val="18"/>
        </w:rPr>
        <w:t xml:space="preserve"> </w:t>
      </w:r>
      <w:proofErr w:type="gramStart"/>
      <w:r>
        <w:rPr>
          <w:sz w:val="18"/>
          <w:szCs w:val="18"/>
        </w:rPr>
        <w:t>http;//ec.europa.eu/</w:t>
      </w:r>
      <w:proofErr w:type="spellStart"/>
      <w:r>
        <w:rPr>
          <w:sz w:val="18"/>
          <w:szCs w:val="18"/>
        </w:rPr>
        <w:t>egf</w:t>
      </w:r>
      <w:proofErr w:type="spellEnd"/>
      <w:r>
        <w:rPr>
          <w:sz w:val="18"/>
          <w:szCs w:val="18"/>
        </w:rPr>
        <w:t xml:space="preserve"> – available in all 23 EU languages, including Irish.</w:t>
      </w:r>
      <w:proofErr w:type="gramEnd"/>
      <w:r>
        <w:rPr>
          <w:sz w:val="18"/>
          <w:szCs w:val="18"/>
        </w:rPr>
        <w:t xml:space="preserve"> </w:t>
      </w:r>
    </w:p>
    <w:p w:rsidR="00B54C1A" w:rsidRDefault="00B54C1A">
      <w:pPr>
        <w:pStyle w:val="FootnoteText"/>
      </w:pPr>
    </w:p>
  </w:footnote>
  <w:footnote w:id="25">
    <w:p w:rsidR="00B54C1A" w:rsidRDefault="00BA5FEF">
      <w:pPr>
        <w:pStyle w:val="FootnoteText"/>
        <w:rPr>
          <w:sz w:val="18"/>
          <w:szCs w:val="18"/>
        </w:rPr>
      </w:pPr>
      <w:r>
        <w:rPr>
          <w:rStyle w:val="FootnoteReference"/>
          <w:rFonts w:cs="Times New Roman"/>
          <w:szCs w:val="18"/>
        </w:rPr>
        <w:footnoteRef/>
      </w:r>
      <w:r>
        <w:rPr>
          <w:rStyle w:val="FootnoteReference"/>
          <w:rFonts w:cs="Times New Roman"/>
        </w:rPr>
        <w:t xml:space="preserve"> </w:t>
      </w:r>
      <w:r>
        <w:rPr>
          <w:sz w:val="18"/>
          <w:szCs w:val="18"/>
        </w:rPr>
        <w:t>This figure rises to 166 if we take into account the 19 cases withdrawn or rejected. Withdrawn and rejected cases are not consi</w:t>
      </w:r>
      <w:r>
        <w:rPr>
          <w:sz w:val="18"/>
          <w:szCs w:val="18"/>
        </w:rPr>
        <w:t xml:space="preserve">dered in the statistics. </w:t>
      </w:r>
    </w:p>
  </w:footnote>
  <w:footnote w:id="26">
    <w:p w:rsidR="00B54C1A" w:rsidRDefault="00BA5FEF">
      <w:pPr>
        <w:pStyle w:val="FootnoteText"/>
        <w:rPr>
          <w:sz w:val="18"/>
          <w:szCs w:val="18"/>
        </w:rPr>
      </w:pPr>
      <w:r>
        <w:rPr>
          <w:rStyle w:val="FootnoteReference"/>
          <w:rFonts w:cs="Times New Roman"/>
          <w:szCs w:val="18"/>
        </w:rPr>
        <w:footnoteRef/>
      </w:r>
      <w:r>
        <w:rPr>
          <w:rStyle w:val="FootnoteReference"/>
          <w:rFonts w:cs="Times New Roman"/>
        </w:rPr>
        <w:t xml:space="preserve"> </w:t>
      </w:r>
      <w:proofErr w:type="gramStart"/>
      <w:r>
        <w:rPr>
          <w:sz w:val="18"/>
          <w:szCs w:val="18"/>
        </w:rPr>
        <w:t>Number of targeted beneficiaries estimated by the Member States.</w:t>
      </w:r>
      <w:proofErr w:type="gramEnd"/>
      <w:r>
        <w:rPr>
          <w:sz w:val="18"/>
          <w:szCs w:val="18"/>
        </w:rPr>
        <w:t xml:space="preserve"> </w:t>
      </w:r>
    </w:p>
  </w:footnote>
  <w:footnote w:id="27">
    <w:p w:rsidR="00B54C1A" w:rsidRDefault="00BA5FEF">
      <w:pPr>
        <w:pStyle w:val="FootnoteText"/>
        <w:rPr>
          <w:sz w:val="18"/>
          <w:szCs w:val="18"/>
        </w:rPr>
      </w:pPr>
      <w:r>
        <w:rPr>
          <w:rStyle w:val="FootnoteReference"/>
          <w:rFonts w:cs="Times New Roman"/>
          <w:szCs w:val="18"/>
        </w:rPr>
        <w:footnoteRef/>
      </w:r>
      <w:r>
        <w:rPr>
          <w:rStyle w:val="FootnoteReference"/>
          <w:rFonts w:cs="Times New Roman"/>
        </w:rPr>
        <w:t xml:space="preserve"> </w:t>
      </w:r>
      <w:r>
        <w:rPr>
          <w:sz w:val="18"/>
          <w:szCs w:val="18"/>
        </w:rPr>
        <w:t>In 2007, 2008, 2012 and 2013 trade was the only eligible criterion.</w:t>
      </w:r>
    </w:p>
  </w:footnote>
  <w:footnote w:id="28">
    <w:p w:rsidR="00B54C1A" w:rsidRDefault="00BA5FEF">
      <w:pPr>
        <w:pStyle w:val="FootnoteText"/>
      </w:pPr>
      <w:r>
        <w:rPr>
          <w:rStyle w:val="FootnoteReference"/>
        </w:rPr>
        <w:footnoteRef/>
      </w:r>
      <w:r>
        <w:t xml:space="preserve"> </w:t>
      </w:r>
      <w:r>
        <w:rPr>
          <w:sz w:val="18"/>
          <w:szCs w:val="18"/>
        </w:rPr>
        <w:t xml:space="preserve">BG submitted EGF/2009/022 </w:t>
      </w:r>
      <w:proofErr w:type="spellStart"/>
      <w:r>
        <w:rPr>
          <w:sz w:val="18"/>
          <w:szCs w:val="18"/>
        </w:rPr>
        <w:t>Kremikovtsi</w:t>
      </w:r>
      <w:proofErr w:type="spellEnd"/>
      <w:r>
        <w:rPr>
          <w:sz w:val="18"/>
          <w:szCs w:val="18"/>
        </w:rPr>
        <w:t xml:space="preserve"> AD Basic metals application but it has been rejected</w:t>
      </w:r>
      <w:r>
        <w:rPr>
          <w:sz w:val="18"/>
          <w:szCs w:val="18"/>
        </w:rPr>
        <w:t>.</w:t>
      </w:r>
      <w:r>
        <w:t xml:space="preserve"> </w:t>
      </w:r>
    </w:p>
  </w:footnote>
  <w:footnote w:id="29">
    <w:p w:rsidR="00B54C1A" w:rsidRDefault="00BA5FEF">
      <w:pPr>
        <w:pStyle w:val="FootnoteText"/>
        <w:rPr>
          <w:sz w:val="18"/>
          <w:szCs w:val="18"/>
        </w:rPr>
      </w:pPr>
      <w:r>
        <w:rPr>
          <w:rStyle w:val="FootnoteReference"/>
          <w:rFonts w:cs="Times New Roman"/>
          <w:szCs w:val="18"/>
        </w:rPr>
        <w:footnoteRef/>
      </w:r>
      <w:r>
        <w:rPr>
          <w:sz w:val="18"/>
          <w:szCs w:val="18"/>
        </w:rPr>
        <w:t xml:space="preserve"> BG requested EUR 1 082 337 which never were contributed as the application was rejected. The amount requested from     BG is therefore not part of this total.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C1A" w:rsidRDefault="00B54C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55E6"/>
    <w:multiLevelType w:val="hybridMultilevel"/>
    <w:tmpl w:val="36C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9415E0"/>
    <w:multiLevelType w:val="hybridMultilevel"/>
    <w:tmpl w:val="E39A47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D5703C"/>
    <w:multiLevelType w:val="hybridMultilevel"/>
    <w:tmpl w:val="1842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B51E3"/>
    <w:multiLevelType w:val="hybridMultilevel"/>
    <w:tmpl w:val="6E1C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CB8204E"/>
    <w:multiLevelType w:val="hybridMultilevel"/>
    <w:tmpl w:val="0F14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14475EE"/>
    <w:multiLevelType w:val="hybridMultilevel"/>
    <w:tmpl w:val="02FA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F9021B"/>
    <w:multiLevelType w:val="hybridMultilevel"/>
    <w:tmpl w:val="0DE68E32"/>
    <w:lvl w:ilvl="0" w:tplc="08090001">
      <w:start w:val="1"/>
      <w:numFmt w:val="bullet"/>
      <w:lvlText w:val=""/>
      <w:lvlJc w:val="left"/>
      <w:pPr>
        <w:ind w:left="912" w:hanging="360"/>
      </w:pPr>
      <w:rPr>
        <w:rFonts w:ascii="Symbol" w:hAnsi="Symbol" w:hint="default"/>
      </w:rPr>
    </w:lvl>
    <w:lvl w:ilvl="1" w:tplc="08090003">
      <w:start w:val="1"/>
      <w:numFmt w:val="bullet"/>
      <w:lvlText w:val="o"/>
      <w:lvlJc w:val="left"/>
      <w:pPr>
        <w:ind w:left="1632" w:hanging="360"/>
      </w:pPr>
      <w:rPr>
        <w:rFonts w:ascii="Courier New" w:hAnsi="Courier New" w:cs="Times New Roman" w:hint="default"/>
      </w:rPr>
    </w:lvl>
    <w:lvl w:ilvl="2" w:tplc="08090005">
      <w:start w:val="1"/>
      <w:numFmt w:val="bullet"/>
      <w:lvlText w:val=""/>
      <w:lvlJc w:val="left"/>
      <w:pPr>
        <w:ind w:left="2352" w:hanging="360"/>
      </w:pPr>
      <w:rPr>
        <w:rFonts w:ascii="Wingdings" w:hAnsi="Wingdings" w:hint="default"/>
      </w:rPr>
    </w:lvl>
    <w:lvl w:ilvl="3" w:tplc="08090001">
      <w:start w:val="1"/>
      <w:numFmt w:val="bullet"/>
      <w:lvlText w:val=""/>
      <w:lvlJc w:val="left"/>
      <w:pPr>
        <w:ind w:left="3072" w:hanging="360"/>
      </w:pPr>
      <w:rPr>
        <w:rFonts w:ascii="Symbol" w:hAnsi="Symbol" w:hint="default"/>
      </w:rPr>
    </w:lvl>
    <w:lvl w:ilvl="4" w:tplc="08090003">
      <w:start w:val="1"/>
      <w:numFmt w:val="bullet"/>
      <w:lvlText w:val="o"/>
      <w:lvlJc w:val="left"/>
      <w:pPr>
        <w:ind w:left="3792" w:hanging="360"/>
      </w:pPr>
      <w:rPr>
        <w:rFonts w:ascii="Courier New" w:hAnsi="Courier New" w:cs="Times New Roman" w:hint="default"/>
      </w:rPr>
    </w:lvl>
    <w:lvl w:ilvl="5" w:tplc="08090005">
      <w:start w:val="1"/>
      <w:numFmt w:val="bullet"/>
      <w:lvlText w:val=""/>
      <w:lvlJc w:val="left"/>
      <w:pPr>
        <w:ind w:left="4512" w:hanging="360"/>
      </w:pPr>
      <w:rPr>
        <w:rFonts w:ascii="Wingdings" w:hAnsi="Wingdings" w:hint="default"/>
      </w:rPr>
    </w:lvl>
    <w:lvl w:ilvl="6" w:tplc="08090001">
      <w:start w:val="1"/>
      <w:numFmt w:val="bullet"/>
      <w:lvlText w:val=""/>
      <w:lvlJc w:val="left"/>
      <w:pPr>
        <w:ind w:left="5232" w:hanging="360"/>
      </w:pPr>
      <w:rPr>
        <w:rFonts w:ascii="Symbol" w:hAnsi="Symbol" w:hint="default"/>
      </w:rPr>
    </w:lvl>
    <w:lvl w:ilvl="7" w:tplc="08090003">
      <w:start w:val="1"/>
      <w:numFmt w:val="bullet"/>
      <w:lvlText w:val="o"/>
      <w:lvlJc w:val="left"/>
      <w:pPr>
        <w:ind w:left="5952" w:hanging="360"/>
      </w:pPr>
      <w:rPr>
        <w:rFonts w:ascii="Courier New" w:hAnsi="Courier New" w:cs="Times New Roman" w:hint="default"/>
      </w:rPr>
    </w:lvl>
    <w:lvl w:ilvl="8" w:tplc="08090005">
      <w:start w:val="1"/>
      <w:numFmt w:val="bullet"/>
      <w:lvlText w:val=""/>
      <w:lvlJc w:val="left"/>
      <w:pPr>
        <w:ind w:left="6672" w:hanging="360"/>
      </w:pPr>
      <w:rPr>
        <w:rFonts w:ascii="Wingdings" w:hAnsi="Wingdings" w:hint="default"/>
      </w:rPr>
    </w:lvl>
  </w:abstractNum>
  <w:abstractNum w:abstractNumId="7">
    <w:nsid w:val="5FA8089B"/>
    <w:multiLevelType w:val="hybridMultilevel"/>
    <w:tmpl w:val="A81A69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766139F"/>
    <w:multiLevelType w:val="hybridMultilevel"/>
    <w:tmpl w:val="F5AA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066A71"/>
    <w:multiLevelType w:val="hybridMultilevel"/>
    <w:tmpl w:val="A300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0067F4"/>
    <w:multiLevelType w:val="hybridMultilevel"/>
    <w:tmpl w:val="A844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674005A"/>
    <w:multiLevelType w:val="hybridMultilevel"/>
    <w:tmpl w:val="5F50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3"/>
  </w:num>
  <w:num w:numId="5">
    <w:abstractNumId w:val="2"/>
  </w:num>
  <w:num w:numId="6">
    <w:abstractNumId w:val="4"/>
  </w:num>
  <w:num w:numId="7">
    <w:abstractNumId w:val="10"/>
  </w:num>
  <w:num w:numId="8">
    <w:abstractNumId w:val="8"/>
  </w:num>
  <w:num w:numId="9">
    <w:abstractNumId w:val="6"/>
  </w:num>
  <w:num w:numId="10">
    <w:abstractNumId w:val="0"/>
  </w:num>
  <w:num w:numId="11">
    <w:abstractNumId w:val="1"/>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zyna Meyers">
    <w15:presenceInfo w15:providerId="Windows Live" w15:userId="987b20b895e449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Red"/>
    <w:docVar w:name="LW_CONFIDENCE" w:val=" "/>
    <w:docVar w:name="LW_CONST_RESTREINT_UE" w:val="RESTREINT UE"/>
    <w:docVar w:name="LW_CORRIGENDUM" w:val="&lt;UNUSED&gt;"/>
    <w:docVar w:name="LW_COVERPAGE_GUID" w:val="3E908298C46F4BF4828452B767210159"/>
    <w:docVar w:name="LW_CROSSREFERENCE" w:val="&lt;UNUSED&gt;"/>
    <w:docVar w:name="LW_DocType" w:val="NORMAL"/>
    <w:docVar w:name="LW_EMISSION" w:val="31.10.2017"/>
    <w:docVar w:name="LW_EMISSION_ISODATE" w:val="2017-10-31"/>
    <w:docVar w:name="LW_EMISSION_LOCATION" w:val="BRX"/>
    <w:docVar w:name="LW_EMISSION_PREFIX" w:val="Brussels, "/>
    <w:docVar w:name="LW_EMISSION_SUFFIX" w:val=" "/>
    <w:docVar w:name="LW_ID_DOCTYPE_NONLW" w:val="CP-006"/>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636"/>
    <w:docVar w:name="LW_REF.INTERNE" w:val="&lt;UNUSED&gt;"/>
    <w:docVar w:name="LW_SOUS.TITRE.OBJ.CP" w:val="&lt;UNUSED&gt;"/>
    <w:docVar w:name="LW_SUPERTITRE" w:val="&lt;UNUSED&gt;"/>
    <w:docVar w:name="LW_TITRE.OBJ.CP" w:val="on the activities of the European Globalisation Adjustment Fund in 2015 and 2016"/>
    <w:docVar w:name="LW_TYPE.DOC.CP" w:val="REPORT FROM THE COMMISSION TO THE EUROPEAN PARLIAMENT AND THE COUNCIL"/>
  </w:docVars>
  <w:rsids>
    <w:rsidRoot w:val="00B54C1A"/>
    <w:rsid w:val="00335B79"/>
    <w:rsid w:val="00B54C1A"/>
    <w:rsid w:val="00BA5FE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600" w:after="600" w:line="240" w:lineRule="auto"/>
      <w:jc w:val="both"/>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uiPriority w:val="9"/>
    <w:unhideWhenUsed/>
    <w:qFormat/>
    <w:pPr>
      <w:keepNext/>
      <w:keepLines/>
      <w:spacing w:before="240" w:after="240"/>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pPr>
      <w:keepNext/>
      <w:keepLines/>
      <w:spacing w:before="600" w:after="120"/>
      <w:ind w:left="720"/>
      <w:outlineLvl w:val="2"/>
    </w:pPr>
    <w:rPr>
      <w:rFonts w:ascii="Times New Roman" w:eastAsiaTheme="majorEastAsia" w:hAnsi="Times New Roman" w:cs="Times New Roman"/>
      <w:bCs/>
      <w: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en-GB"/>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lang w:val="en-GB"/>
    </w:rPr>
  </w:style>
  <w:style w:type="character" w:customStyle="1" w:styleId="FooterCoverPageChar">
    <w:name w:val="Footer Cover Page Char"/>
    <w:basedOn w:val="TypedudocumentChar"/>
    <w:link w:val="FooterCoverPage"/>
    <w:rPr>
      <w:rFonts w:ascii="Times New Roman" w:hAnsi="Times New Roman" w:cs="Times New Roman"/>
      <w:b w:val="0"/>
      <w:sz w:val="24"/>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000000" w:themeColor="text1"/>
      <w:sz w:val="28"/>
      <w:szCs w:val="24"/>
      <w:lang w:val="en-GB"/>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000000" w:themeColor="text1"/>
      <w:sz w:val="26"/>
      <w:szCs w:val="26"/>
      <w:lang w:val="en-GB"/>
    </w:rPr>
  </w:style>
  <w:style w:type="character" w:customStyle="1" w:styleId="Heading3Char">
    <w:name w:val="Heading 3 Char"/>
    <w:basedOn w:val="DefaultParagraphFont"/>
    <w:link w:val="Heading3"/>
    <w:uiPriority w:val="9"/>
    <w:rPr>
      <w:rFonts w:ascii="Times New Roman" w:eastAsiaTheme="majorEastAsia" w:hAnsi="Times New Roman" w:cs="Times New Roman"/>
      <w:bCs/>
      <w:i/>
      <w:color w:val="000000" w:themeColor="text1"/>
      <w:sz w:val="24"/>
      <w:lang w:val="en-GB"/>
    </w:rPr>
  </w:style>
  <w:style w:type="numbering" w:customStyle="1" w:styleId="NoList1">
    <w:name w:val="No List1"/>
    <w:next w:val="No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TOCHeading">
    <w:name w:val="TOC Heading"/>
    <w:basedOn w:val="Heading1"/>
    <w:next w:val="Normal"/>
    <w:uiPriority w:val="39"/>
    <w:unhideWhenUsed/>
    <w:qFormat/>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qFormat/>
    <w:pPr>
      <w:spacing w:after="100"/>
    </w:pPr>
    <w:rPr>
      <w:rFonts w:ascii="Times New Roman" w:hAnsi="Times New Roman"/>
    </w:r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autoRedefine/>
    <w:uiPriority w:val="39"/>
    <w:unhideWhenUsed/>
    <w:qFormat/>
    <w:pPr>
      <w:spacing w:after="100"/>
      <w:ind w:left="220"/>
    </w:pPr>
    <w:rPr>
      <w:rFonts w:ascii="Times New Roman" w:eastAsiaTheme="minorEastAsia" w:hAnsi="Times New Roman"/>
      <w:lang w:val="en-US" w:eastAsia="ja-JP"/>
    </w:rPr>
  </w:style>
  <w:style w:type="paragraph" w:styleId="TOC3">
    <w:name w:val="toc 3"/>
    <w:basedOn w:val="Normal"/>
    <w:next w:val="Normal"/>
    <w:autoRedefine/>
    <w:uiPriority w:val="39"/>
    <w:unhideWhenUsed/>
    <w:qFormat/>
    <w:pPr>
      <w:spacing w:after="100"/>
      <w:ind w:left="720"/>
    </w:pPr>
    <w:rPr>
      <w:rFonts w:ascii="Times New Roman" w:eastAsiaTheme="minorEastAsia" w:hAnsi="Times New Roman"/>
      <w:lang w:val="en-US" w:eastAsia="ja-JP"/>
    </w:rPr>
  </w:style>
  <w:style w:type="paragraph" w:styleId="ListParagraph">
    <w:name w:val="List Paragraph"/>
    <w:basedOn w:val="Normal"/>
    <w:uiPriority w:val="34"/>
    <w:qFormat/>
    <w:pPr>
      <w:ind w:left="720"/>
      <w:contextualSpacing/>
    </w:pPr>
    <w:rPr>
      <w:rFonts w:ascii="Times New Roman" w:hAnsi="Times New Roman"/>
    </w:rPr>
  </w:style>
  <w:style w:type="paragraph" w:styleId="FootnoteText">
    <w:name w:val="footnote text"/>
    <w:basedOn w:val="Normal"/>
    <w:link w:val="FootnoteTextChar"/>
    <w:uiPriority w:val="99"/>
    <w:unhideWhenUsed/>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Pr>
      <w:rFonts w:ascii="Times New Roman" w:hAnsi="Times New Roman"/>
      <w:sz w:val="20"/>
      <w:szCs w:val="20"/>
      <w:lang w:val="en-GB"/>
    </w:rPr>
  </w:style>
  <w:style w:type="character" w:styleId="FootnoteReference">
    <w:name w:val="footnote reference"/>
    <w:basedOn w:val="DefaultParagraphFont"/>
    <w:uiPriority w:val="99"/>
    <w:semiHidden/>
    <w:unhideWhenUsed/>
    <w:rPr>
      <w:vertAlign w:val="superscript"/>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 w:val="24"/>
      <w:szCs w:val="24"/>
    </w:rPr>
  </w:style>
  <w:style w:type="paragraph" w:styleId="EndnoteText">
    <w:name w:val="endnote text"/>
    <w:basedOn w:val="Normal"/>
    <w:link w:val="EndnoteTextChar"/>
    <w:uiPriority w:val="99"/>
    <w:semiHidden/>
    <w:unhideWhenUsed/>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lang w:val="en-GB"/>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rPr>
      <w:lang w:val="en-GB"/>
    </w:rPr>
  </w:style>
  <w:style w:type="paragraph" w:styleId="BodyText">
    <w:name w:val="Body Text"/>
    <w:aliases w:val="F2 Body Text,Document,Doc,Body Text2,doc,Standard paragraph,Text,(Norm),Body Text 12,bt,gl,uvlaka 2,heading3,Body Text - Level 2,1body,BodText,body text,Body Txt,Body Text-10,Τίτλος Μελέτης,- TF,Text Char1,-,b., (Norm),- "/>
    <w:basedOn w:val="Normal"/>
    <w:link w:val="BodyTextChar"/>
    <w:uiPriority w:val="1"/>
    <w:qFormat/>
    <w:pPr>
      <w:spacing w:before="120" w:after="120" w:line="240" w:lineRule="auto"/>
    </w:pPr>
    <w:rPr>
      <w:rFonts w:ascii="Verdana" w:hAnsi="Verdana"/>
      <w:color w:val="000000" w:themeColor="text1"/>
      <w:sz w:val="20"/>
    </w:rPr>
  </w:style>
  <w:style w:type="character" w:customStyle="1" w:styleId="BodyTextChar">
    <w:name w:val="Body Text Char"/>
    <w:aliases w:val="F2 Body Text Char,Document Char,Doc Char,Body Text2 Char,doc Char,Standard paragraph Char,Text Char,(Norm) Char,Body Text 12 Char,bt Char,gl Char,uvlaka 2 Char,heading3 Char,Body Text - Level 2 Char,1body Char,BodText Char,body text Char"/>
    <w:basedOn w:val="DefaultParagraphFont"/>
    <w:link w:val="BodyText"/>
    <w:uiPriority w:val="1"/>
    <w:rPr>
      <w:rFonts w:ascii="Verdana" w:hAnsi="Verdana"/>
      <w:color w:val="000000" w:themeColor="text1"/>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600" w:after="600" w:line="240" w:lineRule="auto"/>
      <w:jc w:val="both"/>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uiPriority w:val="9"/>
    <w:unhideWhenUsed/>
    <w:qFormat/>
    <w:pPr>
      <w:keepNext/>
      <w:keepLines/>
      <w:spacing w:before="240" w:after="240"/>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pPr>
      <w:keepNext/>
      <w:keepLines/>
      <w:spacing w:before="600" w:after="120"/>
      <w:ind w:left="720"/>
      <w:outlineLvl w:val="2"/>
    </w:pPr>
    <w:rPr>
      <w:rFonts w:ascii="Times New Roman" w:eastAsiaTheme="majorEastAsia" w:hAnsi="Times New Roman" w:cs="Times New Roman"/>
      <w:bCs/>
      <w: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en-GB"/>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lang w:val="en-GB"/>
    </w:rPr>
  </w:style>
  <w:style w:type="character" w:customStyle="1" w:styleId="FooterCoverPageChar">
    <w:name w:val="Footer Cover Page Char"/>
    <w:basedOn w:val="TypedudocumentChar"/>
    <w:link w:val="FooterCoverPage"/>
    <w:rPr>
      <w:rFonts w:ascii="Times New Roman" w:hAnsi="Times New Roman" w:cs="Times New Roman"/>
      <w:b w:val="0"/>
      <w:sz w:val="24"/>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000000" w:themeColor="text1"/>
      <w:sz w:val="28"/>
      <w:szCs w:val="24"/>
      <w:lang w:val="en-GB"/>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000000" w:themeColor="text1"/>
      <w:sz w:val="26"/>
      <w:szCs w:val="26"/>
      <w:lang w:val="en-GB"/>
    </w:rPr>
  </w:style>
  <w:style w:type="character" w:customStyle="1" w:styleId="Heading3Char">
    <w:name w:val="Heading 3 Char"/>
    <w:basedOn w:val="DefaultParagraphFont"/>
    <w:link w:val="Heading3"/>
    <w:uiPriority w:val="9"/>
    <w:rPr>
      <w:rFonts w:ascii="Times New Roman" w:eastAsiaTheme="majorEastAsia" w:hAnsi="Times New Roman" w:cs="Times New Roman"/>
      <w:bCs/>
      <w:i/>
      <w:color w:val="000000" w:themeColor="text1"/>
      <w:sz w:val="24"/>
      <w:lang w:val="en-GB"/>
    </w:rPr>
  </w:style>
  <w:style w:type="numbering" w:customStyle="1" w:styleId="NoList1">
    <w:name w:val="No List1"/>
    <w:next w:val="No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TOCHeading">
    <w:name w:val="TOC Heading"/>
    <w:basedOn w:val="Heading1"/>
    <w:next w:val="Normal"/>
    <w:uiPriority w:val="39"/>
    <w:unhideWhenUsed/>
    <w:qFormat/>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qFormat/>
    <w:pPr>
      <w:spacing w:after="100"/>
    </w:pPr>
    <w:rPr>
      <w:rFonts w:ascii="Times New Roman" w:hAnsi="Times New Roman"/>
    </w:r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autoRedefine/>
    <w:uiPriority w:val="39"/>
    <w:unhideWhenUsed/>
    <w:qFormat/>
    <w:pPr>
      <w:spacing w:after="100"/>
      <w:ind w:left="220"/>
    </w:pPr>
    <w:rPr>
      <w:rFonts w:ascii="Times New Roman" w:eastAsiaTheme="minorEastAsia" w:hAnsi="Times New Roman"/>
      <w:lang w:val="en-US" w:eastAsia="ja-JP"/>
    </w:rPr>
  </w:style>
  <w:style w:type="paragraph" w:styleId="TOC3">
    <w:name w:val="toc 3"/>
    <w:basedOn w:val="Normal"/>
    <w:next w:val="Normal"/>
    <w:autoRedefine/>
    <w:uiPriority w:val="39"/>
    <w:unhideWhenUsed/>
    <w:qFormat/>
    <w:pPr>
      <w:spacing w:after="100"/>
      <w:ind w:left="720"/>
    </w:pPr>
    <w:rPr>
      <w:rFonts w:ascii="Times New Roman" w:eastAsiaTheme="minorEastAsia" w:hAnsi="Times New Roman"/>
      <w:lang w:val="en-US" w:eastAsia="ja-JP"/>
    </w:rPr>
  </w:style>
  <w:style w:type="paragraph" w:styleId="ListParagraph">
    <w:name w:val="List Paragraph"/>
    <w:basedOn w:val="Normal"/>
    <w:uiPriority w:val="34"/>
    <w:qFormat/>
    <w:pPr>
      <w:ind w:left="720"/>
      <w:contextualSpacing/>
    </w:pPr>
    <w:rPr>
      <w:rFonts w:ascii="Times New Roman" w:hAnsi="Times New Roman"/>
    </w:rPr>
  </w:style>
  <w:style w:type="paragraph" w:styleId="FootnoteText">
    <w:name w:val="footnote text"/>
    <w:basedOn w:val="Normal"/>
    <w:link w:val="FootnoteTextChar"/>
    <w:uiPriority w:val="99"/>
    <w:unhideWhenUsed/>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Pr>
      <w:rFonts w:ascii="Times New Roman" w:hAnsi="Times New Roman"/>
      <w:sz w:val="20"/>
      <w:szCs w:val="20"/>
      <w:lang w:val="en-GB"/>
    </w:rPr>
  </w:style>
  <w:style w:type="character" w:styleId="FootnoteReference">
    <w:name w:val="footnote reference"/>
    <w:basedOn w:val="DefaultParagraphFont"/>
    <w:uiPriority w:val="99"/>
    <w:semiHidden/>
    <w:unhideWhenUsed/>
    <w:rPr>
      <w:vertAlign w:val="superscript"/>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 w:val="24"/>
      <w:szCs w:val="24"/>
    </w:rPr>
  </w:style>
  <w:style w:type="paragraph" w:styleId="EndnoteText">
    <w:name w:val="endnote text"/>
    <w:basedOn w:val="Normal"/>
    <w:link w:val="EndnoteTextChar"/>
    <w:uiPriority w:val="99"/>
    <w:semiHidden/>
    <w:unhideWhenUsed/>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lang w:val="en-GB"/>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rPr>
      <w:lang w:val="en-GB"/>
    </w:rPr>
  </w:style>
  <w:style w:type="paragraph" w:styleId="BodyText">
    <w:name w:val="Body Text"/>
    <w:aliases w:val="F2 Body Text,Document,Doc,Body Text2,doc,Standard paragraph,Text,(Norm),Body Text 12,bt,gl,uvlaka 2,heading3,Body Text - Level 2,1body,BodText,body text,Body Txt,Body Text-10,Τίτλος Μελέτης,- TF,Text Char1,-,b., (Norm),- "/>
    <w:basedOn w:val="Normal"/>
    <w:link w:val="BodyTextChar"/>
    <w:uiPriority w:val="1"/>
    <w:qFormat/>
    <w:pPr>
      <w:spacing w:before="120" w:after="120" w:line="240" w:lineRule="auto"/>
    </w:pPr>
    <w:rPr>
      <w:rFonts w:ascii="Verdana" w:hAnsi="Verdana"/>
      <w:color w:val="000000" w:themeColor="text1"/>
      <w:sz w:val="20"/>
    </w:rPr>
  </w:style>
  <w:style w:type="character" w:customStyle="1" w:styleId="BodyTextChar">
    <w:name w:val="Body Text Char"/>
    <w:aliases w:val="F2 Body Text Char,Document Char,Doc Char,Body Text2 Char,doc Char,Standard paragraph Char,Text Char,(Norm) Char,Body Text 12 Char,bt Char,gl Char,uvlaka 2 Char,heading3 Char,Body Text - Level 2 Char,1body Char,BodText Char,body text Char"/>
    <w:basedOn w:val="DefaultParagraphFont"/>
    <w:link w:val="BodyText"/>
    <w:uiPriority w:val="1"/>
    <w:rPr>
      <w:rFonts w:ascii="Verdana" w:hAnsi="Verdana"/>
      <w:color w:val="000000" w:themeColor="text1"/>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82616">
      <w:bodyDiv w:val="1"/>
      <w:marLeft w:val="0"/>
      <w:marRight w:val="0"/>
      <w:marTop w:val="0"/>
      <w:marBottom w:val="0"/>
      <w:divBdr>
        <w:top w:val="none" w:sz="0" w:space="0" w:color="auto"/>
        <w:left w:val="none" w:sz="0" w:space="0" w:color="auto"/>
        <w:bottom w:val="none" w:sz="0" w:space="0" w:color="auto"/>
        <w:right w:val="none" w:sz="0" w:space="0" w:color="auto"/>
      </w:divBdr>
    </w:div>
    <w:div w:id="132334785">
      <w:bodyDiv w:val="1"/>
      <w:marLeft w:val="0"/>
      <w:marRight w:val="0"/>
      <w:marTop w:val="0"/>
      <w:marBottom w:val="0"/>
      <w:divBdr>
        <w:top w:val="none" w:sz="0" w:space="0" w:color="auto"/>
        <w:left w:val="none" w:sz="0" w:space="0" w:color="auto"/>
        <w:bottom w:val="none" w:sz="0" w:space="0" w:color="auto"/>
        <w:right w:val="none" w:sz="0" w:space="0" w:color="auto"/>
      </w:divBdr>
    </w:div>
    <w:div w:id="147670809">
      <w:bodyDiv w:val="1"/>
      <w:marLeft w:val="0"/>
      <w:marRight w:val="0"/>
      <w:marTop w:val="0"/>
      <w:marBottom w:val="0"/>
      <w:divBdr>
        <w:top w:val="none" w:sz="0" w:space="0" w:color="auto"/>
        <w:left w:val="none" w:sz="0" w:space="0" w:color="auto"/>
        <w:bottom w:val="none" w:sz="0" w:space="0" w:color="auto"/>
        <w:right w:val="none" w:sz="0" w:space="0" w:color="auto"/>
      </w:divBdr>
    </w:div>
    <w:div w:id="150408134">
      <w:bodyDiv w:val="1"/>
      <w:marLeft w:val="0"/>
      <w:marRight w:val="0"/>
      <w:marTop w:val="0"/>
      <w:marBottom w:val="0"/>
      <w:divBdr>
        <w:top w:val="none" w:sz="0" w:space="0" w:color="auto"/>
        <w:left w:val="none" w:sz="0" w:space="0" w:color="auto"/>
        <w:bottom w:val="none" w:sz="0" w:space="0" w:color="auto"/>
        <w:right w:val="none" w:sz="0" w:space="0" w:color="auto"/>
      </w:divBdr>
    </w:div>
    <w:div w:id="236062788">
      <w:bodyDiv w:val="1"/>
      <w:marLeft w:val="0"/>
      <w:marRight w:val="0"/>
      <w:marTop w:val="0"/>
      <w:marBottom w:val="0"/>
      <w:divBdr>
        <w:top w:val="none" w:sz="0" w:space="0" w:color="auto"/>
        <w:left w:val="none" w:sz="0" w:space="0" w:color="auto"/>
        <w:bottom w:val="none" w:sz="0" w:space="0" w:color="auto"/>
        <w:right w:val="none" w:sz="0" w:space="0" w:color="auto"/>
      </w:divBdr>
    </w:div>
    <w:div w:id="287668843">
      <w:bodyDiv w:val="1"/>
      <w:marLeft w:val="0"/>
      <w:marRight w:val="0"/>
      <w:marTop w:val="0"/>
      <w:marBottom w:val="0"/>
      <w:divBdr>
        <w:top w:val="none" w:sz="0" w:space="0" w:color="auto"/>
        <w:left w:val="none" w:sz="0" w:space="0" w:color="auto"/>
        <w:bottom w:val="none" w:sz="0" w:space="0" w:color="auto"/>
        <w:right w:val="none" w:sz="0" w:space="0" w:color="auto"/>
      </w:divBdr>
    </w:div>
    <w:div w:id="388891400">
      <w:bodyDiv w:val="1"/>
      <w:marLeft w:val="0"/>
      <w:marRight w:val="0"/>
      <w:marTop w:val="0"/>
      <w:marBottom w:val="0"/>
      <w:divBdr>
        <w:top w:val="none" w:sz="0" w:space="0" w:color="auto"/>
        <w:left w:val="none" w:sz="0" w:space="0" w:color="auto"/>
        <w:bottom w:val="none" w:sz="0" w:space="0" w:color="auto"/>
        <w:right w:val="none" w:sz="0" w:space="0" w:color="auto"/>
      </w:divBdr>
    </w:div>
    <w:div w:id="527111329">
      <w:bodyDiv w:val="1"/>
      <w:marLeft w:val="0"/>
      <w:marRight w:val="0"/>
      <w:marTop w:val="0"/>
      <w:marBottom w:val="0"/>
      <w:divBdr>
        <w:top w:val="none" w:sz="0" w:space="0" w:color="auto"/>
        <w:left w:val="none" w:sz="0" w:space="0" w:color="auto"/>
        <w:bottom w:val="none" w:sz="0" w:space="0" w:color="auto"/>
        <w:right w:val="none" w:sz="0" w:space="0" w:color="auto"/>
      </w:divBdr>
    </w:div>
    <w:div w:id="574239743">
      <w:bodyDiv w:val="1"/>
      <w:marLeft w:val="0"/>
      <w:marRight w:val="0"/>
      <w:marTop w:val="0"/>
      <w:marBottom w:val="0"/>
      <w:divBdr>
        <w:top w:val="none" w:sz="0" w:space="0" w:color="auto"/>
        <w:left w:val="none" w:sz="0" w:space="0" w:color="auto"/>
        <w:bottom w:val="none" w:sz="0" w:space="0" w:color="auto"/>
        <w:right w:val="none" w:sz="0" w:space="0" w:color="auto"/>
      </w:divBdr>
    </w:div>
    <w:div w:id="611592543">
      <w:bodyDiv w:val="1"/>
      <w:marLeft w:val="0"/>
      <w:marRight w:val="0"/>
      <w:marTop w:val="0"/>
      <w:marBottom w:val="0"/>
      <w:divBdr>
        <w:top w:val="none" w:sz="0" w:space="0" w:color="auto"/>
        <w:left w:val="none" w:sz="0" w:space="0" w:color="auto"/>
        <w:bottom w:val="none" w:sz="0" w:space="0" w:color="auto"/>
        <w:right w:val="none" w:sz="0" w:space="0" w:color="auto"/>
      </w:divBdr>
    </w:div>
    <w:div w:id="634455416">
      <w:bodyDiv w:val="1"/>
      <w:marLeft w:val="0"/>
      <w:marRight w:val="0"/>
      <w:marTop w:val="0"/>
      <w:marBottom w:val="0"/>
      <w:divBdr>
        <w:top w:val="none" w:sz="0" w:space="0" w:color="auto"/>
        <w:left w:val="none" w:sz="0" w:space="0" w:color="auto"/>
        <w:bottom w:val="none" w:sz="0" w:space="0" w:color="auto"/>
        <w:right w:val="none" w:sz="0" w:space="0" w:color="auto"/>
      </w:divBdr>
    </w:div>
    <w:div w:id="647898903">
      <w:bodyDiv w:val="1"/>
      <w:marLeft w:val="0"/>
      <w:marRight w:val="0"/>
      <w:marTop w:val="0"/>
      <w:marBottom w:val="0"/>
      <w:divBdr>
        <w:top w:val="none" w:sz="0" w:space="0" w:color="auto"/>
        <w:left w:val="none" w:sz="0" w:space="0" w:color="auto"/>
        <w:bottom w:val="none" w:sz="0" w:space="0" w:color="auto"/>
        <w:right w:val="none" w:sz="0" w:space="0" w:color="auto"/>
      </w:divBdr>
    </w:div>
    <w:div w:id="730688892">
      <w:bodyDiv w:val="1"/>
      <w:marLeft w:val="0"/>
      <w:marRight w:val="0"/>
      <w:marTop w:val="0"/>
      <w:marBottom w:val="0"/>
      <w:divBdr>
        <w:top w:val="none" w:sz="0" w:space="0" w:color="auto"/>
        <w:left w:val="none" w:sz="0" w:space="0" w:color="auto"/>
        <w:bottom w:val="none" w:sz="0" w:space="0" w:color="auto"/>
        <w:right w:val="none" w:sz="0" w:space="0" w:color="auto"/>
      </w:divBdr>
    </w:div>
    <w:div w:id="770392620">
      <w:bodyDiv w:val="1"/>
      <w:marLeft w:val="0"/>
      <w:marRight w:val="0"/>
      <w:marTop w:val="0"/>
      <w:marBottom w:val="0"/>
      <w:divBdr>
        <w:top w:val="none" w:sz="0" w:space="0" w:color="auto"/>
        <w:left w:val="none" w:sz="0" w:space="0" w:color="auto"/>
        <w:bottom w:val="none" w:sz="0" w:space="0" w:color="auto"/>
        <w:right w:val="none" w:sz="0" w:space="0" w:color="auto"/>
      </w:divBdr>
    </w:div>
    <w:div w:id="845940971">
      <w:bodyDiv w:val="1"/>
      <w:marLeft w:val="0"/>
      <w:marRight w:val="0"/>
      <w:marTop w:val="0"/>
      <w:marBottom w:val="0"/>
      <w:divBdr>
        <w:top w:val="none" w:sz="0" w:space="0" w:color="auto"/>
        <w:left w:val="none" w:sz="0" w:space="0" w:color="auto"/>
        <w:bottom w:val="none" w:sz="0" w:space="0" w:color="auto"/>
        <w:right w:val="none" w:sz="0" w:space="0" w:color="auto"/>
      </w:divBdr>
    </w:div>
    <w:div w:id="871914435">
      <w:bodyDiv w:val="1"/>
      <w:marLeft w:val="0"/>
      <w:marRight w:val="0"/>
      <w:marTop w:val="0"/>
      <w:marBottom w:val="0"/>
      <w:divBdr>
        <w:top w:val="none" w:sz="0" w:space="0" w:color="auto"/>
        <w:left w:val="none" w:sz="0" w:space="0" w:color="auto"/>
        <w:bottom w:val="none" w:sz="0" w:space="0" w:color="auto"/>
        <w:right w:val="none" w:sz="0" w:space="0" w:color="auto"/>
      </w:divBdr>
    </w:div>
    <w:div w:id="925531292">
      <w:bodyDiv w:val="1"/>
      <w:marLeft w:val="0"/>
      <w:marRight w:val="0"/>
      <w:marTop w:val="0"/>
      <w:marBottom w:val="0"/>
      <w:divBdr>
        <w:top w:val="none" w:sz="0" w:space="0" w:color="auto"/>
        <w:left w:val="none" w:sz="0" w:space="0" w:color="auto"/>
        <w:bottom w:val="none" w:sz="0" w:space="0" w:color="auto"/>
        <w:right w:val="none" w:sz="0" w:space="0" w:color="auto"/>
      </w:divBdr>
    </w:div>
    <w:div w:id="979462407">
      <w:bodyDiv w:val="1"/>
      <w:marLeft w:val="0"/>
      <w:marRight w:val="0"/>
      <w:marTop w:val="0"/>
      <w:marBottom w:val="0"/>
      <w:divBdr>
        <w:top w:val="none" w:sz="0" w:space="0" w:color="auto"/>
        <w:left w:val="none" w:sz="0" w:space="0" w:color="auto"/>
        <w:bottom w:val="none" w:sz="0" w:space="0" w:color="auto"/>
        <w:right w:val="none" w:sz="0" w:space="0" w:color="auto"/>
      </w:divBdr>
    </w:div>
    <w:div w:id="1001353710">
      <w:bodyDiv w:val="1"/>
      <w:marLeft w:val="0"/>
      <w:marRight w:val="0"/>
      <w:marTop w:val="0"/>
      <w:marBottom w:val="0"/>
      <w:divBdr>
        <w:top w:val="none" w:sz="0" w:space="0" w:color="auto"/>
        <w:left w:val="none" w:sz="0" w:space="0" w:color="auto"/>
        <w:bottom w:val="none" w:sz="0" w:space="0" w:color="auto"/>
        <w:right w:val="none" w:sz="0" w:space="0" w:color="auto"/>
      </w:divBdr>
    </w:div>
    <w:div w:id="1094280798">
      <w:bodyDiv w:val="1"/>
      <w:marLeft w:val="0"/>
      <w:marRight w:val="0"/>
      <w:marTop w:val="0"/>
      <w:marBottom w:val="0"/>
      <w:divBdr>
        <w:top w:val="none" w:sz="0" w:space="0" w:color="auto"/>
        <w:left w:val="none" w:sz="0" w:space="0" w:color="auto"/>
        <w:bottom w:val="none" w:sz="0" w:space="0" w:color="auto"/>
        <w:right w:val="none" w:sz="0" w:space="0" w:color="auto"/>
      </w:divBdr>
    </w:div>
    <w:div w:id="1145002456">
      <w:bodyDiv w:val="1"/>
      <w:marLeft w:val="0"/>
      <w:marRight w:val="0"/>
      <w:marTop w:val="0"/>
      <w:marBottom w:val="0"/>
      <w:divBdr>
        <w:top w:val="none" w:sz="0" w:space="0" w:color="auto"/>
        <w:left w:val="none" w:sz="0" w:space="0" w:color="auto"/>
        <w:bottom w:val="none" w:sz="0" w:space="0" w:color="auto"/>
        <w:right w:val="none" w:sz="0" w:space="0" w:color="auto"/>
      </w:divBdr>
    </w:div>
    <w:div w:id="1154443877">
      <w:bodyDiv w:val="1"/>
      <w:marLeft w:val="0"/>
      <w:marRight w:val="0"/>
      <w:marTop w:val="0"/>
      <w:marBottom w:val="0"/>
      <w:divBdr>
        <w:top w:val="none" w:sz="0" w:space="0" w:color="auto"/>
        <w:left w:val="none" w:sz="0" w:space="0" w:color="auto"/>
        <w:bottom w:val="none" w:sz="0" w:space="0" w:color="auto"/>
        <w:right w:val="none" w:sz="0" w:space="0" w:color="auto"/>
      </w:divBdr>
    </w:div>
    <w:div w:id="1164004477">
      <w:bodyDiv w:val="1"/>
      <w:marLeft w:val="0"/>
      <w:marRight w:val="0"/>
      <w:marTop w:val="0"/>
      <w:marBottom w:val="0"/>
      <w:divBdr>
        <w:top w:val="none" w:sz="0" w:space="0" w:color="auto"/>
        <w:left w:val="none" w:sz="0" w:space="0" w:color="auto"/>
        <w:bottom w:val="none" w:sz="0" w:space="0" w:color="auto"/>
        <w:right w:val="none" w:sz="0" w:space="0" w:color="auto"/>
      </w:divBdr>
    </w:div>
    <w:div w:id="1168130343">
      <w:bodyDiv w:val="1"/>
      <w:marLeft w:val="0"/>
      <w:marRight w:val="0"/>
      <w:marTop w:val="0"/>
      <w:marBottom w:val="0"/>
      <w:divBdr>
        <w:top w:val="none" w:sz="0" w:space="0" w:color="auto"/>
        <w:left w:val="none" w:sz="0" w:space="0" w:color="auto"/>
        <w:bottom w:val="none" w:sz="0" w:space="0" w:color="auto"/>
        <w:right w:val="none" w:sz="0" w:space="0" w:color="auto"/>
      </w:divBdr>
    </w:div>
    <w:div w:id="1176575850">
      <w:bodyDiv w:val="1"/>
      <w:marLeft w:val="0"/>
      <w:marRight w:val="0"/>
      <w:marTop w:val="0"/>
      <w:marBottom w:val="0"/>
      <w:divBdr>
        <w:top w:val="none" w:sz="0" w:space="0" w:color="auto"/>
        <w:left w:val="none" w:sz="0" w:space="0" w:color="auto"/>
        <w:bottom w:val="none" w:sz="0" w:space="0" w:color="auto"/>
        <w:right w:val="none" w:sz="0" w:space="0" w:color="auto"/>
      </w:divBdr>
    </w:div>
    <w:div w:id="1214536968">
      <w:bodyDiv w:val="1"/>
      <w:marLeft w:val="0"/>
      <w:marRight w:val="0"/>
      <w:marTop w:val="0"/>
      <w:marBottom w:val="0"/>
      <w:divBdr>
        <w:top w:val="none" w:sz="0" w:space="0" w:color="auto"/>
        <w:left w:val="none" w:sz="0" w:space="0" w:color="auto"/>
        <w:bottom w:val="none" w:sz="0" w:space="0" w:color="auto"/>
        <w:right w:val="none" w:sz="0" w:space="0" w:color="auto"/>
      </w:divBdr>
    </w:div>
    <w:div w:id="1241599514">
      <w:bodyDiv w:val="1"/>
      <w:marLeft w:val="0"/>
      <w:marRight w:val="0"/>
      <w:marTop w:val="0"/>
      <w:marBottom w:val="0"/>
      <w:divBdr>
        <w:top w:val="none" w:sz="0" w:space="0" w:color="auto"/>
        <w:left w:val="none" w:sz="0" w:space="0" w:color="auto"/>
        <w:bottom w:val="none" w:sz="0" w:space="0" w:color="auto"/>
        <w:right w:val="none" w:sz="0" w:space="0" w:color="auto"/>
      </w:divBdr>
    </w:div>
    <w:div w:id="1271158709">
      <w:bodyDiv w:val="1"/>
      <w:marLeft w:val="0"/>
      <w:marRight w:val="0"/>
      <w:marTop w:val="0"/>
      <w:marBottom w:val="0"/>
      <w:divBdr>
        <w:top w:val="none" w:sz="0" w:space="0" w:color="auto"/>
        <w:left w:val="none" w:sz="0" w:space="0" w:color="auto"/>
        <w:bottom w:val="none" w:sz="0" w:space="0" w:color="auto"/>
        <w:right w:val="none" w:sz="0" w:space="0" w:color="auto"/>
      </w:divBdr>
    </w:div>
    <w:div w:id="1534346214">
      <w:bodyDiv w:val="1"/>
      <w:marLeft w:val="0"/>
      <w:marRight w:val="0"/>
      <w:marTop w:val="0"/>
      <w:marBottom w:val="0"/>
      <w:divBdr>
        <w:top w:val="none" w:sz="0" w:space="0" w:color="auto"/>
        <w:left w:val="none" w:sz="0" w:space="0" w:color="auto"/>
        <w:bottom w:val="none" w:sz="0" w:space="0" w:color="auto"/>
        <w:right w:val="none" w:sz="0" w:space="0" w:color="auto"/>
      </w:divBdr>
    </w:div>
    <w:div w:id="1600022958">
      <w:bodyDiv w:val="1"/>
      <w:marLeft w:val="0"/>
      <w:marRight w:val="0"/>
      <w:marTop w:val="0"/>
      <w:marBottom w:val="0"/>
      <w:divBdr>
        <w:top w:val="none" w:sz="0" w:space="0" w:color="auto"/>
        <w:left w:val="none" w:sz="0" w:space="0" w:color="auto"/>
        <w:bottom w:val="none" w:sz="0" w:space="0" w:color="auto"/>
        <w:right w:val="none" w:sz="0" w:space="0" w:color="auto"/>
      </w:divBdr>
    </w:div>
    <w:div w:id="1611280162">
      <w:bodyDiv w:val="1"/>
      <w:marLeft w:val="0"/>
      <w:marRight w:val="0"/>
      <w:marTop w:val="0"/>
      <w:marBottom w:val="0"/>
      <w:divBdr>
        <w:top w:val="none" w:sz="0" w:space="0" w:color="auto"/>
        <w:left w:val="none" w:sz="0" w:space="0" w:color="auto"/>
        <w:bottom w:val="none" w:sz="0" w:space="0" w:color="auto"/>
        <w:right w:val="none" w:sz="0" w:space="0" w:color="auto"/>
      </w:divBdr>
    </w:div>
    <w:div w:id="1617834617">
      <w:bodyDiv w:val="1"/>
      <w:marLeft w:val="0"/>
      <w:marRight w:val="0"/>
      <w:marTop w:val="0"/>
      <w:marBottom w:val="0"/>
      <w:divBdr>
        <w:top w:val="none" w:sz="0" w:space="0" w:color="auto"/>
        <w:left w:val="none" w:sz="0" w:space="0" w:color="auto"/>
        <w:bottom w:val="none" w:sz="0" w:space="0" w:color="auto"/>
        <w:right w:val="none" w:sz="0" w:space="0" w:color="auto"/>
      </w:divBdr>
    </w:div>
    <w:div w:id="1757633172">
      <w:bodyDiv w:val="1"/>
      <w:marLeft w:val="0"/>
      <w:marRight w:val="0"/>
      <w:marTop w:val="0"/>
      <w:marBottom w:val="0"/>
      <w:divBdr>
        <w:top w:val="none" w:sz="0" w:space="0" w:color="auto"/>
        <w:left w:val="none" w:sz="0" w:space="0" w:color="auto"/>
        <w:bottom w:val="none" w:sz="0" w:space="0" w:color="auto"/>
        <w:right w:val="none" w:sz="0" w:space="0" w:color="auto"/>
      </w:divBdr>
    </w:div>
    <w:div w:id="1772822251">
      <w:bodyDiv w:val="1"/>
      <w:marLeft w:val="0"/>
      <w:marRight w:val="0"/>
      <w:marTop w:val="0"/>
      <w:marBottom w:val="0"/>
      <w:divBdr>
        <w:top w:val="none" w:sz="0" w:space="0" w:color="auto"/>
        <w:left w:val="none" w:sz="0" w:space="0" w:color="auto"/>
        <w:bottom w:val="none" w:sz="0" w:space="0" w:color="auto"/>
        <w:right w:val="none" w:sz="0" w:space="0" w:color="auto"/>
      </w:divBdr>
    </w:div>
    <w:div w:id="1831676910">
      <w:bodyDiv w:val="1"/>
      <w:marLeft w:val="0"/>
      <w:marRight w:val="0"/>
      <w:marTop w:val="0"/>
      <w:marBottom w:val="0"/>
      <w:divBdr>
        <w:top w:val="none" w:sz="0" w:space="0" w:color="auto"/>
        <w:left w:val="none" w:sz="0" w:space="0" w:color="auto"/>
        <w:bottom w:val="none" w:sz="0" w:space="0" w:color="auto"/>
        <w:right w:val="none" w:sz="0" w:space="0" w:color="auto"/>
      </w:divBdr>
    </w:div>
    <w:div w:id="196079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image" Target="media/image5.emf"/><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header" Target="header17.xml"/><Relationship Id="rId55" Type="http://schemas.openxmlformats.org/officeDocument/2006/relationships/image" Target="media/image8.emf"/><Relationship Id="rId63" Type="http://schemas.openxmlformats.org/officeDocument/2006/relationships/image" Target="media/image10.emf"/><Relationship Id="rId68" Type="http://schemas.openxmlformats.org/officeDocument/2006/relationships/image" Target="media/image15.png"/><Relationship Id="rId76" Type="http://schemas.openxmlformats.org/officeDocument/2006/relationships/footer" Target="footer24.xml"/><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3.emf"/><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header" Target="header18.xml"/><Relationship Id="rId58" Type="http://schemas.openxmlformats.org/officeDocument/2006/relationships/header" Target="header20.xml"/><Relationship Id="rId66" Type="http://schemas.openxmlformats.org/officeDocument/2006/relationships/image" Target="media/image13.png"/><Relationship Id="rId74" Type="http://schemas.openxmlformats.org/officeDocument/2006/relationships/footer" Target="footer23.xml"/><Relationship Id="rId5" Type="http://schemas.openxmlformats.org/officeDocument/2006/relationships/settings" Target="settings.xml"/><Relationship Id="rId61" Type="http://schemas.openxmlformats.org/officeDocument/2006/relationships/header" Target="header2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2.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0.xml"/><Relationship Id="rId65" Type="http://schemas.openxmlformats.org/officeDocument/2006/relationships/image" Target="media/image12.png"/><Relationship Id="rId73" Type="http://schemas.openxmlformats.org/officeDocument/2006/relationships/footer" Target="footer22.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chart" Target="charts/chart1.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image" Target="media/image7.emf"/><Relationship Id="rId56" Type="http://schemas.openxmlformats.org/officeDocument/2006/relationships/image" Target="media/image9.emf"/><Relationship Id="rId64" Type="http://schemas.openxmlformats.org/officeDocument/2006/relationships/image" Target="media/image11.emf"/><Relationship Id="rId69" Type="http://schemas.openxmlformats.org/officeDocument/2006/relationships/image" Target="media/image16.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chart" Target="charts/chart3.xml"/><Relationship Id="rId38" Type="http://schemas.openxmlformats.org/officeDocument/2006/relationships/footer" Target="footer11.xml"/><Relationship Id="rId46" Type="http://schemas.openxmlformats.org/officeDocument/2006/relationships/header" Target="header15.xml"/><Relationship Id="rId59" Type="http://schemas.openxmlformats.org/officeDocument/2006/relationships/footer" Target="footer19.xml"/><Relationship Id="rId67" Type="http://schemas.openxmlformats.org/officeDocument/2006/relationships/image" Target="media/image14.png"/><Relationship Id="rId20" Type="http://schemas.openxmlformats.org/officeDocument/2006/relationships/footer" Target="footer5.xml"/><Relationship Id="rId41" Type="http://schemas.openxmlformats.org/officeDocument/2006/relationships/image" Target="media/image6.emf"/><Relationship Id="rId54" Type="http://schemas.openxmlformats.org/officeDocument/2006/relationships/footer" Target="footer18.xml"/><Relationship Id="rId62" Type="http://schemas.openxmlformats.org/officeDocument/2006/relationships/footer" Target="footer21.xml"/><Relationship Id="rId70" Type="http://schemas.openxmlformats.org/officeDocument/2006/relationships/image" Target="media/image17.png"/><Relationship Id="rId75"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1.xml"/><Relationship Id="rId49" Type="http://schemas.openxmlformats.org/officeDocument/2006/relationships/header" Target="header16.xml"/><Relationship Id="rId57" Type="http://schemas.openxmlformats.org/officeDocument/2006/relationships/header" Target="header19.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EMPL\F\F2\1.10.11.10%20EGF\08%20Annual%20Reports\2017%20Biennial%20Report\Biennial%20Report_Excel%20tables\Biennial%20Report_1516_Tables_inclusing%20average%20lines_240217_%202nd%20version.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'2 - CALC. 2015-2016'!$I$3:$I$13</c:f>
              <c:strCache>
                <c:ptCount val="11"/>
                <c:pt idx="0">
                  <c:v>FI</c:v>
                </c:pt>
                <c:pt idx="1">
                  <c:v>BE</c:v>
                </c:pt>
                <c:pt idx="2">
                  <c:v>DE</c:v>
                </c:pt>
                <c:pt idx="3">
                  <c:v>EL</c:v>
                </c:pt>
                <c:pt idx="4">
                  <c:v>SE</c:v>
                </c:pt>
                <c:pt idx="5">
                  <c:v>FR</c:v>
                </c:pt>
                <c:pt idx="6">
                  <c:v>NL</c:v>
                </c:pt>
                <c:pt idx="7">
                  <c:v>IT</c:v>
                </c:pt>
                <c:pt idx="8">
                  <c:v>EE</c:v>
                </c:pt>
                <c:pt idx="9">
                  <c:v>ES</c:v>
                </c:pt>
                <c:pt idx="10">
                  <c:v>IE</c:v>
                </c:pt>
              </c:strCache>
            </c:strRef>
          </c:cat>
          <c:val>
            <c:numRef>
              <c:f>'2 - CALC. 2015-2016'!$J$3:$J$13</c:f>
              <c:numCache>
                <c:formatCode>#,##0</c:formatCode>
                <c:ptCount val="11"/>
                <c:pt idx="0">
                  <c:v>11994000</c:v>
                </c:pt>
                <c:pt idx="1">
                  <c:v>9188149</c:v>
                </c:pt>
                <c:pt idx="2">
                  <c:v>6958623</c:v>
                </c:pt>
                <c:pt idx="3">
                  <c:v>6468000</c:v>
                </c:pt>
                <c:pt idx="4">
                  <c:v>5751628</c:v>
                </c:pt>
                <c:pt idx="5">
                  <c:v>5146800</c:v>
                </c:pt>
                <c:pt idx="6">
                  <c:v>1818750</c:v>
                </c:pt>
                <c:pt idx="7">
                  <c:v>1414848</c:v>
                </c:pt>
                <c:pt idx="8">
                  <c:v>1131358</c:v>
                </c:pt>
                <c:pt idx="9">
                  <c:v>856800</c:v>
                </c:pt>
                <c:pt idx="10">
                  <c:v>442293</c:v>
                </c:pt>
              </c:numCache>
            </c:numRef>
          </c:val>
        </c:ser>
        <c:dLbls>
          <c:showLegendKey val="0"/>
          <c:showVal val="0"/>
          <c:showCatName val="0"/>
          <c:showSerName val="0"/>
          <c:showPercent val="0"/>
          <c:showBubbleSize val="0"/>
        </c:dLbls>
        <c:gapWidth val="150"/>
        <c:axId val="174806912"/>
        <c:axId val="174808448"/>
      </c:barChart>
      <c:lineChart>
        <c:grouping val="standard"/>
        <c:varyColors val="0"/>
        <c:ser>
          <c:idx val="1"/>
          <c:order val="1"/>
          <c:spPr>
            <a:ln w="41275"/>
          </c:spPr>
          <c:marker>
            <c:symbol val="none"/>
          </c:marker>
          <c:cat>
            <c:strRef>
              <c:f>'2 - CALC. 2015-2016'!$I$3:$I$13</c:f>
              <c:strCache>
                <c:ptCount val="11"/>
                <c:pt idx="0">
                  <c:v>FI</c:v>
                </c:pt>
                <c:pt idx="1">
                  <c:v>BE</c:v>
                </c:pt>
                <c:pt idx="2">
                  <c:v>DE</c:v>
                </c:pt>
                <c:pt idx="3">
                  <c:v>EL</c:v>
                </c:pt>
                <c:pt idx="4">
                  <c:v>SE</c:v>
                </c:pt>
                <c:pt idx="5">
                  <c:v>FR</c:v>
                </c:pt>
                <c:pt idx="6">
                  <c:v>NL</c:v>
                </c:pt>
                <c:pt idx="7">
                  <c:v>IT</c:v>
                </c:pt>
                <c:pt idx="8">
                  <c:v>EE</c:v>
                </c:pt>
                <c:pt idx="9">
                  <c:v>ES</c:v>
                </c:pt>
                <c:pt idx="10">
                  <c:v>IE</c:v>
                </c:pt>
              </c:strCache>
            </c:strRef>
          </c:cat>
          <c:val>
            <c:numRef>
              <c:f>'2 - CALC. 2015-2016'!$K$3:$K$13</c:f>
              <c:numCache>
                <c:formatCode>#,##0</c:formatCode>
                <c:ptCount val="11"/>
                <c:pt idx="0">
                  <c:v>4651931.7272727275</c:v>
                </c:pt>
                <c:pt idx="1">
                  <c:v>4651931.7272727275</c:v>
                </c:pt>
                <c:pt idx="2">
                  <c:v>4651931.7272727275</c:v>
                </c:pt>
                <c:pt idx="3">
                  <c:v>4651931.7272727275</c:v>
                </c:pt>
                <c:pt idx="4">
                  <c:v>4651931.7272727275</c:v>
                </c:pt>
                <c:pt idx="5">
                  <c:v>4651931.7272727275</c:v>
                </c:pt>
                <c:pt idx="6">
                  <c:v>4651931.7272727275</c:v>
                </c:pt>
                <c:pt idx="7">
                  <c:v>4651931.7272727275</c:v>
                </c:pt>
                <c:pt idx="8">
                  <c:v>4651931.7272727275</c:v>
                </c:pt>
                <c:pt idx="9">
                  <c:v>4651931.7272727275</c:v>
                </c:pt>
                <c:pt idx="10">
                  <c:v>4651931.7272727275</c:v>
                </c:pt>
              </c:numCache>
            </c:numRef>
          </c:val>
          <c:smooth val="0"/>
        </c:ser>
        <c:dLbls>
          <c:showLegendKey val="0"/>
          <c:showVal val="0"/>
          <c:showCatName val="0"/>
          <c:showSerName val="0"/>
          <c:showPercent val="0"/>
          <c:showBubbleSize val="0"/>
        </c:dLbls>
        <c:marker val="1"/>
        <c:smooth val="0"/>
        <c:axId val="174806912"/>
        <c:axId val="174808448"/>
      </c:lineChart>
      <c:catAx>
        <c:axId val="174806912"/>
        <c:scaling>
          <c:orientation val="minMax"/>
        </c:scaling>
        <c:delete val="0"/>
        <c:axPos val="b"/>
        <c:numFmt formatCode="General" sourceLinked="0"/>
        <c:majorTickMark val="out"/>
        <c:minorTickMark val="none"/>
        <c:tickLblPos val="nextTo"/>
        <c:crossAx val="174808448"/>
        <c:crosses val="autoZero"/>
        <c:auto val="1"/>
        <c:lblAlgn val="ctr"/>
        <c:lblOffset val="100"/>
        <c:noMultiLvlLbl val="0"/>
      </c:catAx>
      <c:valAx>
        <c:axId val="174808448"/>
        <c:scaling>
          <c:orientation val="minMax"/>
        </c:scaling>
        <c:delete val="0"/>
        <c:axPos val="l"/>
        <c:majorGridlines/>
        <c:numFmt formatCode="#,##0" sourceLinked="1"/>
        <c:majorTickMark val="out"/>
        <c:minorTickMark val="none"/>
        <c:tickLblPos val="nextTo"/>
        <c:txPr>
          <a:bodyPr/>
          <a:lstStyle/>
          <a:p>
            <a:pPr>
              <a:defRPr sz="1200"/>
            </a:pPr>
            <a:endParaRPr lang="en-US"/>
          </a:p>
        </c:txPr>
        <c:crossAx val="1748069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0"/>
                  <c:y val="2.174700978615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541398616755055E-3"/>
                  <c:y val="-5.704118535985140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565062388591791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37670825906119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 CALC - 2015-2016'!$H$5:$H$15</c:f>
              <c:strCache>
                <c:ptCount val="11"/>
                <c:pt idx="0">
                  <c:v>BE</c:v>
                </c:pt>
                <c:pt idx="1">
                  <c:v>FI</c:v>
                </c:pt>
                <c:pt idx="2">
                  <c:v>DE</c:v>
                </c:pt>
                <c:pt idx="3">
                  <c:v>FR</c:v>
                </c:pt>
                <c:pt idx="4">
                  <c:v>SE</c:v>
                </c:pt>
                <c:pt idx="5">
                  <c:v>EE</c:v>
                </c:pt>
                <c:pt idx="6">
                  <c:v>NL</c:v>
                </c:pt>
                <c:pt idx="7">
                  <c:v>EL</c:v>
                </c:pt>
                <c:pt idx="8">
                  <c:v>ES</c:v>
                </c:pt>
                <c:pt idx="9">
                  <c:v>IT</c:v>
                </c:pt>
                <c:pt idx="10">
                  <c:v>IE</c:v>
                </c:pt>
              </c:strCache>
            </c:strRef>
          </c:cat>
          <c:val>
            <c:numRef>
              <c:f>'3 - CALC - 2015-2016'!$I$5:$I$15</c:f>
              <c:numCache>
                <c:formatCode>#,##0</c:formatCode>
                <c:ptCount val="11"/>
                <c:pt idx="0">
                  <c:v>5400</c:v>
                </c:pt>
                <c:pt idx="1">
                  <c:v>3962</c:v>
                </c:pt>
                <c:pt idx="2">
                  <c:v>2692</c:v>
                </c:pt>
                <c:pt idx="3">
                  <c:v>2132</c:v>
                </c:pt>
                <c:pt idx="4">
                  <c:v>1418</c:v>
                </c:pt>
                <c:pt idx="5">
                  <c:v>800</c:v>
                </c:pt>
                <c:pt idx="6">
                  <c:v>800</c:v>
                </c:pt>
                <c:pt idx="7">
                  <c:v>557</c:v>
                </c:pt>
                <c:pt idx="8">
                  <c:v>250</c:v>
                </c:pt>
                <c:pt idx="9">
                  <c:v>184</c:v>
                </c:pt>
                <c:pt idx="10">
                  <c:v>108</c:v>
                </c:pt>
              </c:numCache>
            </c:numRef>
          </c:val>
        </c:ser>
        <c:dLbls>
          <c:showLegendKey val="0"/>
          <c:showVal val="0"/>
          <c:showCatName val="0"/>
          <c:showSerName val="0"/>
          <c:showPercent val="0"/>
          <c:showBubbleSize val="0"/>
        </c:dLbls>
        <c:gapWidth val="150"/>
        <c:axId val="174768896"/>
        <c:axId val="174770432"/>
      </c:barChart>
      <c:lineChart>
        <c:grouping val="standard"/>
        <c:varyColors val="0"/>
        <c:ser>
          <c:idx val="1"/>
          <c:order val="1"/>
          <c:spPr>
            <a:ln w="41275"/>
          </c:spPr>
          <c:marker>
            <c:symbol val="none"/>
          </c:marker>
          <c:cat>
            <c:strRef>
              <c:f>'3 - CALC - 2015-2016'!$H$5:$H$15</c:f>
              <c:strCache>
                <c:ptCount val="11"/>
                <c:pt idx="0">
                  <c:v>BE</c:v>
                </c:pt>
                <c:pt idx="1">
                  <c:v>FI</c:v>
                </c:pt>
                <c:pt idx="2">
                  <c:v>DE</c:v>
                </c:pt>
                <c:pt idx="3">
                  <c:v>FR</c:v>
                </c:pt>
                <c:pt idx="4">
                  <c:v>SE</c:v>
                </c:pt>
                <c:pt idx="5">
                  <c:v>EE</c:v>
                </c:pt>
                <c:pt idx="6">
                  <c:v>NL</c:v>
                </c:pt>
                <c:pt idx="7">
                  <c:v>EL</c:v>
                </c:pt>
                <c:pt idx="8">
                  <c:v>ES</c:v>
                </c:pt>
                <c:pt idx="9">
                  <c:v>IT</c:v>
                </c:pt>
                <c:pt idx="10">
                  <c:v>IE</c:v>
                </c:pt>
              </c:strCache>
            </c:strRef>
          </c:cat>
          <c:val>
            <c:numRef>
              <c:f>'3 - CALC - 2015-2016'!$J$5:$J$15</c:f>
              <c:numCache>
                <c:formatCode>#,##0</c:formatCode>
                <c:ptCount val="11"/>
                <c:pt idx="0">
                  <c:v>1663.909090909091</c:v>
                </c:pt>
                <c:pt idx="1">
                  <c:v>1663.909090909091</c:v>
                </c:pt>
                <c:pt idx="2">
                  <c:v>1663.909090909091</c:v>
                </c:pt>
                <c:pt idx="3">
                  <c:v>1663.909090909091</c:v>
                </c:pt>
                <c:pt idx="4">
                  <c:v>1663.909090909091</c:v>
                </c:pt>
                <c:pt idx="5">
                  <c:v>1663.909090909091</c:v>
                </c:pt>
                <c:pt idx="6">
                  <c:v>1663.909090909091</c:v>
                </c:pt>
                <c:pt idx="7">
                  <c:v>1663.909090909091</c:v>
                </c:pt>
                <c:pt idx="8">
                  <c:v>1663.909090909091</c:v>
                </c:pt>
                <c:pt idx="9">
                  <c:v>1663.909090909091</c:v>
                </c:pt>
                <c:pt idx="10">
                  <c:v>1663.909090909091</c:v>
                </c:pt>
              </c:numCache>
            </c:numRef>
          </c:val>
          <c:smooth val="0"/>
        </c:ser>
        <c:dLbls>
          <c:showLegendKey val="0"/>
          <c:showVal val="0"/>
          <c:showCatName val="0"/>
          <c:showSerName val="0"/>
          <c:showPercent val="0"/>
          <c:showBubbleSize val="0"/>
        </c:dLbls>
        <c:marker val="1"/>
        <c:smooth val="0"/>
        <c:axId val="174768896"/>
        <c:axId val="174770432"/>
      </c:lineChart>
      <c:catAx>
        <c:axId val="174768896"/>
        <c:scaling>
          <c:orientation val="minMax"/>
        </c:scaling>
        <c:delete val="0"/>
        <c:axPos val="b"/>
        <c:numFmt formatCode="General" sourceLinked="0"/>
        <c:majorTickMark val="out"/>
        <c:minorTickMark val="none"/>
        <c:tickLblPos val="nextTo"/>
        <c:crossAx val="174770432"/>
        <c:crosses val="autoZero"/>
        <c:auto val="1"/>
        <c:lblAlgn val="ctr"/>
        <c:lblOffset val="100"/>
        <c:noMultiLvlLbl val="0"/>
      </c:catAx>
      <c:valAx>
        <c:axId val="174770432"/>
        <c:scaling>
          <c:orientation val="minMax"/>
        </c:scaling>
        <c:delete val="0"/>
        <c:axPos val="l"/>
        <c:majorGridlines/>
        <c:numFmt formatCode="#,##0" sourceLinked="1"/>
        <c:majorTickMark val="out"/>
        <c:minorTickMark val="none"/>
        <c:tickLblPos val="nextTo"/>
        <c:crossAx val="1747688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98232023554534E-2"/>
          <c:y val="4.217544537459101E-2"/>
          <c:w val="0.92405195050809374"/>
          <c:h val="0.87400819021674114"/>
        </c:manualLayout>
      </c:layout>
      <c:barChart>
        <c:barDir val="col"/>
        <c:grouping val="clustered"/>
        <c:varyColors val="0"/>
        <c:ser>
          <c:idx val="0"/>
          <c:order val="0"/>
          <c:tx>
            <c:strRef>
              <c:f>'6 - CALC 2015-2016'!$L$4</c:f>
              <c:strCache>
                <c:ptCount val="1"/>
                <c:pt idx="0">
                  <c:v>REQUESTED AMOUNT PER WORKER</c:v>
                </c:pt>
              </c:strCache>
            </c:strRef>
          </c:tx>
          <c:invertIfNegative val="0"/>
          <c:dLbls>
            <c:dLbl>
              <c:idx val="0"/>
              <c:layout>
                <c:manualLayout>
                  <c:x val="0"/>
                  <c:y val="-1.04545449556408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9696966370939332E-3"/>
                </c:manualLayout>
              </c:layout>
              <c:tx>
                <c:rich>
                  <a:bodyPr/>
                  <a:lstStyle/>
                  <a:p>
                    <a:r>
                      <a:rPr lang="en-US"/>
                      <a:t>4.311</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531801588031974E-3"/>
                  <c:y val="-3.83333315040166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1908095281917866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5954047640959219E-3"/>
                  <c:y val="-2.439393822982876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531801588031974E-3"/>
                  <c:y val="-4.181817982256359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531801588031974E-3"/>
                  <c:y val="-5.924242141529843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531801588031974E-3"/>
                  <c:y val="-7.66666630080333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0.12196969114914376"/>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63603176063948E-3"/>
                  <c:y val="-0.1289393877862377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 CALC 2015-2016'!$K$5:$K$15</c:f>
              <c:strCache>
                <c:ptCount val="11"/>
                <c:pt idx="0">
                  <c:v>IT</c:v>
                </c:pt>
                <c:pt idx="1">
                  <c:v>EL</c:v>
                </c:pt>
                <c:pt idx="2">
                  <c:v>SE</c:v>
                </c:pt>
                <c:pt idx="3">
                  <c:v>ES</c:v>
                </c:pt>
                <c:pt idx="4">
                  <c:v>FI</c:v>
                </c:pt>
                <c:pt idx="5">
                  <c:v>DE</c:v>
                </c:pt>
                <c:pt idx="6">
                  <c:v>FR</c:v>
                </c:pt>
                <c:pt idx="7">
                  <c:v>NL</c:v>
                </c:pt>
                <c:pt idx="8">
                  <c:v>IE</c:v>
                </c:pt>
                <c:pt idx="9">
                  <c:v>BE</c:v>
                </c:pt>
                <c:pt idx="10">
                  <c:v>EE</c:v>
                </c:pt>
              </c:strCache>
            </c:strRef>
          </c:cat>
          <c:val>
            <c:numRef>
              <c:f>'6 - CALC 2015-2016'!$L$5:$L$15</c:f>
              <c:numCache>
                <c:formatCode>#,##0</c:formatCode>
                <c:ptCount val="11"/>
                <c:pt idx="0">
                  <c:v>7689.391304347826</c:v>
                </c:pt>
                <c:pt idx="1">
                  <c:v>5880</c:v>
                </c:pt>
                <c:pt idx="2">
                  <c:v>4056.1551480959097</c:v>
                </c:pt>
                <c:pt idx="3">
                  <c:v>3427.2</c:v>
                </c:pt>
                <c:pt idx="4">
                  <c:v>3027.2589601211507</c:v>
                </c:pt>
                <c:pt idx="5">
                  <c:v>2584.9268202080239</c:v>
                </c:pt>
                <c:pt idx="6">
                  <c:v>2414.0712945590994</c:v>
                </c:pt>
                <c:pt idx="7">
                  <c:v>2273.4375</c:v>
                </c:pt>
                <c:pt idx="8">
                  <c:v>2048</c:v>
                </c:pt>
                <c:pt idx="9">
                  <c:v>1584.1636206896551</c:v>
                </c:pt>
                <c:pt idx="10">
                  <c:v>1414.1975</c:v>
                </c:pt>
              </c:numCache>
            </c:numRef>
          </c:val>
        </c:ser>
        <c:dLbls>
          <c:showLegendKey val="0"/>
          <c:showVal val="0"/>
          <c:showCatName val="0"/>
          <c:showSerName val="0"/>
          <c:showPercent val="0"/>
          <c:showBubbleSize val="0"/>
        </c:dLbls>
        <c:gapWidth val="150"/>
        <c:axId val="371678208"/>
        <c:axId val="443208448"/>
      </c:barChart>
      <c:lineChart>
        <c:grouping val="standard"/>
        <c:varyColors val="0"/>
        <c:ser>
          <c:idx val="1"/>
          <c:order val="1"/>
          <c:tx>
            <c:strRef>
              <c:f>'6 - CALC 2015-2016'!$M$4</c:f>
              <c:strCache>
                <c:ptCount val="1"/>
                <c:pt idx="0">
                  <c:v>AVERAGE</c:v>
                </c:pt>
              </c:strCache>
            </c:strRef>
          </c:tx>
          <c:spPr>
            <a:ln w="34925"/>
          </c:spPr>
          <c:marker>
            <c:symbol val="none"/>
          </c:marker>
          <c:cat>
            <c:strRef>
              <c:f>'6 - CALC 2015-2016'!$K$5:$K$15</c:f>
              <c:strCache>
                <c:ptCount val="11"/>
                <c:pt idx="0">
                  <c:v>IT</c:v>
                </c:pt>
                <c:pt idx="1">
                  <c:v>EL</c:v>
                </c:pt>
                <c:pt idx="2">
                  <c:v>SE</c:v>
                </c:pt>
                <c:pt idx="3">
                  <c:v>ES</c:v>
                </c:pt>
                <c:pt idx="4">
                  <c:v>FI</c:v>
                </c:pt>
                <c:pt idx="5">
                  <c:v>DE</c:v>
                </c:pt>
                <c:pt idx="6">
                  <c:v>FR</c:v>
                </c:pt>
                <c:pt idx="7">
                  <c:v>NL</c:v>
                </c:pt>
                <c:pt idx="8">
                  <c:v>IE</c:v>
                </c:pt>
                <c:pt idx="9">
                  <c:v>BE</c:v>
                </c:pt>
                <c:pt idx="10">
                  <c:v>EE</c:v>
                </c:pt>
              </c:strCache>
            </c:strRef>
          </c:cat>
          <c:val>
            <c:numRef>
              <c:f>'6 - CALC 2015-2016'!$M$5:$M$15</c:f>
              <c:numCache>
                <c:formatCode>#,##0</c:formatCode>
                <c:ptCount val="11"/>
                <c:pt idx="0">
                  <c:v>2644</c:v>
                </c:pt>
                <c:pt idx="1">
                  <c:v>2644</c:v>
                </c:pt>
                <c:pt idx="2">
                  <c:v>2644</c:v>
                </c:pt>
                <c:pt idx="3">
                  <c:v>2644</c:v>
                </c:pt>
                <c:pt idx="4">
                  <c:v>2644</c:v>
                </c:pt>
                <c:pt idx="5">
                  <c:v>2644</c:v>
                </c:pt>
                <c:pt idx="6">
                  <c:v>2644</c:v>
                </c:pt>
                <c:pt idx="7">
                  <c:v>2644</c:v>
                </c:pt>
                <c:pt idx="8">
                  <c:v>2644</c:v>
                </c:pt>
                <c:pt idx="9">
                  <c:v>2644</c:v>
                </c:pt>
                <c:pt idx="10">
                  <c:v>2644</c:v>
                </c:pt>
              </c:numCache>
            </c:numRef>
          </c:val>
          <c:smooth val="0"/>
        </c:ser>
        <c:dLbls>
          <c:showLegendKey val="0"/>
          <c:showVal val="0"/>
          <c:showCatName val="0"/>
          <c:showSerName val="0"/>
          <c:showPercent val="0"/>
          <c:showBubbleSize val="0"/>
        </c:dLbls>
        <c:marker val="1"/>
        <c:smooth val="0"/>
        <c:axId val="371678208"/>
        <c:axId val="443208448"/>
      </c:lineChart>
      <c:catAx>
        <c:axId val="371678208"/>
        <c:scaling>
          <c:orientation val="minMax"/>
        </c:scaling>
        <c:delete val="0"/>
        <c:axPos val="b"/>
        <c:numFmt formatCode="General" sourceLinked="0"/>
        <c:majorTickMark val="out"/>
        <c:minorTickMark val="none"/>
        <c:tickLblPos val="nextTo"/>
        <c:crossAx val="443208448"/>
        <c:crosses val="autoZero"/>
        <c:auto val="1"/>
        <c:lblAlgn val="ctr"/>
        <c:lblOffset val="100"/>
        <c:noMultiLvlLbl val="0"/>
      </c:catAx>
      <c:valAx>
        <c:axId val="443208448"/>
        <c:scaling>
          <c:orientation val="minMax"/>
        </c:scaling>
        <c:delete val="0"/>
        <c:axPos val="l"/>
        <c:majorGridlines/>
        <c:numFmt formatCode="#,##0" sourceLinked="1"/>
        <c:majorTickMark val="out"/>
        <c:minorTickMark val="none"/>
        <c:tickLblPos val="nextTo"/>
        <c:crossAx val="37167820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55DF8-A073-4434-9ACC-49685161A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7000</Words>
  <Characters>39904</Characters>
  <Application>Microsoft Office Word</Application>
  <DocSecurity>0</DocSecurity>
  <Lines>332</Lines>
  <Paragraphs>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46811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16</cp:revision>
  <cp:lastPrinted>2017-10-12T13:40:00Z</cp:lastPrinted>
  <dcterms:created xsi:type="dcterms:W3CDTF">2017-10-20T12:51:00Z</dcterms:created>
  <dcterms:modified xsi:type="dcterms:W3CDTF">2017-10-24T07:23:00Z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Red</vt:lpwstr>
  </property>
</Properties>
</file>