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D6F" w:rsidRDefault="007472BE">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F0EF550FFBE46B6B04849D33672463A" style="width:449.6pt;height:307.25pt">
            <v:imagedata r:id="rId9" o:title=""/>
          </v:shape>
        </w:pict>
      </w:r>
      <w:bookmarkEnd w:id="1"/>
    </w:p>
    <w:bookmarkEnd w:id="0"/>
    <w:p w:rsidR="00D55D6F" w:rsidRDefault="00D55D6F">
      <w:pPr>
        <w:pStyle w:val="Pagedecouverture"/>
        <w:rPr>
          <w:noProof/>
        </w:rPr>
        <w:sectPr w:rsidR="00D55D6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D55D6F" w:rsidRDefault="007472BE">
      <w:pPr>
        <w:jc w:val="both"/>
        <w:rPr>
          <w:rFonts w:ascii="Times New Roman" w:hAnsi="Times New Roman" w:cs="Times New Roman"/>
          <w:b/>
          <w:noProof/>
          <w:sz w:val="28"/>
          <w:szCs w:val="28"/>
        </w:rPr>
      </w:pPr>
      <w:r>
        <w:rPr>
          <w:rFonts w:ascii="Times New Roman" w:hAnsi="Times New Roman"/>
          <w:b/>
          <w:noProof/>
          <w:sz w:val="28"/>
        </w:rPr>
        <w:lastRenderedPageBreak/>
        <w:t>TABLE DES MATIÈRES</w:t>
      </w:r>
    </w:p>
    <w:sdt>
      <w:sdtPr>
        <w:rPr>
          <w:rFonts w:asciiTheme="minorHAnsi" w:hAnsiTheme="minorHAnsi" w:cs="Times New Roman"/>
          <w:noProof/>
        </w:rPr>
        <w:id w:val="-1626144639"/>
        <w:docPartObj>
          <w:docPartGallery w:val="Table of Contents"/>
          <w:docPartUnique/>
        </w:docPartObj>
      </w:sdtPr>
      <w:sdtEndPr>
        <w:rPr>
          <w:b/>
          <w:bCs/>
        </w:rPr>
      </w:sdtEndPr>
      <w:sdtContent>
        <w:p w:rsidR="00D55D6F" w:rsidRDefault="007472BE">
          <w:pPr>
            <w:pStyle w:val="TOC1"/>
            <w:tabs>
              <w:tab w:val="right" w:leader="dot" w:pos="9062"/>
            </w:tabs>
            <w:rPr>
              <w:rFonts w:asciiTheme="minorHAnsi" w:eastAsiaTheme="minorEastAsia" w:hAnsiTheme="minorHAnsi"/>
              <w:noProof/>
              <w:lang w:bidi="ar-SA"/>
            </w:rPr>
          </w:pPr>
          <w:r>
            <w:rPr>
              <w:rFonts w:cs="Times New Roman"/>
              <w:noProof/>
            </w:rPr>
            <w:fldChar w:fldCharType="begin"/>
          </w:r>
          <w:r>
            <w:rPr>
              <w:rFonts w:cs="Times New Roman"/>
              <w:noProof/>
            </w:rPr>
            <w:instrText xml:space="preserve"> TOC \o "1-3" \h \z \u </w:instrText>
          </w:r>
          <w:r>
            <w:rPr>
              <w:rFonts w:cs="Times New Roman"/>
              <w:noProof/>
            </w:rPr>
            <w:fldChar w:fldCharType="separate"/>
          </w:r>
          <w:hyperlink w:anchor="_Toc491331866" w:history="1">
            <w:r>
              <w:rPr>
                <w:rStyle w:val="Hyperlink"/>
                <w:noProof/>
              </w:rPr>
              <w:t>1. Introduction</w:t>
            </w:r>
            <w:r>
              <w:rPr>
                <w:noProof/>
                <w:webHidden/>
              </w:rPr>
              <w:tab/>
            </w:r>
            <w:r>
              <w:rPr>
                <w:noProof/>
                <w:webHidden/>
              </w:rPr>
              <w:fldChar w:fldCharType="begin"/>
            </w:r>
            <w:r>
              <w:rPr>
                <w:noProof/>
                <w:webHidden/>
              </w:rPr>
              <w:instrText xml:space="preserve"> PAGEREF _Toc491331866 \h </w:instrText>
            </w:r>
            <w:r>
              <w:rPr>
                <w:noProof/>
                <w:webHidden/>
              </w:rPr>
            </w:r>
            <w:r>
              <w:rPr>
                <w:noProof/>
                <w:webHidden/>
              </w:rPr>
              <w:fldChar w:fldCharType="separate"/>
            </w:r>
            <w:r w:rsidR="00AB67B7">
              <w:rPr>
                <w:noProof/>
                <w:webHidden/>
              </w:rPr>
              <w:t>3</w:t>
            </w:r>
            <w:r>
              <w:rPr>
                <w:noProof/>
                <w:webHidden/>
              </w:rPr>
              <w:fldChar w:fldCharType="end"/>
            </w:r>
          </w:hyperlink>
        </w:p>
        <w:p w:rsidR="00D55D6F" w:rsidRDefault="007472BE">
          <w:pPr>
            <w:pStyle w:val="TOC1"/>
            <w:tabs>
              <w:tab w:val="right" w:leader="dot" w:pos="9062"/>
            </w:tabs>
            <w:rPr>
              <w:rFonts w:asciiTheme="minorHAnsi" w:eastAsiaTheme="minorEastAsia" w:hAnsiTheme="minorHAnsi"/>
              <w:noProof/>
              <w:lang w:bidi="ar-SA"/>
            </w:rPr>
          </w:pPr>
          <w:hyperlink w:anchor="_Toc491331867" w:history="1">
            <w:r>
              <w:rPr>
                <w:rStyle w:val="Hyperlink"/>
                <w:noProof/>
              </w:rPr>
              <w:t>2. Vue d’ensemble des activités du FEM en 2015 et 2016</w:t>
            </w:r>
            <w:r>
              <w:rPr>
                <w:noProof/>
                <w:webHidden/>
              </w:rPr>
              <w:tab/>
            </w:r>
            <w:r>
              <w:rPr>
                <w:noProof/>
                <w:webHidden/>
              </w:rPr>
              <w:fldChar w:fldCharType="begin"/>
            </w:r>
            <w:r>
              <w:rPr>
                <w:noProof/>
                <w:webHidden/>
              </w:rPr>
              <w:instrText xml:space="preserve"> PAGEREF _Toc491331867 \h </w:instrText>
            </w:r>
            <w:r>
              <w:rPr>
                <w:noProof/>
                <w:webHidden/>
              </w:rPr>
            </w:r>
            <w:r>
              <w:rPr>
                <w:noProof/>
                <w:webHidden/>
              </w:rPr>
              <w:fldChar w:fldCharType="separate"/>
            </w:r>
            <w:r w:rsidR="00AB67B7">
              <w:rPr>
                <w:noProof/>
                <w:webHidden/>
              </w:rPr>
              <w:t>4</w:t>
            </w:r>
            <w:r>
              <w:rPr>
                <w:noProof/>
                <w:webHidden/>
              </w:rPr>
              <w:fldChar w:fldCharType="end"/>
            </w:r>
          </w:hyperlink>
        </w:p>
        <w:p w:rsidR="00D55D6F" w:rsidRDefault="007472BE">
          <w:pPr>
            <w:pStyle w:val="TOC1"/>
            <w:tabs>
              <w:tab w:val="right" w:leader="dot" w:pos="9062"/>
            </w:tabs>
            <w:rPr>
              <w:rFonts w:asciiTheme="minorHAnsi" w:eastAsiaTheme="minorEastAsia" w:hAnsiTheme="minorHAnsi"/>
              <w:noProof/>
              <w:lang w:bidi="ar-SA"/>
            </w:rPr>
          </w:pPr>
          <w:hyperlink w:anchor="_Toc491331868" w:history="1">
            <w:r>
              <w:rPr>
                <w:rStyle w:val="Hyperlink"/>
                <w:noProof/>
              </w:rPr>
              <w:t>3. Analyse des activités du FEM en 2015 et 2016</w:t>
            </w:r>
            <w:r>
              <w:rPr>
                <w:noProof/>
                <w:webHidden/>
              </w:rPr>
              <w:tab/>
            </w:r>
            <w:r>
              <w:rPr>
                <w:noProof/>
                <w:webHidden/>
              </w:rPr>
              <w:fldChar w:fldCharType="begin"/>
            </w:r>
            <w:r>
              <w:rPr>
                <w:noProof/>
                <w:webHidden/>
              </w:rPr>
              <w:instrText xml:space="preserve"> PAGEREF _Toc491331868 \h </w:instrText>
            </w:r>
            <w:r>
              <w:rPr>
                <w:noProof/>
                <w:webHidden/>
              </w:rPr>
            </w:r>
            <w:r>
              <w:rPr>
                <w:noProof/>
                <w:webHidden/>
              </w:rPr>
              <w:fldChar w:fldCharType="separate"/>
            </w:r>
            <w:r w:rsidR="00AB67B7">
              <w:rPr>
                <w:noProof/>
                <w:webHidden/>
              </w:rPr>
              <w:t>5</w:t>
            </w:r>
            <w:r>
              <w:rPr>
                <w:noProof/>
                <w:webHidden/>
              </w:rPr>
              <w:fldChar w:fldCharType="end"/>
            </w:r>
          </w:hyperlink>
        </w:p>
        <w:p w:rsidR="00D55D6F" w:rsidRDefault="007472BE">
          <w:pPr>
            <w:pStyle w:val="TOC2"/>
            <w:tabs>
              <w:tab w:val="right" w:leader="dot" w:pos="9062"/>
            </w:tabs>
            <w:rPr>
              <w:rFonts w:asciiTheme="minorHAnsi" w:hAnsiTheme="minorHAnsi"/>
              <w:noProof/>
              <w:lang w:bidi="ar-SA"/>
            </w:rPr>
          </w:pPr>
          <w:hyperlink w:anchor="_Toc491331869" w:history="1">
            <w:r>
              <w:rPr>
                <w:rStyle w:val="Hyperlink"/>
                <w:noProof/>
              </w:rPr>
              <w:t>3.1. Demandes reçues</w:t>
            </w:r>
            <w:r>
              <w:rPr>
                <w:noProof/>
                <w:webHidden/>
              </w:rPr>
              <w:tab/>
            </w:r>
            <w:r>
              <w:rPr>
                <w:noProof/>
                <w:webHidden/>
              </w:rPr>
              <w:fldChar w:fldCharType="begin"/>
            </w:r>
            <w:r>
              <w:rPr>
                <w:noProof/>
                <w:webHidden/>
              </w:rPr>
              <w:instrText xml:space="preserve"> PAGEREF _Toc491331869 \h </w:instrText>
            </w:r>
            <w:r>
              <w:rPr>
                <w:noProof/>
                <w:webHidden/>
              </w:rPr>
            </w:r>
            <w:r>
              <w:rPr>
                <w:noProof/>
                <w:webHidden/>
              </w:rPr>
              <w:fldChar w:fldCharType="separate"/>
            </w:r>
            <w:r w:rsidR="00AB67B7">
              <w:rPr>
                <w:noProof/>
                <w:webHidden/>
              </w:rPr>
              <w:t>5</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70" w:history="1">
            <w:r>
              <w:rPr>
                <w:rStyle w:val="Hyperlink"/>
                <w:noProof/>
              </w:rPr>
              <w:t>3.1.1. D</w:t>
            </w:r>
            <w:r>
              <w:rPr>
                <w:rStyle w:val="Hyperlink"/>
                <w:noProof/>
              </w:rPr>
              <w:t>emandes reçues: critères d’intervention</w:t>
            </w:r>
            <w:r>
              <w:rPr>
                <w:noProof/>
                <w:webHidden/>
              </w:rPr>
              <w:tab/>
            </w:r>
            <w:r>
              <w:rPr>
                <w:noProof/>
                <w:webHidden/>
              </w:rPr>
              <w:fldChar w:fldCharType="begin"/>
            </w:r>
            <w:r>
              <w:rPr>
                <w:noProof/>
                <w:webHidden/>
              </w:rPr>
              <w:instrText xml:space="preserve"> PAGEREF _Toc491331870 \h </w:instrText>
            </w:r>
            <w:r>
              <w:rPr>
                <w:noProof/>
                <w:webHidden/>
              </w:rPr>
            </w:r>
            <w:r>
              <w:rPr>
                <w:noProof/>
                <w:webHidden/>
              </w:rPr>
              <w:fldChar w:fldCharType="separate"/>
            </w:r>
            <w:r w:rsidR="00AB67B7">
              <w:rPr>
                <w:noProof/>
                <w:webHidden/>
              </w:rPr>
              <w:t>5</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71" w:history="1">
            <w:r>
              <w:rPr>
                <w:rStyle w:val="Hyperlink"/>
                <w:noProof/>
              </w:rPr>
              <w:t>3.1.2. Demandes reçues: secteurs</w:t>
            </w:r>
            <w:r>
              <w:rPr>
                <w:noProof/>
                <w:webHidden/>
              </w:rPr>
              <w:tab/>
            </w:r>
            <w:r>
              <w:rPr>
                <w:noProof/>
                <w:webHidden/>
              </w:rPr>
              <w:fldChar w:fldCharType="begin"/>
            </w:r>
            <w:r>
              <w:rPr>
                <w:noProof/>
                <w:webHidden/>
              </w:rPr>
              <w:instrText xml:space="preserve"> PAGEREF _Toc491331871 \h </w:instrText>
            </w:r>
            <w:r>
              <w:rPr>
                <w:noProof/>
                <w:webHidden/>
              </w:rPr>
            </w:r>
            <w:r>
              <w:rPr>
                <w:noProof/>
                <w:webHidden/>
              </w:rPr>
              <w:fldChar w:fldCharType="separate"/>
            </w:r>
            <w:r w:rsidR="00AB67B7">
              <w:rPr>
                <w:noProof/>
                <w:webHidden/>
              </w:rPr>
              <w:t>5</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72" w:history="1">
            <w:r>
              <w:rPr>
                <w:rStyle w:val="Hyperlink"/>
                <w:noProof/>
              </w:rPr>
              <w:t>3.1.3. Demandes reçues: montants sollicités</w:t>
            </w:r>
            <w:r>
              <w:rPr>
                <w:noProof/>
                <w:webHidden/>
              </w:rPr>
              <w:tab/>
            </w:r>
            <w:r>
              <w:rPr>
                <w:noProof/>
                <w:webHidden/>
              </w:rPr>
              <w:fldChar w:fldCharType="begin"/>
            </w:r>
            <w:r>
              <w:rPr>
                <w:noProof/>
                <w:webHidden/>
              </w:rPr>
              <w:instrText xml:space="preserve"> PAGEREF _Toc491331872 \h </w:instrText>
            </w:r>
            <w:r>
              <w:rPr>
                <w:noProof/>
                <w:webHidden/>
              </w:rPr>
            </w:r>
            <w:r>
              <w:rPr>
                <w:noProof/>
                <w:webHidden/>
              </w:rPr>
              <w:fldChar w:fldCharType="separate"/>
            </w:r>
            <w:r w:rsidR="00AB67B7">
              <w:rPr>
                <w:noProof/>
                <w:webHidden/>
              </w:rPr>
              <w:t>8</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73" w:history="1">
            <w:r>
              <w:rPr>
                <w:rStyle w:val="Hyperlink"/>
                <w:noProof/>
              </w:rPr>
              <w:t xml:space="preserve">3.1.4. </w:t>
            </w:r>
            <w:r>
              <w:rPr>
                <w:rStyle w:val="Hyperlink"/>
                <w:noProof/>
              </w:rPr>
              <w:t>Demandes reçues: nombre de bénéficiaires à aider</w:t>
            </w:r>
            <w:r>
              <w:rPr>
                <w:noProof/>
                <w:webHidden/>
              </w:rPr>
              <w:tab/>
            </w:r>
            <w:r>
              <w:rPr>
                <w:noProof/>
                <w:webHidden/>
              </w:rPr>
              <w:fldChar w:fldCharType="begin"/>
            </w:r>
            <w:r>
              <w:rPr>
                <w:noProof/>
                <w:webHidden/>
              </w:rPr>
              <w:instrText xml:space="preserve"> PAGEREF _Toc491331873 \h </w:instrText>
            </w:r>
            <w:r>
              <w:rPr>
                <w:noProof/>
                <w:webHidden/>
              </w:rPr>
            </w:r>
            <w:r>
              <w:rPr>
                <w:noProof/>
                <w:webHidden/>
              </w:rPr>
              <w:fldChar w:fldCharType="separate"/>
            </w:r>
            <w:r w:rsidR="00AB67B7">
              <w:rPr>
                <w:noProof/>
                <w:webHidden/>
              </w:rPr>
              <w:t>9</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74" w:history="1">
            <w:r>
              <w:rPr>
                <w:rStyle w:val="Hyperlink"/>
                <w:noProof/>
              </w:rPr>
              <w:t>3.1.5. Demandes reçues: nombre de travailleurs visés par secteur</w:t>
            </w:r>
            <w:r>
              <w:rPr>
                <w:noProof/>
                <w:webHidden/>
              </w:rPr>
              <w:tab/>
            </w:r>
            <w:r>
              <w:rPr>
                <w:noProof/>
                <w:webHidden/>
              </w:rPr>
              <w:fldChar w:fldCharType="begin"/>
            </w:r>
            <w:r>
              <w:rPr>
                <w:noProof/>
                <w:webHidden/>
              </w:rPr>
              <w:instrText xml:space="preserve"> PAGEREF _Toc</w:instrText>
            </w:r>
            <w:r>
              <w:rPr>
                <w:noProof/>
                <w:webHidden/>
              </w:rPr>
              <w:instrText xml:space="preserve">491331874 \h </w:instrText>
            </w:r>
            <w:r>
              <w:rPr>
                <w:noProof/>
                <w:webHidden/>
              </w:rPr>
            </w:r>
            <w:r>
              <w:rPr>
                <w:noProof/>
                <w:webHidden/>
              </w:rPr>
              <w:fldChar w:fldCharType="separate"/>
            </w:r>
            <w:r w:rsidR="00AB67B7">
              <w:rPr>
                <w:noProof/>
                <w:webHidden/>
              </w:rPr>
              <w:t>10</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75" w:history="1">
            <w:r>
              <w:rPr>
                <w:rStyle w:val="Hyperlink"/>
                <w:noProof/>
              </w:rPr>
              <w:t>3.1.6. Demandes reçues: montants sollicités par bénéficiaire</w:t>
            </w:r>
            <w:r>
              <w:rPr>
                <w:noProof/>
                <w:webHidden/>
              </w:rPr>
              <w:tab/>
            </w:r>
            <w:r>
              <w:rPr>
                <w:noProof/>
                <w:webHidden/>
              </w:rPr>
              <w:fldChar w:fldCharType="begin"/>
            </w:r>
            <w:r>
              <w:rPr>
                <w:noProof/>
                <w:webHidden/>
              </w:rPr>
              <w:instrText xml:space="preserve"> PAGEREF _Toc491331875 \h </w:instrText>
            </w:r>
            <w:r>
              <w:rPr>
                <w:noProof/>
                <w:webHidden/>
              </w:rPr>
            </w:r>
            <w:r>
              <w:rPr>
                <w:noProof/>
                <w:webHidden/>
              </w:rPr>
              <w:fldChar w:fldCharType="separate"/>
            </w:r>
            <w:r w:rsidR="00AB67B7">
              <w:rPr>
                <w:noProof/>
                <w:webHidden/>
              </w:rPr>
              <w:t>10</w:t>
            </w:r>
            <w:r>
              <w:rPr>
                <w:noProof/>
                <w:webHidden/>
              </w:rPr>
              <w:fldChar w:fldCharType="end"/>
            </w:r>
          </w:hyperlink>
        </w:p>
        <w:p w:rsidR="00D55D6F" w:rsidRDefault="007472BE">
          <w:pPr>
            <w:pStyle w:val="TOC2"/>
            <w:tabs>
              <w:tab w:val="right" w:leader="dot" w:pos="9062"/>
            </w:tabs>
            <w:rPr>
              <w:rFonts w:asciiTheme="minorHAnsi" w:hAnsiTheme="minorHAnsi"/>
              <w:noProof/>
              <w:lang w:bidi="ar-SA"/>
            </w:rPr>
          </w:pPr>
          <w:hyperlink w:anchor="_Toc491331876" w:history="1">
            <w:r>
              <w:rPr>
                <w:rStyle w:val="Hyperlink"/>
                <w:noProof/>
              </w:rPr>
              <w:t>3.2. Contributions accordées</w:t>
            </w:r>
            <w:r>
              <w:rPr>
                <w:noProof/>
                <w:webHidden/>
              </w:rPr>
              <w:tab/>
            </w:r>
            <w:r>
              <w:rPr>
                <w:noProof/>
                <w:webHidden/>
              </w:rPr>
              <w:fldChar w:fldCharType="begin"/>
            </w:r>
            <w:r>
              <w:rPr>
                <w:noProof/>
                <w:webHidden/>
              </w:rPr>
              <w:instrText xml:space="preserve"> PAGEREF _Toc491331876 \h </w:instrText>
            </w:r>
            <w:r>
              <w:rPr>
                <w:noProof/>
                <w:webHidden/>
              </w:rPr>
            </w:r>
            <w:r>
              <w:rPr>
                <w:noProof/>
                <w:webHidden/>
              </w:rPr>
              <w:fldChar w:fldCharType="separate"/>
            </w:r>
            <w:r w:rsidR="00AB67B7">
              <w:rPr>
                <w:noProof/>
                <w:webHidden/>
              </w:rPr>
              <w:t>11</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77" w:history="1">
            <w:r>
              <w:rPr>
                <w:rStyle w:val="Hyperlink"/>
                <w:noProof/>
              </w:rPr>
              <w:t>3.2.1. Mesures financées avec l’aide du FEM</w:t>
            </w:r>
            <w:r>
              <w:rPr>
                <w:noProof/>
                <w:webHidden/>
              </w:rPr>
              <w:tab/>
            </w:r>
            <w:r>
              <w:rPr>
                <w:noProof/>
                <w:webHidden/>
              </w:rPr>
              <w:fldChar w:fldCharType="begin"/>
            </w:r>
            <w:r>
              <w:rPr>
                <w:noProof/>
                <w:webHidden/>
              </w:rPr>
              <w:instrText xml:space="preserve"> PAGEREF _Toc491331877</w:instrText>
            </w:r>
            <w:r>
              <w:rPr>
                <w:noProof/>
                <w:webHidden/>
              </w:rPr>
              <w:instrText xml:space="preserve"> \h </w:instrText>
            </w:r>
            <w:r>
              <w:rPr>
                <w:noProof/>
                <w:webHidden/>
              </w:rPr>
            </w:r>
            <w:r>
              <w:rPr>
                <w:noProof/>
                <w:webHidden/>
              </w:rPr>
              <w:fldChar w:fldCharType="separate"/>
            </w:r>
            <w:r w:rsidR="00AB67B7">
              <w:rPr>
                <w:noProof/>
                <w:webHidden/>
              </w:rPr>
              <w:t>12</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78" w:history="1">
            <w:r>
              <w:rPr>
                <w:rStyle w:val="Hyperlink"/>
                <w:noProof/>
              </w:rPr>
              <w:t>3.2.2. Complémentarité avec des actions financées par le Fonds social européen (FSE)</w:t>
            </w:r>
            <w:r>
              <w:rPr>
                <w:noProof/>
                <w:webHidden/>
              </w:rPr>
              <w:tab/>
            </w:r>
            <w:r>
              <w:rPr>
                <w:noProof/>
                <w:webHidden/>
              </w:rPr>
              <w:fldChar w:fldCharType="begin"/>
            </w:r>
            <w:r>
              <w:rPr>
                <w:noProof/>
                <w:webHidden/>
              </w:rPr>
              <w:instrText xml:space="preserve"> PAGEREF _Toc491331878 \h </w:instrText>
            </w:r>
            <w:r>
              <w:rPr>
                <w:noProof/>
                <w:webHidden/>
              </w:rPr>
            </w:r>
            <w:r>
              <w:rPr>
                <w:noProof/>
                <w:webHidden/>
              </w:rPr>
              <w:fldChar w:fldCharType="separate"/>
            </w:r>
            <w:r w:rsidR="00AB67B7">
              <w:rPr>
                <w:noProof/>
                <w:webHidden/>
              </w:rPr>
              <w:t>12</w:t>
            </w:r>
            <w:r>
              <w:rPr>
                <w:noProof/>
                <w:webHidden/>
              </w:rPr>
              <w:fldChar w:fldCharType="end"/>
            </w:r>
          </w:hyperlink>
        </w:p>
        <w:p w:rsidR="00D55D6F" w:rsidRDefault="007472BE">
          <w:pPr>
            <w:pStyle w:val="TOC2"/>
            <w:tabs>
              <w:tab w:val="right" w:leader="dot" w:pos="9062"/>
            </w:tabs>
            <w:rPr>
              <w:rFonts w:asciiTheme="minorHAnsi" w:hAnsiTheme="minorHAnsi"/>
              <w:noProof/>
              <w:lang w:bidi="ar-SA"/>
            </w:rPr>
          </w:pPr>
          <w:hyperlink w:anchor="_Toc491331879" w:history="1">
            <w:r>
              <w:rPr>
                <w:rStyle w:val="Hyperlink"/>
                <w:noProof/>
              </w:rPr>
              <w:t>3.3. Demandes rejetées ou retirées</w:t>
            </w:r>
            <w:r>
              <w:rPr>
                <w:noProof/>
                <w:webHidden/>
              </w:rPr>
              <w:tab/>
            </w:r>
            <w:r>
              <w:rPr>
                <w:noProof/>
                <w:webHidden/>
              </w:rPr>
              <w:fldChar w:fldCharType="begin"/>
            </w:r>
            <w:r>
              <w:rPr>
                <w:noProof/>
                <w:webHidden/>
              </w:rPr>
              <w:instrText xml:space="preserve"> PAGEREF _Toc491331879 \h </w:instrText>
            </w:r>
            <w:r>
              <w:rPr>
                <w:noProof/>
                <w:webHidden/>
              </w:rPr>
            </w:r>
            <w:r>
              <w:rPr>
                <w:noProof/>
                <w:webHidden/>
              </w:rPr>
              <w:fldChar w:fldCharType="separate"/>
            </w:r>
            <w:r w:rsidR="00AB67B7">
              <w:rPr>
                <w:noProof/>
                <w:webHidden/>
              </w:rPr>
              <w:t>14</w:t>
            </w:r>
            <w:r>
              <w:rPr>
                <w:noProof/>
                <w:webHidden/>
              </w:rPr>
              <w:fldChar w:fldCharType="end"/>
            </w:r>
          </w:hyperlink>
        </w:p>
        <w:p w:rsidR="00D55D6F" w:rsidRDefault="007472BE">
          <w:pPr>
            <w:pStyle w:val="TOC2"/>
            <w:tabs>
              <w:tab w:val="right" w:leader="dot" w:pos="9062"/>
            </w:tabs>
            <w:rPr>
              <w:rFonts w:asciiTheme="minorHAnsi" w:hAnsiTheme="minorHAnsi"/>
              <w:noProof/>
              <w:lang w:bidi="ar-SA"/>
            </w:rPr>
          </w:pPr>
          <w:hyperlink w:anchor="_Toc491331880" w:history="1">
            <w:r>
              <w:rPr>
                <w:rStyle w:val="Hyperlink"/>
                <w:noProof/>
              </w:rPr>
              <w:t>3.4. Résultats obtenus par</w:t>
            </w:r>
            <w:r>
              <w:rPr>
                <w:rStyle w:val="Hyperlink"/>
                <w:noProof/>
              </w:rPr>
              <w:t xml:space="preserve"> le FEM</w:t>
            </w:r>
            <w:r>
              <w:rPr>
                <w:noProof/>
                <w:webHidden/>
              </w:rPr>
              <w:tab/>
            </w:r>
            <w:r>
              <w:rPr>
                <w:noProof/>
                <w:webHidden/>
              </w:rPr>
              <w:fldChar w:fldCharType="begin"/>
            </w:r>
            <w:r>
              <w:rPr>
                <w:noProof/>
                <w:webHidden/>
              </w:rPr>
              <w:instrText xml:space="preserve"> PAGEREF _Toc491331880 \h </w:instrText>
            </w:r>
            <w:r>
              <w:rPr>
                <w:noProof/>
                <w:webHidden/>
              </w:rPr>
            </w:r>
            <w:r>
              <w:rPr>
                <w:noProof/>
                <w:webHidden/>
              </w:rPr>
              <w:fldChar w:fldCharType="separate"/>
            </w:r>
            <w:r w:rsidR="00AB67B7">
              <w:rPr>
                <w:noProof/>
                <w:webHidden/>
              </w:rPr>
              <w:t>17</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81" w:history="1">
            <w:r>
              <w:rPr>
                <w:rStyle w:val="Hyperlink"/>
                <w:noProof/>
              </w:rPr>
              <w:t>3.4.1. Résumé des résultats présentés en 2015 et 2016</w:t>
            </w:r>
            <w:r>
              <w:rPr>
                <w:noProof/>
                <w:webHidden/>
              </w:rPr>
              <w:tab/>
            </w:r>
            <w:r>
              <w:rPr>
                <w:noProof/>
                <w:webHidden/>
              </w:rPr>
              <w:fldChar w:fldCharType="begin"/>
            </w:r>
            <w:r>
              <w:rPr>
                <w:noProof/>
                <w:webHidden/>
              </w:rPr>
              <w:instrText xml:space="preserve"> PAGEREF _Toc491331881 \h </w:instrText>
            </w:r>
            <w:r>
              <w:rPr>
                <w:noProof/>
                <w:webHidden/>
              </w:rPr>
            </w:r>
            <w:r>
              <w:rPr>
                <w:noProof/>
                <w:webHidden/>
              </w:rPr>
              <w:fldChar w:fldCharType="separate"/>
            </w:r>
            <w:r w:rsidR="00AB67B7">
              <w:rPr>
                <w:noProof/>
                <w:webHidden/>
              </w:rPr>
              <w:t>17</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82" w:history="1">
            <w:r>
              <w:rPr>
                <w:rStyle w:val="Hyperlink"/>
                <w:noProof/>
              </w:rPr>
              <w:t>3.4.2. Évaluation qualitative des rapports finaux présentés en 2015 et 2016</w:t>
            </w:r>
            <w:r>
              <w:rPr>
                <w:noProof/>
                <w:webHidden/>
              </w:rPr>
              <w:tab/>
            </w:r>
            <w:r>
              <w:rPr>
                <w:noProof/>
                <w:webHidden/>
              </w:rPr>
              <w:fldChar w:fldCharType="begin"/>
            </w:r>
            <w:r>
              <w:rPr>
                <w:noProof/>
                <w:webHidden/>
              </w:rPr>
              <w:instrText xml:space="preserve"> PAGEREF _Toc491331882 \h </w:instrText>
            </w:r>
            <w:r>
              <w:rPr>
                <w:noProof/>
                <w:webHidden/>
              </w:rPr>
            </w:r>
            <w:r>
              <w:rPr>
                <w:noProof/>
                <w:webHidden/>
              </w:rPr>
              <w:fldChar w:fldCharType="separate"/>
            </w:r>
            <w:r w:rsidR="00AB67B7">
              <w:rPr>
                <w:noProof/>
                <w:webHidden/>
              </w:rPr>
              <w:t>18</w:t>
            </w:r>
            <w:r>
              <w:rPr>
                <w:noProof/>
                <w:webHidden/>
              </w:rPr>
              <w:fldChar w:fldCharType="end"/>
            </w:r>
          </w:hyperlink>
        </w:p>
        <w:p w:rsidR="00D55D6F" w:rsidRDefault="007472BE">
          <w:pPr>
            <w:pStyle w:val="TOC2"/>
            <w:tabs>
              <w:tab w:val="right" w:leader="dot" w:pos="9062"/>
            </w:tabs>
            <w:rPr>
              <w:rFonts w:asciiTheme="minorHAnsi" w:hAnsiTheme="minorHAnsi"/>
              <w:noProof/>
              <w:lang w:bidi="ar-SA"/>
            </w:rPr>
          </w:pPr>
          <w:hyperlink w:anchor="_Toc491331883" w:history="1">
            <w:r>
              <w:rPr>
                <w:rStyle w:val="Hyperlink"/>
                <w:noProof/>
              </w:rPr>
              <w:t>3.5. Réexamen du CFP – règlement (UE) nº 1309/2013</w:t>
            </w:r>
            <w:r>
              <w:rPr>
                <w:noProof/>
                <w:webHidden/>
              </w:rPr>
              <w:tab/>
            </w:r>
            <w:r>
              <w:rPr>
                <w:noProof/>
                <w:webHidden/>
              </w:rPr>
              <w:fldChar w:fldCharType="begin"/>
            </w:r>
            <w:r>
              <w:rPr>
                <w:noProof/>
                <w:webHidden/>
              </w:rPr>
              <w:instrText xml:space="preserve"> PAGEREF _Toc491331883 \h </w:instrText>
            </w:r>
            <w:r>
              <w:rPr>
                <w:noProof/>
                <w:webHidden/>
              </w:rPr>
            </w:r>
            <w:r>
              <w:rPr>
                <w:noProof/>
                <w:webHidden/>
              </w:rPr>
              <w:fldChar w:fldCharType="separate"/>
            </w:r>
            <w:r w:rsidR="00AB67B7">
              <w:rPr>
                <w:noProof/>
                <w:webHidden/>
              </w:rPr>
              <w:t>19</w:t>
            </w:r>
            <w:r>
              <w:rPr>
                <w:noProof/>
                <w:webHidden/>
              </w:rPr>
              <w:fldChar w:fldCharType="end"/>
            </w:r>
          </w:hyperlink>
        </w:p>
        <w:p w:rsidR="00D55D6F" w:rsidRDefault="007472BE">
          <w:pPr>
            <w:pStyle w:val="TOC2"/>
            <w:tabs>
              <w:tab w:val="right" w:leader="dot" w:pos="9062"/>
            </w:tabs>
            <w:rPr>
              <w:rFonts w:asciiTheme="minorHAnsi" w:hAnsiTheme="minorHAnsi"/>
              <w:noProof/>
              <w:lang w:bidi="ar-SA"/>
            </w:rPr>
          </w:pPr>
          <w:hyperlink w:anchor="_Toc491331884" w:history="1">
            <w:r>
              <w:rPr>
                <w:rStyle w:val="Hyperlink"/>
                <w:noProof/>
              </w:rPr>
              <w:t>3.6. Exécution financière</w:t>
            </w:r>
            <w:r>
              <w:rPr>
                <w:noProof/>
                <w:webHidden/>
              </w:rPr>
              <w:tab/>
            </w:r>
            <w:r>
              <w:rPr>
                <w:noProof/>
                <w:webHidden/>
              </w:rPr>
              <w:fldChar w:fldCharType="begin"/>
            </w:r>
            <w:r>
              <w:rPr>
                <w:noProof/>
                <w:webHidden/>
              </w:rPr>
              <w:instrText xml:space="preserve"> P</w:instrText>
            </w:r>
            <w:r>
              <w:rPr>
                <w:noProof/>
                <w:webHidden/>
              </w:rPr>
              <w:instrText xml:space="preserve">AGEREF _Toc491331884 \h </w:instrText>
            </w:r>
            <w:r>
              <w:rPr>
                <w:noProof/>
                <w:webHidden/>
              </w:rPr>
            </w:r>
            <w:r>
              <w:rPr>
                <w:noProof/>
                <w:webHidden/>
              </w:rPr>
              <w:fldChar w:fldCharType="separate"/>
            </w:r>
            <w:r w:rsidR="00AB67B7">
              <w:rPr>
                <w:noProof/>
                <w:webHidden/>
              </w:rPr>
              <w:t>22</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85" w:history="1">
            <w:r>
              <w:rPr>
                <w:rStyle w:val="Hyperlink"/>
                <w:noProof/>
              </w:rPr>
              <w:t>3.6.1. Contributions du FEM</w:t>
            </w:r>
            <w:r>
              <w:rPr>
                <w:noProof/>
                <w:webHidden/>
              </w:rPr>
              <w:tab/>
            </w:r>
            <w:r>
              <w:rPr>
                <w:noProof/>
                <w:webHidden/>
              </w:rPr>
              <w:fldChar w:fldCharType="begin"/>
            </w:r>
            <w:r>
              <w:rPr>
                <w:noProof/>
                <w:webHidden/>
              </w:rPr>
              <w:instrText xml:space="preserve"> PAGEREF _Toc491331885 \h </w:instrText>
            </w:r>
            <w:r>
              <w:rPr>
                <w:noProof/>
                <w:webHidden/>
              </w:rPr>
            </w:r>
            <w:r>
              <w:rPr>
                <w:noProof/>
                <w:webHidden/>
              </w:rPr>
              <w:fldChar w:fldCharType="separate"/>
            </w:r>
            <w:r w:rsidR="00AB67B7">
              <w:rPr>
                <w:noProof/>
                <w:webHidden/>
              </w:rPr>
              <w:t>22</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86" w:history="1">
            <w:r>
              <w:rPr>
                <w:rStyle w:val="Hyperlink"/>
                <w:noProof/>
              </w:rPr>
              <w:t>3.6.2. Dépenses d’assistance technique</w:t>
            </w:r>
            <w:r>
              <w:rPr>
                <w:noProof/>
                <w:webHidden/>
              </w:rPr>
              <w:tab/>
            </w:r>
            <w:r>
              <w:rPr>
                <w:noProof/>
                <w:webHidden/>
              </w:rPr>
              <w:fldChar w:fldCharType="begin"/>
            </w:r>
            <w:r>
              <w:rPr>
                <w:noProof/>
                <w:webHidden/>
              </w:rPr>
              <w:instrText xml:space="preserve"> PAGEREF _Toc491331886 \h </w:instrText>
            </w:r>
            <w:r>
              <w:rPr>
                <w:noProof/>
                <w:webHidden/>
              </w:rPr>
            </w:r>
            <w:r>
              <w:rPr>
                <w:noProof/>
                <w:webHidden/>
              </w:rPr>
              <w:fldChar w:fldCharType="separate"/>
            </w:r>
            <w:r w:rsidR="00AB67B7">
              <w:rPr>
                <w:noProof/>
                <w:webHidden/>
              </w:rPr>
              <w:t>22</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87" w:history="1">
            <w:r>
              <w:rPr>
                <w:rStyle w:val="Hyperlink"/>
                <w:noProof/>
              </w:rPr>
              <w:t>3.6.3. Irrégularités communiquées</w:t>
            </w:r>
            <w:r>
              <w:rPr>
                <w:noProof/>
                <w:webHidden/>
              </w:rPr>
              <w:tab/>
            </w:r>
            <w:r>
              <w:rPr>
                <w:noProof/>
                <w:webHidden/>
              </w:rPr>
              <w:fldChar w:fldCharType="begin"/>
            </w:r>
            <w:r>
              <w:rPr>
                <w:noProof/>
                <w:webHidden/>
              </w:rPr>
              <w:instrText xml:space="preserve"> PAGEREF _Toc491331887 \h </w:instrText>
            </w:r>
            <w:r>
              <w:rPr>
                <w:noProof/>
                <w:webHidden/>
              </w:rPr>
            </w:r>
            <w:r>
              <w:rPr>
                <w:noProof/>
                <w:webHidden/>
              </w:rPr>
              <w:fldChar w:fldCharType="separate"/>
            </w:r>
            <w:r w:rsidR="00AB67B7">
              <w:rPr>
                <w:noProof/>
                <w:webHidden/>
              </w:rPr>
              <w:t>24</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88" w:history="1">
            <w:r>
              <w:rPr>
                <w:rStyle w:val="Hyperlink"/>
                <w:noProof/>
              </w:rPr>
              <w:t>3.6.4. Clôture des contributions financières du FEM</w:t>
            </w:r>
            <w:r>
              <w:rPr>
                <w:noProof/>
                <w:webHidden/>
              </w:rPr>
              <w:tab/>
            </w:r>
            <w:r>
              <w:rPr>
                <w:noProof/>
                <w:webHidden/>
              </w:rPr>
              <w:fldChar w:fldCharType="begin"/>
            </w:r>
            <w:r>
              <w:rPr>
                <w:noProof/>
                <w:webHidden/>
              </w:rPr>
              <w:instrText xml:space="preserve"> PAGEREF _Toc491331888 \h </w:instrText>
            </w:r>
            <w:r>
              <w:rPr>
                <w:noProof/>
                <w:webHidden/>
              </w:rPr>
            </w:r>
            <w:r>
              <w:rPr>
                <w:noProof/>
                <w:webHidden/>
              </w:rPr>
              <w:fldChar w:fldCharType="separate"/>
            </w:r>
            <w:r w:rsidR="00AB67B7">
              <w:rPr>
                <w:noProof/>
                <w:webHidden/>
              </w:rPr>
              <w:t>24</w:t>
            </w:r>
            <w:r>
              <w:rPr>
                <w:noProof/>
                <w:webHidden/>
              </w:rPr>
              <w:fldChar w:fldCharType="end"/>
            </w:r>
          </w:hyperlink>
        </w:p>
        <w:p w:rsidR="00D55D6F" w:rsidRDefault="007472BE">
          <w:pPr>
            <w:pStyle w:val="TOC2"/>
            <w:tabs>
              <w:tab w:val="right" w:leader="dot" w:pos="9062"/>
            </w:tabs>
            <w:rPr>
              <w:rFonts w:asciiTheme="minorHAnsi" w:hAnsiTheme="minorHAnsi"/>
              <w:noProof/>
              <w:lang w:bidi="ar-SA"/>
            </w:rPr>
          </w:pPr>
          <w:hyperlink w:anchor="_Toc491331889" w:history="1">
            <w:r>
              <w:rPr>
                <w:rStyle w:val="Hyperlink"/>
                <w:noProof/>
              </w:rPr>
              <w:t>3.7. Activités d’assistance technique menées par la Commission</w:t>
            </w:r>
            <w:r>
              <w:rPr>
                <w:noProof/>
                <w:webHidden/>
              </w:rPr>
              <w:tab/>
            </w:r>
            <w:r>
              <w:rPr>
                <w:noProof/>
                <w:webHidden/>
              </w:rPr>
              <w:fldChar w:fldCharType="begin"/>
            </w:r>
            <w:r>
              <w:rPr>
                <w:noProof/>
                <w:webHidden/>
              </w:rPr>
              <w:instrText xml:space="preserve"> PAGEREF _Toc491331889 \h </w:instrText>
            </w:r>
            <w:r>
              <w:rPr>
                <w:noProof/>
                <w:webHidden/>
              </w:rPr>
            </w:r>
            <w:r>
              <w:rPr>
                <w:noProof/>
                <w:webHidden/>
              </w:rPr>
              <w:fldChar w:fldCharType="separate"/>
            </w:r>
            <w:r w:rsidR="00AB67B7">
              <w:rPr>
                <w:noProof/>
                <w:webHidden/>
              </w:rPr>
              <w:t>25</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90" w:history="1">
            <w:r>
              <w:rPr>
                <w:rStyle w:val="Hyperlink"/>
                <w:noProof/>
              </w:rPr>
              <w:t>3.7.1. I</w:t>
            </w:r>
            <w:r>
              <w:rPr>
                <w:rStyle w:val="Hyperlink"/>
                <w:noProof/>
              </w:rPr>
              <w:t>nformation et publicité: site internet</w:t>
            </w:r>
            <w:r>
              <w:rPr>
                <w:noProof/>
                <w:webHidden/>
              </w:rPr>
              <w:tab/>
            </w:r>
            <w:r>
              <w:rPr>
                <w:noProof/>
                <w:webHidden/>
              </w:rPr>
              <w:fldChar w:fldCharType="begin"/>
            </w:r>
            <w:r>
              <w:rPr>
                <w:noProof/>
                <w:webHidden/>
              </w:rPr>
              <w:instrText xml:space="preserve"> PAGEREF _Toc491331890 \h </w:instrText>
            </w:r>
            <w:r>
              <w:rPr>
                <w:noProof/>
                <w:webHidden/>
              </w:rPr>
            </w:r>
            <w:r>
              <w:rPr>
                <w:noProof/>
                <w:webHidden/>
              </w:rPr>
              <w:fldChar w:fldCharType="separate"/>
            </w:r>
            <w:r w:rsidR="00AB67B7">
              <w:rPr>
                <w:noProof/>
                <w:webHidden/>
              </w:rPr>
              <w:t>25</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91" w:history="1">
            <w:r>
              <w:rPr>
                <w:rStyle w:val="Hyperlink"/>
                <w:noProof/>
              </w:rPr>
              <w:t>3.7.2. Réunions avec les autorités nationales et autres parties prenantes</w:t>
            </w:r>
            <w:r>
              <w:rPr>
                <w:noProof/>
                <w:webHidden/>
              </w:rPr>
              <w:tab/>
            </w:r>
            <w:r>
              <w:rPr>
                <w:noProof/>
                <w:webHidden/>
              </w:rPr>
              <w:fldChar w:fldCharType="begin"/>
            </w:r>
            <w:r>
              <w:rPr>
                <w:noProof/>
                <w:webHidden/>
              </w:rPr>
              <w:instrText xml:space="preserve"> PAGEREF _Toc4</w:instrText>
            </w:r>
            <w:r>
              <w:rPr>
                <w:noProof/>
                <w:webHidden/>
              </w:rPr>
              <w:instrText xml:space="preserve">91331891 \h </w:instrText>
            </w:r>
            <w:r>
              <w:rPr>
                <w:noProof/>
                <w:webHidden/>
              </w:rPr>
            </w:r>
            <w:r>
              <w:rPr>
                <w:noProof/>
                <w:webHidden/>
              </w:rPr>
              <w:fldChar w:fldCharType="separate"/>
            </w:r>
            <w:r w:rsidR="00AB67B7">
              <w:rPr>
                <w:noProof/>
                <w:webHidden/>
              </w:rPr>
              <w:t>25</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92" w:history="1">
            <w:r>
              <w:rPr>
                <w:rStyle w:val="Hyperlink"/>
                <w:noProof/>
              </w:rPr>
              <w:t>3.7.3. Création d’une base de connaissances</w:t>
            </w:r>
            <w:r>
              <w:rPr>
                <w:noProof/>
                <w:webHidden/>
              </w:rPr>
              <w:tab/>
            </w:r>
            <w:r>
              <w:rPr>
                <w:noProof/>
                <w:webHidden/>
              </w:rPr>
              <w:fldChar w:fldCharType="begin"/>
            </w:r>
            <w:r>
              <w:rPr>
                <w:noProof/>
                <w:webHidden/>
              </w:rPr>
              <w:instrText xml:space="preserve"> PAGEREF _Toc491331892 \h </w:instrText>
            </w:r>
            <w:r>
              <w:rPr>
                <w:noProof/>
                <w:webHidden/>
              </w:rPr>
            </w:r>
            <w:r>
              <w:rPr>
                <w:noProof/>
                <w:webHidden/>
              </w:rPr>
              <w:fldChar w:fldCharType="separate"/>
            </w:r>
            <w:r w:rsidR="00AB67B7">
              <w:rPr>
                <w:noProof/>
                <w:webHidden/>
              </w:rPr>
              <w:t>25</w:t>
            </w:r>
            <w:r>
              <w:rPr>
                <w:noProof/>
                <w:webHidden/>
              </w:rPr>
              <w:fldChar w:fldCharType="end"/>
            </w:r>
          </w:hyperlink>
        </w:p>
        <w:p w:rsidR="00D55D6F" w:rsidRDefault="007472BE">
          <w:pPr>
            <w:pStyle w:val="TOC3"/>
            <w:tabs>
              <w:tab w:val="right" w:leader="dot" w:pos="9062"/>
            </w:tabs>
            <w:rPr>
              <w:rFonts w:asciiTheme="minorHAnsi" w:hAnsiTheme="minorHAnsi"/>
              <w:noProof/>
              <w:lang w:bidi="ar-SA"/>
            </w:rPr>
          </w:pPr>
          <w:hyperlink w:anchor="_Toc491331893" w:history="1">
            <w:r>
              <w:rPr>
                <w:rStyle w:val="Hyperlink"/>
                <w:noProof/>
              </w:rPr>
              <w:t>3.7.4. Évaluation à mi-parcours du FEM pour la période 2014-2020</w:t>
            </w:r>
            <w:r>
              <w:rPr>
                <w:noProof/>
                <w:webHidden/>
              </w:rPr>
              <w:tab/>
            </w:r>
            <w:r>
              <w:rPr>
                <w:noProof/>
                <w:webHidden/>
              </w:rPr>
              <w:fldChar w:fldCharType="begin"/>
            </w:r>
            <w:r>
              <w:rPr>
                <w:noProof/>
                <w:webHidden/>
              </w:rPr>
              <w:instrText xml:space="preserve"> PAGEREF _Toc491331893 \h </w:instrText>
            </w:r>
            <w:r>
              <w:rPr>
                <w:noProof/>
                <w:webHidden/>
              </w:rPr>
            </w:r>
            <w:r>
              <w:rPr>
                <w:noProof/>
                <w:webHidden/>
              </w:rPr>
              <w:fldChar w:fldCharType="separate"/>
            </w:r>
            <w:r w:rsidR="00AB67B7">
              <w:rPr>
                <w:noProof/>
                <w:webHidden/>
              </w:rPr>
              <w:t>26</w:t>
            </w:r>
            <w:r>
              <w:rPr>
                <w:noProof/>
                <w:webHidden/>
              </w:rPr>
              <w:fldChar w:fldCharType="end"/>
            </w:r>
          </w:hyperlink>
        </w:p>
        <w:p w:rsidR="00D55D6F" w:rsidRDefault="007472BE">
          <w:pPr>
            <w:pStyle w:val="TOC1"/>
            <w:tabs>
              <w:tab w:val="right" w:leader="dot" w:pos="9062"/>
            </w:tabs>
            <w:rPr>
              <w:rFonts w:asciiTheme="minorHAnsi" w:eastAsiaTheme="minorEastAsia" w:hAnsiTheme="minorHAnsi"/>
              <w:noProof/>
              <w:lang w:bidi="ar-SA"/>
            </w:rPr>
          </w:pPr>
          <w:hyperlink w:anchor="_Toc491331894" w:history="1">
            <w:r>
              <w:rPr>
                <w:rStyle w:val="Hyperlink"/>
                <w:noProof/>
              </w:rPr>
              <w:t>4. Données cumulées entre 20</w:t>
            </w:r>
            <w:r>
              <w:rPr>
                <w:rStyle w:val="Hyperlink"/>
                <w:noProof/>
              </w:rPr>
              <w:t>07 et 2016</w:t>
            </w:r>
            <w:r>
              <w:rPr>
                <w:noProof/>
                <w:webHidden/>
              </w:rPr>
              <w:tab/>
            </w:r>
            <w:r>
              <w:rPr>
                <w:noProof/>
                <w:webHidden/>
              </w:rPr>
              <w:fldChar w:fldCharType="begin"/>
            </w:r>
            <w:r>
              <w:rPr>
                <w:noProof/>
                <w:webHidden/>
              </w:rPr>
              <w:instrText xml:space="preserve"> PAGEREF _Toc491331894 \h </w:instrText>
            </w:r>
            <w:r>
              <w:rPr>
                <w:noProof/>
                <w:webHidden/>
              </w:rPr>
            </w:r>
            <w:r>
              <w:rPr>
                <w:noProof/>
                <w:webHidden/>
              </w:rPr>
              <w:fldChar w:fldCharType="separate"/>
            </w:r>
            <w:r w:rsidR="00AB67B7">
              <w:rPr>
                <w:noProof/>
                <w:webHidden/>
              </w:rPr>
              <w:t>26</w:t>
            </w:r>
            <w:r>
              <w:rPr>
                <w:noProof/>
                <w:webHidden/>
              </w:rPr>
              <w:fldChar w:fldCharType="end"/>
            </w:r>
          </w:hyperlink>
        </w:p>
        <w:p w:rsidR="00D55D6F" w:rsidRDefault="007472BE">
          <w:pPr>
            <w:pStyle w:val="TOC1"/>
            <w:tabs>
              <w:tab w:val="right" w:leader="dot" w:pos="9062"/>
            </w:tabs>
            <w:rPr>
              <w:rFonts w:asciiTheme="minorHAnsi" w:eastAsiaTheme="minorEastAsia" w:hAnsiTheme="minorHAnsi"/>
              <w:noProof/>
            </w:rPr>
          </w:pPr>
          <w:r>
            <w:rPr>
              <w:rFonts w:cs="Times New Roman"/>
              <w:b/>
              <w:bCs/>
              <w:noProof/>
            </w:rPr>
            <w:fldChar w:fldCharType="end"/>
          </w:r>
        </w:p>
      </w:sdtContent>
    </w:sdt>
    <w:p w:rsidR="00D55D6F" w:rsidRDefault="007472BE">
      <w:pPr>
        <w:rPr>
          <w:rFonts w:ascii="Times New Roman" w:eastAsiaTheme="majorEastAsia" w:hAnsi="Times New Roman" w:cs="Times New Roman"/>
          <w:b/>
          <w:bCs/>
          <w:noProof/>
          <w:color w:val="000000" w:themeColor="text1"/>
          <w:sz w:val="28"/>
          <w:szCs w:val="24"/>
        </w:rPr>
      </w:pPr>
      <w:r>
        <w:rPr>
          <w:noProof/>
        </w:rPr>
        <w:br w:type="page"/>
      </w:r>
    </w:p>
    <w:p w:rsidR="00D55D6F" w:rsidRDefault="007472BE">
      <w:pPr>
        <w:pStyle w:val="Heading1"/>
        <w:rPr>
          <w:noProof/>
        </w:rPr>
      </w:pPr>
      <w:bookmarkStart w:id="2" w:name="_Toc484519110"/>
      <w:bookmarkStart w:id="3" w:name="_Toc490834315"/>
      <w:bookmarkStart w:id="4" w:name="_Toc491331866"/>
      <w:r>
        <w:rPr>
          <w:noProof/>
        </w:rPr>
        <w:lastRenderedPageBreak/>
        <w:t>1. Introduction</w:t>
      </w:r>
      <w:bookmarkEnd w:id="2"/>
      <w:bookmarkEnd w:id="3"/>
      <w:bookmarkEnd w:id="4"/>
    </w:p>
    <w:p w:rsidR="00D55D6F" w:rsidRDefault="007472BE">
      <w:pPr>
        <w:jc w:val="both"/>
        <w:rPr>
          <w:rFonts w:ascii="Times New Roman" w:hAnsi="Times New Roman" w:cs="Times New Roman"/>
          <w:noProof/>
        </w:rPr>
      </w:pPr>
      <w:r>
        <w:rPr>
          <w:rFonts w:ascii="Times New Roman" w:hAnsi="Times New Roman"/>
          <w:noProof/>
        </w:rPr>
        <w:t>Le Fonds européen d’ajustement à la mondialisation (FEM) vise à apporter une aide aux travailleurs qui ont perdu leur emploi en raison de modifications majeures de la structure du commerce mondial résultant de la mondialisation et des répercussions négativ</w:t>
      </w:r>
      <w:r>
        <w:rPr>
          <w:rFonts w:ascii="Times New Roman" w:hAnsi="Times New Roman"/>
          <w:noProof/>
        </w:rPr>
        <w:t xml:space="preserve">es de la crise économique et financière mondiale sur l’emploi. </w:t>
      </w:r>
    </w:p>
    <w:p w:rsidR="00D55D6F" w:rsidRDefault="007472BE">
      <w:pPr>
        <w:jc w:val="both"/>
        <w:rPr>
          <w:rFonts w:ascii="Times New Roman" w:hAnsi="Times New Roman" w:cs="Times New Roman"/>
          <w:noProof/>
        </w:rPr>
      </w:pPr>
      <w:r>
        <w:rPr>
          <w:rFonts w:ascii="Times New Roman" w:hAnsi="Times New Roman"/>
          <w:noProof/>
        </w:rPr>
        <w:t>Il a été créé par le règlement (CE) nº 1927/2006</w:t>
      </w:r>
      <w:r>
        <w:rPr>
          <w:rFonts w:ascii="Times New Roman" w:hAnsi="Times New Roman"/>
          <w:noProof/>
          <w:vertAlign w:val="superscript"/>
        </w:rPr>
        <w:footnoteReference w:id="2"/>
      </w:r>
      <w:r>
        <w:rPr>
          <w:rFonts w:ascii="Times New Roman" w:hAnsi="Times New Roman"/>
          <w:noProof/>
        </w:rPr>
        <w:t xml:space="preserve"> pour concilier les avantages globaux à long terme de la libéralisation des échanges pour la croissance et l’emploi avec les effets négatifs potentiels de la mondialisation à court terme, en particulier sur l’emploi des travailleurs les plus vulnérables et</w:t>
      </w:r>
      <w:r>
        <w:rPr>
          <w:rFonts w:ascii="Times New Roman" w:hAnsi="Times New Roman"/>
          <w:noProof/>
        </w:rPr>
        <w:t xml:space="preserve"> les moins qualifiés. </w:t>
      </w:r>
    </w:p>
    <w:p w:rsidR="00D55D6F" w:rsidRDefault="007472BE">
      <w:pPr>
        <w:autoSpaceDE w:val="0"/>
        <w:autoSpaceDN w:val="0"/>
        <w:adjustRightInd w:val="0"/>
        <w:spacing w:after="0"/>
        <w:jc w:val="both"/>
        <w:rPr>
          <w:rFonts w:ascii="Times New Roman" w:hAnsi="Times New Roman" w:cs="Times New Roman"/>
          <w:noProof/>
        </w:rPr>
      </w:pPr>
      <w:r>
        <w:rPr>
          <w:rFonts w:ascii="Times New Roman" w:hAnsi="Times New Roman"/>
          <w:noProof/>
        </w:rPr>
        <w:t>Pour répondre à la crise économique et financière mondiale, les règles régissant le FEM ont été modifiées, d’abord en 2009 par le règlement (CE) nº 546/2009</w:t>
      </w:r>
      <w:r>
        <w:rPr>
          <w:rFonts w:ascii="Times New Roman" w:hAnsi="Times New Roman"/>
          <w:noProof/>
          <w:vertAlign w:val="superscript"/>
        </w:rPr>
        <w:footnoteReference w:id="3"/>
      </w:r>
      <w:r>
        <w:rPr>
          <w:rFonts w:ascii="Times New Roman" w:hAnsi="Times New Roman"/>
          <w:noProof/>
        </w:rPr>
        <w:t xml:space="preserve"> et ensuite, en janvier 2014, par le règlement (UE) nº 1309/2013</w:t>
      </w:r>
      <w:r>
        <w:rPr>
          <w:rFonts w:ascii="Times New Roman" w:hAnsi="Times New Roman"/>
          <w:noProof/>
          <w:vertAlign w:val="superscript"/>
        </w:rPr>
        <w:footnoteReference w:id="4"/>
      </w:r>
      <w:r>
        <w:rPr>
          <w:rFonts w:ascii="Times New Roman" w:hAnsi="Times New Roman"/>
          <w:noProof/>
        </w:rPr>
        <w:t xml:space="preserve">. En vertu </w:t>
      </w:r>
      <w:r>
        <w:rPr>
          <w:rFonts w:ascii="Times New Roman" w:hAnsi="Times New Roman"/>
          <w:noProof/>
        </w:rPr>
        <w:t>du règlement (UE) nº 1309/2013, un critère de crise économique et financière a été réintroduit pour les demandes d’intervention du FEM. Une autre nouveauté majeure est l’inclusion de nouvelles catégories de bénéficiaires, comme les travailleurs temporaires</w:t>
      </w:r>
      <w:r>
        <w:rPr>
          <w:rFonts w:ascii="Times New Roman" w:hAnsi="Times New Roman"/>
          <w:noProof/>
        </w:rPr>
        <w:t xml:space="preserve"> et intérimaires, les travailleurs indépendants et – jusqu’à la fin 2017 – les jeunes sans emploi, sortis du système scolaire et sans formation</w:t>
      </w:r>
      <w:r>
        <w:rPr>
          <w:rStyle w:val="FootnoteReference"/>
          <w:rFonts w:ascii="Times New Roman" w:hAnsi="Times New Roman"/>
          <w:noProof/>
        </w:rPr>
        <w:footnoteReference w:id="5"/>
      </w:r>
      <w:r>
        <w:rPr>
          <w:rFonts w:ascii="Times New Roman" w:hAnsi="Times New Roman"/>
          <w:noProof/>
        </w:rPr>
        <w:t>.</w:t>
      </w:r>
    </w:p>
    <w:p w:rsidR="00D55D6F" w:rsidRDefault="00D55D6F">
      <w:pPr>
        <w:autoSpaceDE w:val="0"/>
        <w:autoSpaceDN w:val="0"/>
        <w:adjustRightInd w:val="0"/>
        <w:spacing w:after="0"/>
        <w:jc w:val="both"/>
        <w:rPr>
          <w:rFonts w:ascii="Times New Roman" w:hAnsi="Times New Roman" w:cs="Times New Roman"/>
          <w:noProof/>
        </w:rPr>
      </w:pPr>
    </w:p>
    <w:p w:rsidR="00D55D6F" w:rsidRDefault="007472BE">
      <w:pPr>
        <w:jc w:val="both"/>
        <w:rPr>
          <w:rFonts w:ascii="Times New Roman" w:hAnsi="Times New Roman" w:cs="Times New Roman"/>
          <w:noProof/>
        </w:rPr>
      </w:pPr>
      <w:r>
        <w:rPr>
          <w:rFonts w:ascii="Times New Roman" w:hAnsi="Times New Roman"/>
          <w:noProof/>
        </w:rPr>
        <w:t>Le FEM cofinance des mesures actives du marché du travail prises par les États membres pour permettre aux tra</w:t>
      </w:r>
      <w:r>
        <w:rPr>
          <w:rFonts w:ascii="Times New Roman" w:hAnsi="Times New Roman"/>
          <w:noProof/>
        </w:rPr>
        <w:t>vailleurs licenciés de trouver un nouvel emploi. Le FEM complète les mesures nationales du marché du travail lorsque des procédures soudaines de licenciement collectif font peser sur les services publics de l’emploi une pression extraordinaire et permet, p</w:t>
      </w:r>
      <w:r>
        <w:rPr>
          <w:rFonts w:ascii="Times New Roman" w:hAnsi="Times New Roman"/>
          <w:noProof/>
        </w:rPr>
        <w:t xml:space="preserve">ar conséquent, une approche plus personnalisée et plus ciblée des travailleurs licenciés les plus vulnérables. </w:t>
      </w:r>
    </w:p>
    <w:p w:rsidR="00D55D6F" w:rsidRDefault="007472BE">
      <w:pPr>
        <w:jc w:val="both"/>
        <w:rPr>
          <w:rFonts w:ascii="Times New Roman" w:hAnsi="Times New Roman" w:cs="Times New Roman"/>
          <w:noProof/>
        </w:rPr>
      </w:pPr>
      <w:r>
        <w:rPr>
          <w:rFonts w:ascii="Times New Roman" w:hAnsi="Times New Roman"/>
          <w:noProof/>
        </w:rPr>
        <w:t>L’article 19 du règlement (UE) nº 1309/2013 dispose que la Commission présente au Parlement européen et au Conseil, tous les deux ans, un rappor</w:t>
      </w:r>
      <w:r>
        <w:rPr>
          <w:rFonts w:ascii="Times New Roman" w:hAnsi="Times New Roman"/>
          <w:noProof/>
        </w:rPr>
        <w:t>t quantitatif et qualitatif sur les activités du FEM au cours des deux années précédentes. Ce rapport porte principalement sur les résultats obtenus par le FEM et contient, en particulier, des informations sur:</w:t>
      </w:r>
    </w:p>
    <w:p w:rsidR="00D55D6F" w:rsidRDefault="007472BE">
      <w:pPr>
        <w:numPr>
          <w:ilvl w:val="0"/>
          <w:numId w:val="1"/>
        </w:numPr>
        <w:contextualSpacing/>
        <w:jc w:val="both"/>
        <w:rPr>
          <w:rFonts w:ascii="Times New Roman" w:hAnsi="Times New Roman" w:cs="Times New Roman"/>
          <w:noProof/>
        </w:rPr>
      </w:pPr>
      <w:r>
        <w:rPr>
          <w:rFonts w:ascii="Times New Roman" w:hAnsi="Times New Roman"/>
          <w:noProof/>
        </w:rPr>
        <w:t>les demandes présentées,</w:t>
      </w:r>
    </w:p>
    <w:p w:rsidR="00D55D6F" w:rsidRDefault="007472BE">
      <w:pPr>
        <w:numPr>
          <w:ilvl w:val="0"/>
          <w:numId w:val="1"/>
        </w:numPr>
        <w:contextualSpacing/>
        <w:jc w:val="both"/>
        <w:rPr>
          <w:rFonts w:ascii="Times New Roman" w:hAnsi="Times New Roman" w:cs="Times New Roman"/>
          <w:noProof/>
        </w:rPr>
      </w:pPr>
      <w:r>
        <w:rPr>
          <w:rFonts w:ascii="Times New Roman" w:hAnsi="Times New Roman"/>
          <w:noProof/>
        </w:rPr>
        <w:t>les décisions adopté</w:t>
      </w:r>
      <w:r>
        <w:rPr>
          <w:rFonts w:ascii="Times New Roman" w:hAnsi="Times New Roman"/>
          <w:noProof/>
        </w:rPr>
        <w:t>es,</w:t>
      </w:r>
    </w:p>
    <w:p w:rsidR="00D55D6F" w:rsidRDefault="007472BE">
      <w:pPr>
        <w:numPr>
          <w:ilvl w:val="0"/>
          <w:numId w:val="1"/>
        </w:numPr>
        <w:contextualSpacing/>
        <w:jc w:val="both"/>
        <w:rPr>
          <w:rFonts w:ascii="Times New Roman" w:hAnsi="Times New Roman" w:cs="Times New Roman"/>
          <w:noProof/>
        </w:rPr>
      </w:pPr>
      <w:r>
        <w:rPr>
          <w:rFonts w:ascii="Times New Roman" w:hAnsi="Times New Roman"/>
          <w:noProof/>
        </w:rPr>
        <w:t>les actions financées, y compris leur complémentarité avec les actions financées par d’autres instruments de l’Union, notamment le Fonds social européen (FSE),</w:t>
      </w:r>
    </w:p>
    <w:p w:rsidR="00D55D6F" w:rsidRDefault="007472BE">
      <w:pPr>
        <w:numPr>
          <w:ilvl w:val="0"/>
          <w:numId w:val="1"/>
        </w:numPr>
        <w:contextualSpacing/>
        <w:jc w:val="both"/>
        <w:rPr>
          <w:rFonts w:ascii="Times New Roman" w:hAnsi="Times New Roman" w:cs="Times New Roman"/>
          <w:noProof/>
        </w:rPr>
      </w:pPr>
      <w:r>
        <w:rPr>
          <w:rFonts w:ascii="Times New Roman" w:hAnsi="Times New Roman"/>
          <w:noProof/>
        </w:rPr>
        <w:t xml:space="preserve">la clôture des contributions financières apportées. </w:t>
      </w:r>
    </w:p>
    <w:p w:rsidR="00D55D6F" w:rsidRDefault="00D55D6F">
      <w:pPr>
        <w:ind w:left="720"/>
        <w:contextualSpacing/>
        <w:jc w:val="both"/>
        <w:rPr>
          <w:rFonts w:ascii="Times New Roman" w:hAnsi="Times New Roman" w:cs="Times New Roman"/>
          <w:noProof/>
        </w:rPr>
      </w:pPr>
    </w:p>
    <w:p w:rsidR="00D55D6F" w:rsidRDefault="007472BE">
      <w:pPr>
        <w:jc w:val="both"/>
        <w:rPr>
          <w:rFonts w:ascii="Times New Roman" w:hAnsi="Times New Roman" w:cs="Times New Roman"/>
          <w:noProof/>
        </w:rPr>
      </w:pPr>
      <w:r>
        <w:rPr>
          <w:rFonts w:ascii="Times New Roman" w:hAnsi="Times New Roman"/>
          <w:noProof/>
        </w:rPr>
        <w:lastRenderedPageBreak/>
        <w:t xml:space="preserve">Le rapport devrait également contenir </w:t>
      </w:r>
      <w:r>
        <w:rPr>
          <w:rFonts w:ascii="Times New Roman" w:hAnsi="Times New Roman"/>
          <w:noProof/>
        </w:rPr>
        <w:t>des renseignements sur les demandes qui ont été refusées faute de fonds suffisants ou pour cause d’irrecevabilité et examiner les actions achevées pendant la période de référence plutôt que de suivre les dossiers au cours de leur cycle de vie. Chaque secti</w:t>
      </w:r>
      <w:r>
        <w:rPr>
          <w:rFonts w:ascii="Times New Roman" w:hAnsi="Times New Roman"/>
          <w:noProof/>
        </w:rPr>
        <w:t xml:space="preserve">on du rapport examine des dossiers différents. </w:t>
      </w:r>
    </w:p>
    <w:p w:rsidR="00D55D6F" w:rsidRDefault="007472BE">
      <w:pPr>
        <w:pStyle w:val="Heading1"/>
        <w:rPr>
          <w:noProof/>
        </w:rPr>
      </w:pPr>
      <w:bookmarkStart w:id="5" w:name="_Toc484519111"/>
      <w:bookmarkStart w:id="6" w:name="_Toc490834316"/>
      <w:bookmarkStart w:id="7" w:name="_Toc491331867"/>
      <w:r>
        <w:rPr>
          <w:noProof/>
        </w:rPr>
        <w:t>2. Vue d’ensemble des activités du FEM en 2015 et 2016</w:t>
      </w:r>
      <w:bookmarkEnd w:id="5"/>
      <w:bookmarkEnd w:id="6"/>
      <w:bookmarkEnd w:id="7"/>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En 2015 et 2016, la Commission a reçu 20 demandes de contribution du FEM (12 en 2015, 8 en 2016)</w:t>
      </w:r>
      <w:r>
        <w:rPr>
          <w:rStyle w:val="FootnoteReference"/>
          <w:rFonts w:ascii="Times New Roman" w:hAnsi="Times New Roman"/>
          <w:noProof/>
          <w:color w:val="000000" w:themeColor="text1"/>
        </w:rPr>
        <w:footnoteReference w:id="6"/>
      </w:r>
      <w:r>
        <w:rPr>
          <w:rFonts w:ascii="Times New Roman" w:hAnsi="Times New Roman"/>
          <w:noProof/>
          <w:color w:val="000000" w:themeColor="text1"/>
        </w:rPr>
        <w:t>. L’autorité budgétaire a autorisé la mobilisation du FE</w:t>
      </w:r>
      <w:r>
        <w:rPr>
          <w:rFonts w:ascii="Times New Roman" w:hAnsi="Times New Roman"/>
          <w:noProof/>
          <w:color w:val="000000" w:themeColor="text1"/>
        </w:rPr>
        <w:t>M dans 17 dossiers, alors que trois demandes ont été retirées par les États membres</w:t>
      </w:r>
      <w:r>
        <w:rPr>
          <w:rFonts w:ascii="Times New Roman" w:hAnsi="Times New Roman"/>
          <w:noProof/>
          <w:color w:val="000000" w:themeColor="text1"/>
          <w:vertAlign w:val="superscript"/>
        </w:rPr>
        <w:footnoteReference w:id="7"/>
      </w:r>
      <w:r>
        <w:rPr>
          <w:rFonts w:ascii="Times New Roman" w:hAnsi="Times New Roman"/>
          <w:noProof/>
          <w:color w:val="000000" w:themeColor="text1"/>
        </w:rPr>
        <w:t>. En ce qui concerne les 17 demandes acceptées, les États membres ont demandé au FEM un montant total de 51 171 249 EUR (35 400 623 EUR en 2015, 15 770 626 EUR en 2016). Le</w:t>
      </w:r>
      <w:r>
        <w:rPr>
          <w:rFonts w:ascii="Times New Roman" w:hAnsi="Times New Roman"/>
          <w:noProof/>
          <w:color w:val="000000" w:themeColor="text1"/>
        </w:rPr>
        <w:t xml:space="preserve">s caractéristiques des demandes reçues sont détaillées à la section 3.1 et dans les tableaux 1 et 2. </w:t>
      </w:r>
    </w:p>
    <w:p w:rsidR="00D55D6F" w:rsidRDefault="007472BE">
      <w:pPr>
        <w:jc w:val="both"/>
        <w:rPr>
          <w:rFonts w:ascii="Times New Roman" w:hAnsi="Times New Roman" w:cs="Times New Roman"/>
          <w:noProof/>
        </w:rPr>
      </w:pPr>
      <w:r>
        <w:rPr>
          <w:rFonts w:ascii="Times New Roman" w:hAnsi="Times New Roman"/>
          <w:noProof/>
        </w:rPr>
        <w:t xml:space="preserve">L’autorité budgétaire </w:t>
      </w:r>
      <w:r>
        <w:rPr>
          <w:rFonts w:ascii="Times New Roman" w:hAnsi="Times New Roman"/>
          <w:noProof/>
          <w:color w:val="000000" w:themeColor="text1"/>
        </w:rPr>
        <w:t>a pris 25 décisions</w:t>
      </w:r>
      <w:r>
        <w:rPr>
          <w:rFonts w:ascii="Times New Roman" w:hAnsi="Times New Roman"/>
          <w:noProof/>
        </w:rPr>
        <w:t xml:space="preserve"> de mobilisation du FEM </w:t>
      </w:r>
      <w:r>
        <w:rPr>
          <w:rFonts w:ascii="Times New Roman" w:hAnsi="Times New Roman"/>
          <w:noProof/>
          <w:color w:val="000000" w:themeColor="text1"/>
        </w:rPr>
        <w:t>(y compris dix demandes reçues avant le 1.1.2015)</w:t>
      </w:r>
      <w:r>
        <w:rPr>
          <w:rFonts w:ascii="Times New Roman" w:hAnsi="Times New Roman"/>
          <w:noProof/>
        </w:rPr>
        <w:t xml:space="preserve">, pour un montant total de </w:t>
      </w:r>
      <w:r>
        <w:rPr>
          <w:rFonts w:ascii="Times New Roman" w:hAnsi="Times New Roman"/>
          <w:noProof/>
          <w:color w:val="000000" w:themeColor="text1"/>
        </w:rPr>
        <w:t>70 392 546 EU</w:t>
      </w:r>
      <w:r>
        <w:rPr>
          <w:rFonts w:ascii="Times New Roman" w:hAnsi="Times New Roman"/>
          <w:noProof/>
          <w:color w:val="000000" w:themeColor="text1"/>
        </w:rPr>
        <w:t>R</w:t>
      </w:r>
      <w:r>
        <w:rPr>
          <w:rStyle w:val="FootnoteReference"/>
          <w:rFonts w:ascii="Times New Roman" w:hAnsi="Times New Roman"/>
          <w:noProof/>
          <w:color w:val="000000" w:themeColor="text1"/>
        </w:rPr>
        <w:footnoteReference w:id="8"/>
      </w:r>
      <w:r>
        <w:rPr>
          <w:rFonts w:ascii="Times New Roman" w:hAnsi="Times New Roman"/>
          <w:noProof/>
          <w:color w:val="000000" w:themeColor="text1"/>
        </w:rPr>
        <w:t xml:space="preserve"> </w:t>
      </w:r>
      <w:r>
        <w:rPr>
          <w:rFonts w:ascii="Times New Roman" w:hAnsi="Times New Roman"/>
          <w:noProof/>
        </w:rPr>
        <w:t xml:space="preserve">à charge du budget du FEM pour 2015 et 2016. Les caractéristiques des contributions accordées en 2015 et 2016 sont présentées à la section 3.2 et dans les tableaux 3 et 4. </w:t>
      </w:r>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La Commission a reçu 26 rapports finaux sur la mise en œuvre des contributions du FEM en 2015 et 2016. Les résultats sont présentés à la section 3.4 et dans le tableau 5. En 2015 et 2016, 34 dossiers du FEM ont été clôturés. Ces dossiers clôturés sont déta</w:t>
      </w:r>
      <w:r>
        <w:rPr>
          <w:rFonts w:ascii="Times New Roman" w:hAnsi="Times New Roman"/>
          <w:noProof/>
          <w:color w:val="000000" w:themeColor="text1"/>
        </w:rPr>
        <w:t xml:space="preserve">illés au tableau 3 de l’annexe. </w:t>
      </w:r>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 xml:space="preserve">Les caractéristiques de l’assistance technique fournie à l’initiative de la Commission [article 11 du règlement (CE) nº 1309/2013] sont présentées aux sections 3.6.2 et 3.7, ainsi que dans les tableaux 6 et 6.1. </w:t>
      </w:r>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La publica</w:t>
      </w:r>
      <w:r>
        <w:rPr>
          <w:rFonts w:ascii="Times New Roman" w:hAnsi="Times New Roman"/>
          <w:noProof/>
          <w:color w:val="000000" w:themeColor="text1"/>
        </w:rPr>
        <w:t>tion des résultats de l’évaluation à mi-parcours du FEM pour la période 2014-2020 est prévue mi-2017 (voir section 3.7.4).</w:t>
      </w:r>
    </w:p>
    <w:p w:rsidR="00D55D6F" w:rsidRDefault="007472BE">
      <w:pPr>
        <w:jc w:val="both"/>
        <w:rPr>
          <w:rFonts w:ascii="Times New Roman" w:hAnsi="Times New Roman" w:cs="Times New Roman"/>
          <w:noProof/>
        </w:rPr>
      </w:pPr>
      <w:r>
        <w:rPr>
          <w:rFonts w:ascii="Times New Roman" w:hAnsi="Times New Roman"/>
          <w:noProof/>
        </w:rPr>
        <w:t xml:space="preserve">Dans sa proposition de règlement du Parlement européen et du Conseil relatif aux règles financières applicables au budget général de </w:t>
      </w:r>
      <w:r>
        <w:rPr>
          <w:rFonts w:ascii="Times New Roman" w:hAnsi="Times New Roman"/>
          <w:noProof/>
        </w:rPr>
        <w:t xml:space="preserve">l’Union </w:t>
      </w:r>
      <w:r>
        <w:rPr>
          <w:rFonts w:ascii="Times New Roman" w:hAnsi="Times New Roman"/>
          <w:noProof/>
          <w:color w:val="000000" w:themeColor="text1"/>
        </w:rPr>
        <w:t>et modifiant le règlement (CE) nº 2012/2002, les règlements (UE) nº 1296/2013, (UE) nº 1301/2013, (UE) nº 1303/2013, (UE) nº 1304/2013, (UE) nº 1305/2013, (UE) nº 1306/2013, (UE) nº 1307/2013, (UE) nº 1308/2013, (UE) nº 1309/2013, (UE) nº 1316/2013</w:t>
      </w:r>
      <w:r>
        <w:rPr>
          <w:rFonts w:ascii="Times New Roman" w:hAnsi="Times New Roman"/>
          <w:noProof/>
          <w:color w:val="000000" w:themeColor="text1"/>
        </w:rPr>
        <w:t>, (UE) nº 223/2014, (UE) nº 283/2014, (UE) nº 652/2014 du Parlement européen et du Conseil et la décision nº 541/2014/UE du Parlement européen et du Conseil</w:t>
      </w:r>
      <w:r>
        <w:rPr>
          <w:rStyle w:val="FootnoteReference"/>
          <w:rFonts w:ascii="Times New Roman" w:hAnsi="Times New Roman"/>
          <w:noProof/>
        </w:rPr>
        <w:footnoteReference w:id="9"/>
      </w:r>
      <w:r>
        <w:rPr>
          <w:rFonts w:ascii="Times New Roman" w:hAnsi="Times New Roman"/>
          <w:noProof/>
        </w:rPr>
        <w:t>, la Commission a apporté des modifications au règlement (UE) nº 1309/2013 concernant la prolongati</w:t>
      </w:r>
      <w:r>
        <w:rPr>
          <w:rFonts w:ascii="Times New Roman" w:hAnsi="Times New Roman"/>
          <w:noProof/>
        </w:rPr>
        <w:t>on de la dérogation applicable aux NEET (actuellement en vigueur jusqu’au 31.12.2017) et les procédures internes afin d’accélérer le processus décisionnel. Ces modifications font en ce moment l’objet de discussions dans le cadre de la procédure de réexamen</w:t>
      </w:r>
      <w:r>
        <w:rPr>
          <w:rFonts w:ascii="Times New Roman" w:hAnsi="Times New Roman"/>
          <w:noProof/>
        </w:rPr>
        <w:t xml:space="preserve"> du cadre financier pluriannuel (CFP). </w:t>
      </w:r>
    </w:p>
    <w:p w:rsidR="00D55D6F" w:rsidRDefault="007472BE">
      <w:pPr>
        <w:pStyle w:val="Heading1"/>
        <w:rPr>
          <w:noProof/>
        </w:rPr>
      </w:pPr>
      <w:bookmarkStart w:id="8" w:name="_Toc484519112"/>
      <w:bookmarkStart w:id="9" w:name="_Toc490834317"/>
      <w:bookmarkStart w:id="10" w:name="_Toc491331868"/>
      <w:r>
        <w:rPr>
          <w:noProof/>
        </w:rPr>
        <w:lastRenderedPageBreak/>
        <w:t>3. Analyse des activités du FEM en 2015 et 2016</w:t>
      </w:r>
      <w:bookmarkEnd w:id="8"/>
      <w:bookmarkEnd w:id="9"/>
      <w:bookmarkEnd w:id="10"/>
    </w:p>
    <w:p w:rsidR="00D55D6F" w:rsidRDefault="007472BE">
      <w:pPr>
        <w:pStyle w:val="Heading2"/>
        <w:rPr>
          <w:noProof/>
        </w:rPr>
      </w:pPr>
      <w:bookmarkStart w:id="11" w:name="_Toc484519113"/>
      <w:bookmarkStart w:id="12" w:name="_Toc490834318"/>
      <w:bookmarkStart w:id="13" w:name="_Toc491331869"/>
      <w:r>
        <w:rPr>
          <w:noProof/>
        </w:rPr>
        <w:t>3.1. Demandes reçues</w:t>
      </w:r>
      <w:bookmarkEnd w:id="11"/>
      <w:bookmarkEnd w:id="12"/>
      <w:bookmarkEnd w:id="13"/>
    </w:p>
    <w:p w:rsidR="00D55D6F" w:rsidRDefault="007472BE">
      <w:pPr>
        <w:spacing w:before="240"/>
        <w:jc w:val="both"/>
        <w:rPr>
          <w:rFonts w:ascii="Times New Roman" w:hAnsi="Times New Roman" w:cs="Times New Roman"/>
          <w:noProof/>
          <w:color w:val="000000" w:themeColor="text1"/>
        </w:rPr>
      </w:pPr>
      <w:r>
        <w:rPr>
          <w:rFonts w:ascii="Times New Roman" w:hAnsi="Times New Roman"/>
          <w:noProof/>
          <w:color w:val="000000" w:themeColor="text1"/>
        </w:rPr>
        <w:t>En 2015 et 2016, la Commission a reçu 20 demandes d’intervention de la part des onze États membres suivants: Allemagne, Belgique, Espagne, Estonie,</w:t>
      </w:r>
      <w:r>
        <w:rPr>
          <w:rFonts w:ascii="Times New Roman" w:hAnsi="Times New Roman"/>
          <w:noProof/>
          <w:color w:val="000000" w:themeColor="text1"/>
        </w:rPr>
        <w:t xml:space="preserve"> Finlande, France, Grèce, Irlande, Italie, </w:t>
      </w:r>
      <w:r>
        <w:rPr>
          <w:rFonts w:ascii="Times New Roman" w:hAnsi="Times New Roman"/>
          <w:noProof/>
        </w:rPr>
        <w:t>Pays-Bas</w:t>
      </w:r>
      <w:r>
        <w:rPr>
          <w:rFonts w:ascii="Times New Roman" w:hAnsi="Times New Roman"/>
          <w:noProof/>
          <w:color w:val="000000" w:themeColor="text1"/>
        </w:rPr>
        <w:t xml:space="preserve"> et </w:t>
      </w:r>
      <w:r>
        <w:rPr>
          <w:rFonts w:ascii="Times New Roman" w:hAnsi="Times New Roman"/>
          <w:noProof/>
        </w:rPr>
        <w:t xml:space="preserve">Suède. </w:t>
      </w:r>
      <w:r>
        <w:rPr>
          <w:rFonts w:ascii="Times New Roman" w:hAnsi="Times New Roman"/>
          <w:noProof/>
          <w:color w:val="000000" w:themeColor="text1"/>
        </w:rPr>
        <w:t>S’il s’agissait de la première demande d’intervention du FEM pour ce qui est de l’Estonie, les dix autres États membres avaient déjà tous demandé l’intervention du FEM. Les détails relatifs à ce</w:t>
      </w:r>
      <w:r>
        <w:rPr>
          <w:rFonts w:ascii="Times New Roman" w:hAnsi="Times New Roman"/>
          <w:noProof/>
          <w:color w:val="000000" w:themeColor="text1"/>
        </w:rPr>
        <w:t>s demandes sont présentés dans le tableau 1.</w:t>
      </w:r>
    </w:p>
    <w:p w:rsidR="00D55D6F" w:rsidRDefault="007472BE">
      <w:pPr>
        <w:rPr>
          <w:rFonts w:ascii="Times New Roman" w:eastAsia="Times New Roman" w:hAnsi="Times New Roman" w:cs="Times New Roman"/>
          <w:bCs/>
          <w:noProof/>
          <w:color w:val="000000"/>
        </w:rPr>
      </w:pPr>
      <w:r>
        <w:rPr>
          <w:rFonts w:ascii="Times New Roman" w:hAnsi="Times New Roman"/>
          <w:noProof/>
          <w:color w:val="000000"/>
        </w:rPr>
        <w:t>Les informations figurant aux sections 3.1.1 à 3.1.6 ne tiennent pas compte des données relatives aux demandes retirées.</w:t>
      </w:r>
    </w:p>
    <w:p w:rsidR="00D55D6F" w:rsidRDefault="007472BE">
      <w:pPr>
        <w:pStyle w:val="Heading3"/>
        <w:rPr>
          <w:noProof/>
        </w:rPr>
      </w:pPr>
      <w:bookmarkStart w:id="14" w:name="_Toc484519114"/>
      <w:bookmarkStart w:id="15" w:name="_Toc490834319"/>
      <w:bookmarkStart w:id="16" w:name="_Toc491331870"/>
      <w:r>
        <w:rPr>
          <w:noProof/>
        </w:rPr>
        <w:t>3.1.1. Demandes reçues: critères d’intervention</w:t>
      </w:r>
      <w:bookmarkEnd w:id="14"/>
      <w:bookmarkEnd w:id="15"/>
      <w:bookmarkEnd w:id="16"/>
    </w:p>
    <w:p w:rsidR="00D55D6F" w:rsidRDefault="007472BE">
      <w:pPr>
        <w:spacing w:before="240"/>
        <w:jc w:val="both"/>
        <w:rPr>
          <w:rFonts w:ascii="Times New Roman" w:hAnsi="Times New Roman" w:cs="Times New Roman"/>
          <w:noProof/>
          <w:color w:val="000000" w:themeColor="text1"/>
        </w:rPr>
      </w:pPr>
      <w:r>
        <w:rPr>
          <w:rFonts w:ascii="Times New Roman" w:hAnsi="Times New Roman"/>
          <w:noProof/>
          <w:color w:val="000000" w:themeColor="text1"/>
        </w:rPr>
        <w:t xml:space="preserve">Les demandes présentées en 2015 et 2016 </w:t>
      </w:r>
      <w:r>
        <w:rPr>
          <w:rFonts w:ascii="Times New Roman" w:hAnsi="Times New Roman"/>
          <w:noProof/>
          <w:color w:val="000000" w:themeColor="text1"/>
        </w:rPr>
        <w:t>étaient couvertes par le règlement (CE) nº 1309/2013, qui prévoyait deux critères d’intervention:</w:t>
      </w:r>
    </w:p>
    <w:p w:rsidR="00D55D6F" w:rsidRDefault="007472BE">
      <w:pPr>
        <w:pStyle w:val="ListParagraph"/>
        <w:numPr>
          <w:ilvl w:val="0"/>
          <w:numId w:val="12"/>
        </w:numPr>
        <w:spacing w:before="240" w:after="0"/>
        <w:jc w:val="both"/>
        <w:rPr>
          <w:rFonts w:ascii="Calibri" w:hAnsi="Calibri"/>
          <w:noProof/>
        </w:rPr>
      </w:pPr>
      <w:r>
        <w:rPr>
          <w:noProof/>
        </w:rPr>
        <w:t xml:space="preserve">une modification majeure de la structure du commerce mondial résultant de la mondialisation. </w:t>
      </w:r>
    </w:p>
    <w:p w:rsidR="00D55D6F" w:rsidRDefault="007472BE">
      <w:pPr>
        <w:pStyle w:val="ListParagraph"/>
        <w:spacing w:before="240" w:after="0"/>
        <w:jc w:val="both"/>
        <w:rPr>
          <w:rFonts w:ascii="Calibri" w:hAnsi="Calibri"/>
          <w:noProof/>
        </w:rPr>
      </w:pPr>
      <w:r>
        <w:rPr>
          <w:noProof/>
        </w:rPr>
        <w:t>Treize demandes ont été déposées au titre de ce critère, dont tr</w:t>
      </w:r>
      <w:r>
        <w:rPr>
          <w:noProof/>
        </w:rPr>
        <w:t>ois étaient justifiées par des circonstances exceptionnelles;</w:t>
      </w:r>
    </w:p>
    <w:p w:rsidR="00D55D6F" w:rsidRDefault="007472BE">
      <w:pPr>
        <w:pStyle w:val="ListParagraph"/>
        <w:numPr>
          <w:ilvl w:val="0"/>
          <w:numId w:val="12"/>
        </w:numPr>
        <w:spacing w:before="240" w:after="0"/>
        <w:jc w:val="both"/>
        <w:rPr>
          <w:noProof/>
        </w:rPr>
      </w:pPr>
      <w:r>
        <w:rPr>
          <w:noProof/>
        </w:rPr>
        <w:t xml:space="preserve">la crise économique et financière. </w:t>
      </w:r>
    </w:p>
    <w:p w:rsidR="00D55D6F" w:rsidRDefault="007472BE">
      <w:pPr>
        <w:pStyle w:val="ListParagraph"/>
        <w:spacing w:before="240" w:after="0"/>
        <w:jc w:val="both"/>
        <w:rPr>
          <w:rFonts w:cs="Times New Roman"/>
          <w:noProof/>
          <w:color w:val="000000" w:themeColor="text1"/>
        </w:rPr>
      </w:pPr>
      <w:r>
        <w:rPr>
          <w:noProof/>
        </w:rPr>
        <w:t>Quatre demandes ont été introduites en raison des répercussions de la crise économique et financière mondiale.</w:t>
      </w:r>
    </w:p>
    <w:p w:rsidR="00D55D6F" w:rsidRDefault="007472BE">
      <w:pPr>
        <w:pStyle w:val="Heading3"/>
        <w:rPr>
          <w:noProof/>
        </w:rPr>
      </w:pPr>
      <w:bookmarkStart w:id="17" w:name="_Toc484519115"/>
      <w:bookmarkStart w:id="18" w:name="_Toc490834320"/>
      <w:bookmarkStart w:id="19" w:name="_Toc491331871"/>
      <w:r>
        <w:rPr>
          <w:noProof/>
        </w:rPr>
        <w:t>3.1.2. Demandes reçues: secteurs</w:t>
      </w:r>
      <w:bookmarkEnd w:id="17"/>
      <w:bookmarkEnd w:id="18"/>
      <w:bookmarkEnd w:id="19"/>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 xml:space="preserve">Les dix-sept demandes reçues et accordées étaient liées à des licenciements opérés dans douze secteurs différents. </w:t>
      </w:r>
      <w:r>
        <w:rPr>
          <w:rFonts w:ascii="Times New Roman" w:hAnsi="Times New Roman"/>
          <w:noProof/>
        </w:rPr>
        <w:t>Le plus grand nombre de demandes d’intervention émanaient du secteur automobile (quatre demandes), suivi du secteur de la programmation infor</w:t>
      </w:r>
      <w:r>
        <w:rPr>
          <w:rFonts w:ascii="Times New Roman" w:hAnsi="Times New Roman"/>
          <w:noProof/>
        </w:rPr>
        <w:t xml:space="preserve">matique, de la vente au détail et des produits informatiques, électroniques et optiques (deux demandes par secteur). Pour la </w:t>
      </w:r>
      <w:r>
        <w:rPr>
          <w:rFonts w:ascii="Times New Roman" w:hAnsi="Times New Roman"/>
          <w:noProof/>
          <w:color w:val="000000" w:themeColor="text1"/>
        </w:rPr>
        <w:t>première fois, une demande d’intervention a été introduite en raison des licenciements dans le secteur de la fabrication de coke et</w:t>
      </w:r>
      <w:r>
        <w:rPr>
          <w:rFonts w:ascii="Times New Roman" w:hAnsi="Times New Roman"/>
          <w:noProof/>
          <w:color w:val="000000" w:themeColor="text1"/>
        </w:rPr>
        <w:t xml:space="preserve"> de produits pétroliers raffinés</w:t>
      </w:r>
      <w:r>
        <w:rPr>
          <w:rFonts w:ascii="Times New Roman" w:hAnsi="Times New Roman"/>
          <w:noProof/>
        </w:rPr>
        <w:t>.</w:t>
      </w:r>
    </w:p>
    <w:p w:rsidR="00D55D6F" w:rsidRDefault="00D55D6F">
      <w:pPr>
        <w:spacing w:after="0"/>
        <w:rPr>
          <w:rFonts w:ascii="Times New Roman" w:hAnsi="Times New Roman"/>
          <w:b/>
          <w:i/>
          <w:noProof/>
        </w:rPr>
      </w:pPr>
    </w:p>
    <w:p w:rsidR="00D55D6F" w:rsidRDefault="007472BE">
      <w:pPr>
        <w:spacing w:after="0"/>
        <w:rPr>
          <w:rFonts w:ascii="Times New Roman" w:hAnsi="Times New Roman"/>
          <w:i/>
          <w:noProof/>
          <w:sz w:val="18"/>
          <w:szCs w:val="18"/>
        </w:rPr>
      </w:pPr>
      <w:r>
        <w:rPr>
          <w:rFonts w:ascii="Times New Roman" w:hAnsi="Times New Roman"/>
          <w:b/>
          <w:i/>
          <w:noProof/>
        </w:rPr>
        <w:lastRenderedPageBreak/>
        <w:t>Graphique 1: nombre de demandes par secteur (NACE Rév. 2) en 2015-2016*</w:t>
      </w:r>
      <w:r>
        <w:rPr>
          <w:rFonts w:ascii="Times New Roman" w:hAnsi="Times New Roman"/>
          <w:i/>
          <w:noProof/>
        </w:rPr>
        <w:t xml:space="preserve"> </w:t>
      </w:r>
      <w:r>
        <w:rPr>
          <w:noProof/>
          <w:lang w:val="en-GB" w:eastAsia="en-GB" w:bidi="ar-SA"/>
        </w:rPr>
        <w:drawing>
          <wp:inline distT="0" distB="0" distL="0" distR="0">
            <wp:extent cx="5760720" cy="2216987"/>
            <wp:effectExtent l="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216987"/>
                    </a:xfrm>
                    <a:prstGeom prst="rect">
                      <a:avLst/>
                    </a:prstGeom>
                    <a:noFill/>
                    <a:ln>
                      <a:noFill/>
                    </a:ln>
                  </pic:spPr>
                </pic:pic>
              </a:graphicData>
            </a:graphic>
          </wp:inline>
        </w:drawing>
      </w:r>
      <w:r>
        <w:rPr>
          <w:rFonts w:ascii="Times New Roman" w:hAnsi="Times New Roman"/>
          <w:i/>
          <w:noProof/>
          <w:sz w:val="18"/>
        </w:rPr>
        <w:t xml:space="preserve"> </w:t>
      </w:r>
    </w:p>
    <w:p w:rsidR="00D55D6F" w:rsidRDefault="00D55D6F">
      <w:pPr>
        <w:spacing w:after="0"/>
        <w:rPr>
          <w:rFonts w:ascii="Times New Roman" w:hAnsi="Times New Roman"/>
          <w:i/>
          <w:noProof/>
          <w:sz w:val="18"/>
          <w:szCs w:val="18"/>
        </w:rPr>
      </w:pPr>
    </w:p>
    <w:p w:rsidR="00D55D6F" w:rsidRDefault="007472BE">
      <w:pPr>
        <w:spacing w:after="0"/>
        <w:rPr>
          <w:rFonts w:ascii="Times New Roman" w:hAnsi="Times New Roman"/>
          <w:b/>
          <w:i/>
          <w:noProof/>
        </w:rPr>
      </w:pPr>
      <w:r>
        <w:rPr>
          <w:rFonts w:ascii="Times New Roman" w:hAnsi="Times New Roman"/>
          <w:i/>
          <w:noProof/>
          <w:sz w:val="18"/>
        </w:rPr>
        <w:t>* La demande EGF/2016/003 EE/Petroleum and chemicals couvre deux secteurs (19 et 20) et est donc reprise deux fois dans le graphique ci-dessus.</w:t>
      </w:r>
    </w:p>
    <w:p w:rsidR="00D55D6F" w:rsidRDefault="00D55D6F">
      <w:pPr>
        <w:rPr>
          <w:rFonts w:ascii="Times New Roman" w:eastAsia="Times New Roman" w:hAnsi="Times New Roman" w:cs="Times New Roman"/>
          <w:bCs/>
          <w:noProof/>
          <w:color w:val="000000"/>
        </w:rPr>
        <w:sectPr w:rsidR="00D55D6F">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pPr>
    </w:p>
    <w:p w:rsidR="00D55D6F" w:rsidRDefault="007472BE">
      <w:pPr>
        <w:jc w:val="center"/>
        <w:rPr>
          <w:rFonts w:ascii="Times New Roman" w:hAnsi="Times New Roman" w:cs="Times New Roman"/>
          <w:b/>
          <w:i/>
          <w:noProof/>
          <w:sz w:val="28"/>
          <w:szCs w:val="28"/>
        </w:rPr>
      </w:pPr>
      <w:r>
        <w:rPr>
          <w:rFonts w:ascii="Times New Roman" w:hAnsi="Times New Roman"/>
          <w:b/>
          <w:i/>
          <w:noProof/>
          <w:sz w:val="28"/>
        </w:rPr>
        <w:lastRenderedPageBreak/>
        <w:t>Tableau 1: demandes par État membre reçues en 2015 et 2016</w:t>
      </w:r>
    </w:p>
    <w:p w:rsidR="00D55D6F" w:rsidRDefault="00D55D6F">
      <w:pPr>
        <w:jc w:val="center"/>
        <w:rPr>
          <w:rFonts w:ascii="Times New Roman" w:hAnsi="Times New Roman" w:cs="Times New Roman"/>
          <w:b/>
          <w:i/>
          <w:noProof/>
          <w:sz w:val="28"/>
          <w:szCs w:val="28"/>
        </w:rPr>
      </w:pPr>
    </w:p>
    <w:p w:rsidR="00D55D6F" w:rsidRDefault="007472BE">
      <w:pPr>
        <w:rPr>
          <w:noProof/>
        </w:rPr>
        <w:sectPr w:rsidR="00D55D6F">
          <w:headerReference w:type="even" r:id="rId23"/>
          <w:headerReference w:type="default" r:id="rId24"/>
          <w:footerReference w:type="even" r:id="rId25"/>
          <w:footerReference w:type="default" r:id="rId26"/>
          <w:headerReference w:type="first" r:id="rId27"/>
          <w:footerReference w:type="first" r:id="rId28"/>
          <w:pgSz w:w="16838" w:h="11906" w:orient="landscape"/>
          <w:pgMar w:top="1417" w:right="1417" w:bottom="1417" w:left="1417" w:header="708" w:footer="708" w:gutter="0"/>
          <w:cols w:space="708"/>
          <w:docGrid w:linePitch="360"/>
        </w:sectPr>
      </w:pPr>
      <w:r>
        <w:rPr>
          <w:noProof/>
          <w:lang w:val="en-GB" w:eastAsia="en-GB" w:bidi="ar-SA"/>
        </w:rPr>
        <w:drawing>
          <wp:inline distT="0" distB="0" distL="0" distR="0">
            <wp:extent cx="8896350" cy="40767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6350" cy="4076700"/>
                    </a:xfrm>
                    <a:prstGeom prst="rect">
                      <a:avLst/>
                    </a:prstGeom>
                    <a:noFill/>
                    <a:ln>
                      <a:noFill/>
                    </a:ln>
                  </pic:spPr>
                </pic:pic>
              </a:graphicData>
            </a:graphic>
          </wp:inline>
        </w:drawing>
      </w:r>
    </w:p>
    <w:p w:rsidR="00D55D6F" w:rsidRDefault="007472BE">
      <w:pPr>
        <w:pStyle w:val="Heading3"/>
        <w:rPr>
          <w:bCs w:val="0"/>
          <w:i w:val="0"/>
          <w:noProof/>
        </w:rPr>
      </w:pPr>
      <w:bookmarkStart w:id="20" w:name="_Toc484519116"/>
      <w:bookmarkStart w:id="21" w:name="_Toc490834321"/>
      <w:bookmarkStart w:id="22" w:name="_Toc491331872"/>
      <w:r>
        <w:rPr>
          <w:noProof/>
        </w:rPr>
        <w:lastRenderedPageBreak/>
        <w:t>3.1.3. Demandes reçues: montants sollicités</w:t>
      </w:r>
      <w:bookmarkEnd w:id="20"/>
      <w:bookmarkEnd w:id="21"/>
      <w:bookmarkEnd w:id="22"/>
    </w:p>
    <w:p w:rsidR="00D55D6F" w:rsidRDefault="007472BE">
      <w:pPr>
        <w:jc w:val="both"/>
        <w:rPr>
          <w:rFonts w:ascii="Times New Roman" w:eastAsia="Times New Roman" w:hAnsi="Times New Roman" w:cs="Times New Roman"/>
          <w:bCs/>
          <w:noProof/>
          <w:color w:val="000000"/>
        </w:rPr>
      </w:pPr>
      <w:r>
        <w:rPr>
          <w:rFonts w:ascii="Times New Roman" w:hAnsi="Times New Roman"/>
          <w:noProof/>
          <w:color w:val="000000"/>
        </w:rPr>
        <w:t>Au cours de la période 2015-2016, onze États membres ont demandé une intervention du FEM pour un montant de 51 171 249 EUR. La Finlande a sollicité le montant le plus élevé (1 994 000 EUR pour quatre demandes), suivie par la Belgique (9 188 149 EUR pour tr</w:t>
      </w:r>
      <w:r>
        <w:rPr>
          <w:rFonts w:ascii="Times New Roman" w:hAnsi="Times New Roman"/>
          <w:noProof/>
          <w:color w:val="000000"/>
        </w:rPr>
        <w:t xml:space="preserve">ois demandes) et l’Allemagne (6 958 623 EUR pour une seule demande). </w:t>
      </w:r>
      <w:r>
        <w:rPr>
          <w:rFonts w:ascii="Times New Roman" w:hAnsi="Times New Roman"/>
          <w:noProof/>
        </w:rPr>
        <w:t xml:space="preserve">Les contributions demandées au FEM s’échelonnaient entre 442 293 EUR et </w:t>
      </w:r>
      <w:r>
        <w:rPr>
          <w:rFonts w:ascii="Times New Roman" w:hAnsi="Times New Roman"/>
          <w:noProof/>
          <w:color w:val="000000"/>
        </w:rPr>
        <w:t>6 958 623</w:t>
      </w:r>
      <w:r>
        <w:rPr>
          <w:rFonts w:ascii="Times New Roman" w:hAnsi="Times New Roman"/>
          <w:noProof/>
        </w:rPr>
        <w:t xml:space="preserve"> EUR, pour un montant moyen de 3 010 073 EUR par demande et de 4 651 932 EUR par État membre. </w:t>
      </w:r>
    </w:p>
    <w:p w:rsidR="00D55D6F" w:rsidRDefault="007472BE">
      <w:pPr>
        <w:jc w:val="both"/>
        <w:rPr>
          <w:rFonts w:ascii="Times New Roman" w:hAnsi="Times New Roman" w:cs="Times New Roman"/>
          <w:noProof/>
        </w:rPr>
      </w:pPr>
      <w:r>
        <w:rPr>
          <w:rFonts w:ascii="Times New Roman" w:hAnsi="Times New Roman"/>
          <w:noProof/>
        </w:rPr>
        <w:t>Tous les Ét</w:t>
      </w:r>
      <w:r>
        <w:rPr>
          <w:rFonts w:ascii="Times New Roman" w:hAnsi="Times New Roman"/>
          <w:noProof/>
        </w:rPr>
        <w:t>ats membres demandant une aide du FEM doivent concevoir un ensemble coordonné de mesures adaptées au mieux aux profils des bénéficiaires et déterminer le montant qu’ils souhaitent obtenir. Le règlement (UE) nº 1309/2013 fixe le taux de cofinancement maxima</w:t>
      </w:r>
      <w:r>
        <w:rPr>
          <w:rFonts w:ascii="Times New Roman" w:hAnsi="Times New Roman"/>
          <w:noProof/>
        </w:rPr>
        <w:t xml:space="preserve">l de la Commission à 60 %. </w:t>
      </w:r>
    </w:p>
    <w:p w:rsidR="00D55D6F" w:rsidRDefault="007472BE">
      <w:pPr>
        <w:spacing w:before="720" w:after="0"/>
        <w:rPr>
          <w:rFonts w:ascii="Times New Roman" w:hAnsi="Times New Roman"/>
          <w:b/>
          <w:i/>
          <w:noProof/>
        </w:rPr>
      </w:pPr>
      <w:r>
        <w:rPr>
          <w:rFonts w:ascii="Times New Roman" w:hAnsi="Times New Roman"/>
          <w:b/>
          <w:i/>
          <w:noProof/>
        </w:rPr>
        <w:t>Graphique 2: montants totaux demandés au titre du FEM par État membre en 2015-2016</w:t>
      </w:r>
    </w:p>
    <w:p w:rsidR="00D55D6F" w:rsidRDefault="00D55D6F">
      <w:pPr>
        <w:spacing w:after="0"/>
        <w:rPr>
          <w:rFonts w:ascii="Times New Roman" w:hAnsi="Times New Roman"/>
          <w:b/>
          <w:i/>
          <w:noProof/>
        </w:rPr>
      </w:pPr>
    </w:p>
    <w:p w:rsidR="00D55D6F" w:rsidRDefault="007472BE">
      <w:pPr>
        <w:spacing w:after="0"/>
        <w:jc w:val="center"/>
        <w:rPr>
          <w:rFonts w:ascii="Times New Roman" w:hAnsi="Times New Roman"/>
          <w:noProof/>
        </w:rPr>
      </w:pPr>
      <w:r>
        <w:rPr>
          <w:noProof/>
          <w:lang w:val="en-GB" w:eastAsia="en-GB" w:bidi="ar-SA"/>
        </w:rPr>
        <w:drawing>
          <wp:inline distT="0" distB="0" distL="0" distR="0">
            <wp:extent cx="6002931" cy="3964727"/>
            <wp:effectExtent l="0" t="0" r="17145"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55D6F" w:rsidRDefault="00D55D6F">
      <w:pPr>
        <w:spacing w:after="0"/>
        <w:jc w:val="center"/>
        <w:rPr>
          <w:rFonts w:ascii="Times New Roman" w:hAnsi="Times New Roman"/>
          <w:noProof/>
        </w:rPr>
      </w:pPr>
    </w:p>
    <w:p w:rsidR="00D55D6F" w:rsidRDefault="00D55D6F">
      <w:pPr>
        <w:spacing w:after="0" w:line="240" w:lineRule="auto"/>
        <w:rPr>
          <w:rFonts w:ascii="Times New Roman" w:eastAsia="Times New Roman" w:hAnsi="Times New Roman" w:cs="Times New Roman"/>
          <w:b/>
          <w:bCs/>
          <w:noProof/>
          <w:color w:val="000000"/>
        </w:rPr>
      </w:pPr>
    </w:p>
    <w:p w:rsidR="00D55D6F" w:rsidRDefault="007472BE">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t>Montant total demandé au titre du FEM par 11 États membres, 2015-2016:</w:t>
      </w:r>
      <w:r>
        <w:rPr>
          <w:rFonts w:ascii="Times New Roman" w:hAnsi="Times New Roman"/>
          <w:b/>
          <w:noProof/>
          <w:color w:val="000000"/>
        </w:rPr>
        <w:tab/>
        <w:t xml:space="preserve">  51 171 249 EUR</w:t>
      </w:r>
    </w:p>
    <w:p w:rsidR="00D55D6F" w:rsidRDefault="007472BE">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t xml:space="preserve">Montant moyen demandé au titre du FEM par État </w:t>
      </w:r>
      <w:r>
        <w:rPr>
          <w:rFonts w:ascii="Times New Roman" w:hAnsi="Times New Roman"/>
          <w:b/>
          <w:noProof/>
          <w:color w:val="000000"/>
        </w:rPr>
        <w:t>membre, 2015-2016:        4 651 932 EUR</w:t>
      </w:r>
    </w:p>
    <w:p w:rsidR="00D55D6F" w:rsidRDefault="00D55D6F">
      <w:pPr>
        <w:jc w:val="both"/>
        <w:rPr>
          <w:rFonts w:ascii="Times New Roman" w:eastAsia="Times New Roman" w:hAnsi="Times New Roman"/>
          <w:noProof/>
          <w:color w:val="000000"/>
        </w:rPr>
      </w:pPr>
    </w:p>
    <w:p w:rsidR="00D55D6F" w:rsidRDefault="007472BE">
      <w:pPr>
        <w:pStyle w:val="Heading3"/>
        <w:rPr>
          <w:noProof/>
        </w:rPr>
      </w:pPr>
      <w:bookmarkStart w:id="23" w:name="_Toc484519117"/>
      <w:bookmarkStart w:id="24" w:name="_Toc490834322"/>
      <w:bookmarkStart w:id="25" w:name="_Toc491331873"/>
      <w:r>
        <w:rPr>
          <w:noProof/>
        </w:rPr>
        <w:lastRenderedPageBreak/>
        <w:t>3.1.4. Demandes reçues: nombre de bénéficiaires à aider</w:t>
      </w:r>
      <w:bookmarkEnd w:id="23"/>
      <w:bookmarkEnd w:id="24"/>
      <w:bookmarkEnd w:id="25"/>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Le nombre total de bénéficiaires</w:t>
      </w:r>
      <w:r>
        <w:rPr>
          <w:rStyle w:val="FootnoteReference"/>
          <w:rFonts w:ascii="Times New Roman" w:hAnsi="Times New Roman"/>
          <w:noProof/>
          <w:color w:val="000000"/>
        </w:rPr>
        <w:footnoteReference w:id="10"/>
      </w:r>
      <w:r>
        <w:rPr>
          <w:rFonts w:ascii="Times New Roman" w:hAnsi="Times New Roman"/>
          <w:noProof/>
          <w:color w:val="000000" w:themeColor="text1"/>
        </w:rPr>
        <w:t xml:space="preserve"> visés par l’intervention du FEM s’élevait à 19 354. </w:t>
      </w:r>
      <w:r>
        <w:rPr>
          <w:rFonts w:ascii="Times New Roman" w:hAnsi="Times New Roman"/>
          <w:noProof/>
        </w:rPr>
        <w:t xml:space="preserve">Les nombres de travailleurs à aider par demande s’échelonnaient </w:t>
      </w:r>
      <w:r>
        <w:rPr>
          <w:rFonts w:ascii="Times New Roman" w:hAnsi="Times New Roman"/>
          <w:noProof/>
          <w:color w:val="000000" w:themeColor="text1"/>
        </w:rPr>
        <w:t>entre 184</w:t>
      </w:r>
      <w:r>
        <w:rPr>
          <w:rFonts w:ascii="Times New Roman" w:hAnsi="Times New Roman"/>
          <w:noProof/>
          <w:color w:val="000000" w:themeColor="text1"/>
        </w:rPr>
        <w:t xml:space="preserve"> et 4 500; six demandes</w:t>
      </w:r>
      <w:r>
        <w:rPr>
          <w:rFonts w:ascii="Times New Roman" w:hAnsi="Times New Roman"/>
          <w:noProof/>
        </w:rPr>
        <w:t xml:space="preserve"> visaient plus de </w:t>
      </w:r>
      <w:r>
        <w:rPr>
          <w:rFonts w:ascii="Times New Roman" w:hAnsi="Times New Roman"/>
          <w:noProof/>
          <w:color w:val="000000" w:themeColor="text1"/>
        </w:rPr>
        <w:t>1 000 bénéficiaires</w:t>
      </w:r>
      <w:r>
        <w:rPr>
          <w:rFonts w:ascii="Times New Roman" w:hAnsi="Times New Roman"/>
          <w:noProof/>
        </w:rPr>
        <w:t xml:space="preserve"> et trois demandes moins de 500 bénéficiaires. En moyenne, chacune des 17 demandes d’intervention reçues en 2015 et 2016 visait 1 138 bénéficiaires. </w:t>
      </w:r>
    </w:p>
    <w:p w:rsidR="00D55D6F" w:rsidRDefault="007472BE">
      <w:pPr>
        <w:jc w:val="both"/>
        <w:rPr>
          <w:rFonts w:ascii="Times New Roman" w:eastAsia="Times New Roman" w:hAnsi="Times New Roman"/>
          <w:noProof/>
          <w:color w:val="000000"/>
        </w:rPr>
      </w:pPr>
      <w:r>
        <w:rPr>
          <w:rFonts w:ascii="Times New Roman" w:hAnsi="Times New Roman"/>
          <w:noProof/>
          <w:color w:val="000000" w:themeColor="text1"/>
        </w:rPr>
        <w:t>Sur les 19 354 bénéficiaires visés, on comptai</w:t>
      </w:r>
      <w:r>
        <w:rPr>
          <w:rFonts w:ascii="Times New Roman" w:hAnsi="Times New Roman"/>
          <w:noProof/>
          <w:color w:val="000000" w:themeColor="text1"/>
        </w:rPr>
        <w:t>t 18 303 travailleurs licenciés et 1 051 jeunes sans emploi, ne suivant ni enseignement ni formation (NEET). La Belgique a demandé l’intervention du FEM pour le plus grand nombre de travailleurs (5 400), suivie par la Finlande (3 962) et l’Allemagne (2 692</w:t>
      </w:r>
      <w:r>
        <w:rPr>
          <w:rFonts w:ascii="Times New Roman" w:hAnsi="Times New Roman"/>
          <w:noProof/>
          <w:color w:val="000000" w:themeColor="text1"/>
        </w:rPr>
        <w:t>). Le nombre moyen de travailleurs visés par État membre était de 1 664. Les quatre demandes d’intervention visant également des NEET ont été introduites par la Belgique (deux demandes pour un total de 400 NEET), la Grèce (543 NEET) et l’Irlande (108 NEET)</w:t>
      </w:r>
      <w:r>
        <w:rPr>
          <w:rFonts w:ascii="Times New Roman" w:hAnsi="Times New Roman"/>
          <w:noProof/>
          <w:color w:val="000000" w:themeColor="text1"/>
        </w:rPr>
        <w:t>.</w:t>
      </w:r>
    </w:p>
    <w:p w:rsidR="00D55D6F" w:rsidRDefault="007472BE">
      <w:pPr>
        <w:jc w:val="both"/>
        <w:rPr>
          <w:rFonts w:ascii="Times New Roman" w:eastAsia="Times New Roman" w:hAnsi="Times New Roman" w:cs="Times New Roman"/>
          <w:bCs/>
          <w:noProof/>
          <w:color w:val="000000"/>
        </w:rPr>
      </w:pPr>
      <w:r>
        <w:rPr>
          <w:rFonts w:ascii="Times New Roman" w:hAnsi="Times New Roman"/>
          <w:noProof/>
          <w:color w:val="000000"/>
        </w:rPr>
        <w:t xml:space="preserve">Le graphique 3 présente la répartition des travailleurs visés par État membre. </w:t>
      </w:r>
    </w:p>
    <w:p w:rsidR="00D55D6F" w:rsidRDefault="007472BE">
      <w:pPr>
        <w:spacing w:before="720"/>
        <w:jc w:val="both"/>
        <w:rPr>
          <w:rFonts w:ascii="Times New Roman" w:hAnsi="Times New Roman"/>
          <w:b/>
          <w:i/>
          <w:noProof/>
        </w:rPr>
      </w:pPr>
      <w:r>
        <w:rPr>
          <w:rFonts w:ascii="Times New Roman" w:hAnsi="Times New Roman"/>
          <w:b/>
          <w:i/>
          <w:noProof/>
        </w:rPr>
        <w:t>Graphique 3: nombre de travailleurs visés par État membre en 2015-2016</w:t>
      </w:r>
    </w:p>
    <w:p w:rsidR="00D55D6F" w:rsidRDefault="007472BE">
      <w:pPr>
        <w:jc w:val="center"/>
        <w:rPr>
          <w:rFonts w:ascii="Times New Roman" w:hAnsi="Times New Roman"/>
          <w:noProof/>
        </w:rPr>
      </w:pPr>
      <w:r>
        <w:rPr>
          <w:noProof/>
          <w:lang w:val="en-GB" w:eastAsia="en-GB" w:bidi="ar-SA"/>
        </w:rPr>
        <w:drawing>
          <wp:inline distT="0" distB="0" distL="0" distR="0">
            <wp:extent cx="5758626" cy="3504036"/>
            <wp:effectExtent l="0" t="0" r="13970" b="203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5D6F" w:rsidRDefault="00D55D6F">
      <w:pPr>
        <w:spacing w:after="0"/>
        <w:rPr>
          <w:rFonts w:ascii="Times New Roman" w:eastAsia="Times New Roman" w:hAnsi="Times New Roman" w:cs="Times New Roman"/>
          <w:b/>
          <w:bCs/>
          <w:noProof/>
          <w:color w:val="000000"/>
        </w:rPr>
      </w:pPr>
    </w:p>
    <w:p w:rsidR="00D55D6F" w:rsidRDefault="007472BE">
      <w:pPr>
        <w:spacing w:after="0"/>
        <w:rPr>
          <w:rFonts w:ascii="Times New Roman" w:eastAsia="Times New Roman" w:hAnsi="Times New Roman" w:cs="Times New Roman"/>
          <w:b/>
          <w:bCs/>
          <w:noProof/>
          <w:color w:val="000000"/>
        </w:rPr>
      </w:pPr>
      <w:r>
        <w:rPr>
          <w:rFonts w:ascii="Times New Roman" w:hAnsi="Times New Roman"/>
          <w:b/>
          <w:noProof/>
          <w:color w:val="000000"/>
        </w:rPr>
        <w:t xml:space="preserve">Nombre total de travailleurs visés par État membre, 2015-2016: </w:t>
      </w:r>
      <w:r>
        <w:rPr>
          <w:noProof/>
        </w:rPr>
        <w:tab/>
      </w:r>
      <w:r>
        <w:rPr>
          <w:noProof/>
        </w:rPr>
        <w:tab/>
      </w:r>
      <w:r>
        <w:rPr>
          <w:rFonts w:ascii="Times New Roman" w:hAnsi="Times New Roman"/>
          <w:b/>
          <w:noProof/>
          <w:color w:val="000000"/>
        </w:rPr>
        <w:t>18 303</w:t>
      </w:r>
    </w:p>
    <w:p w:rsidR="00D55D6F" w:rsidRDefault="007472BE">
      <w:pPr>
        <w:spacing w:after="0"/>
        <w:rPr>
          <w:rFonts w:ascii="Times New Roman" w:eastAsia="Times New Roman" w:hAnsi="Times New Roman" w:cs="Times New Roman"/>
          <w:b/>
          <w:bCs/>
          <w:noProof/>
          <w:color w:val="000000"/>
        </w:rPr>
      </w:pPr>
      <w:r>
        <w:rPr>
          <w:rFonts w:ascii="Times New Roman" w:hAnsi="Times New Roman"/>
          <w:b/>
          <w:noProof/>
          <w:color w:val="000000"/>
        </w:rPr>
        <w:t xml:space="preserve">Nombre moyen de travailleurs visés par État membre, 2015-2016: </w:t>
      </w:r>
      <w:r>
        <w:rPr>
          <w:noProof/>
        </w:rPr>
        <w:tab/>
      </w:r>
      <w:r>
        <w:rPr>
          <w:noProof/>
        </w:rPr>
        <w:tab/>
      </w:r>
      <w:r>
        <w:rPr>
          <w:rFonts w:ascii="Times New Roman" w:hAnsi="Times New Roman"/>
          <w:b/>
          <w:noProof/>
          <w:color w:val="000000"/>
        </w:rPr>
        <w:t xml:space="preserve">  1 664</w:t>
      </w:r>
    </w:p>
    <w:p w:rsidR="00D55D6F" w:rsidRDefault="00D55D6F">
      <w:pPr>
        <w:ind w:left="708"/>
        <w:jc w:val="both"/>
        <w:rPr>
          <w:rFonts w:ascii="Times New Roman" w:hAnsi="Times New Roman"/>
          <w:noProof/>
        </w:rPr>
      </w:pPr>
    </w:p>
    <w:p w:rsidR="00D55D6F" w:rsidRDefault="007472BE">
      <w:pPr>
        <w:spacing w:after="0"/>
        <w:jc w:val="both"/>
        <w:rPr>
          <w:rFonts w:ascii="Times New Roman" w:hAnsi="Times New Roman"/>
          <w:noProof/>
        </w:rPr>
      </w:pPr>
      <w:r>
        <w:rPr>
          <w:rFonts w:ascii="Times New Roman" w:hAnsi="Times New Roman"/>
          <w:noProof/>
        </w:rPr>
        <w:t>Dans la plupart des demandes reçues, le nombre total de travailleurs visés par les mesures proposées pour un cofinancement par le FEM représente en moyenne 76 % du nombre total des l</w:t>
      </w:r>
      <w:r>
        <w:rPr>
          <w:rFonts w:ascii="Times New Roman" w:hAnsi="Times New Roman"/>
          <w:noProof/>
        </w:rPr>
        <w:t xml:space="preserve">icenciements. </w:t>
      </w:r>
      <w:r>
        <w:rPr>
          <w:rFonts w:ascii="Times New Roman" w:hAnsi="Times New Roman"/>
          <w:noProof/>
        </w:rPr>
        <w:lastRenderedPageBreak/>
        <w:t>Ce pourcentage s’explique par le fait que l’État membre peut décider de concentrer l’aide du FEM uniquement sur certains groupes de personnes, par exemple les travailleurs les plus vulnérables, ceux qui sont confrontés à des difficultés excep</w:t>
      </w:r>
      <w:r>
        <w:rPr>
          <w:rFonts w:ascii="Times New Roman" w:hAnsi="Times New Roman"/>
          <w:noProof/>
        </w:rPr>
        <w:t>tionnelles pour rester sur le marché du travail et/ou qui ont le plus grand besoin d’une aide. Dans certains cas, l’aide ordinaire accordée aux travailleurs licenciés dans les États membres peut suffire pour un retour rapide vers l'emploi. Dans d’autres ca</w:t>
      </w:r>
      <w:r>
        <w:rPr>
          <w:rFonts w:ascii="Times New Roman" w:hAnsi="Times New Roman"/>
          <w:noProof/>
        </w:rPr>
        <w:t>s, les travailleurs peuvent décider de prendre une retraite anticipée.</w:t>
      </w:r>
    </w:p>
    <w:p w:rsidR="00D55D6F" w:rsidRDefault="007472BE">
      <w:pPr>
        <w:pStyle w:val="Heading3"/>
        <w:rPr>
          <w:bCs w:val="0"/>
          <w:i w:val="0"/>
          <w:noProof/>
        </w:rPr>
      </w:pPr>
      <w:bookmarkStart w:id="26" w:name="_Toc484519118"/>
      <w:bookmarkStart w:id="27" w:name="_Toc490834323"/>
      <w:bookmarkStart w:id="28" w:name="_Toc491331874"/>
      <w:r>
        <w:rPr>
          <w:noProof/>
        </w:rPr>
        <w:t>3.1.5. Demandes reçues: nombre de travailleurs visés par secteur</w:t>
      </w:r>
      <w:bookmarkEnd w:id="26"/>
      <w:bookmarkEnd w:id="27"/>
      <w:bookmarkEnd w:id="28"/>
    </w:p>
    <w:p w:rsidR="00D55D6F" w:rsidRDefault="007472BE">
      <w:pPr>
        <w:spacing w:after="0"/>
        <w:jc w:val="both"/>
        <w:rPr>
          <w:rFonts w:ascii="Times New Roman" w:hAnsi="Times New Roman"/>
          <w:b/>
          <w:i/>
          <w:noProof/>
          <w:sz w:val="24"/>
          <w:szCs w:val="24"/>
        </w:rPr>
      </w:pPr>
      <w:r>
        <w:rPr>
          <w:rFonts w:ascii="Times New Roman" w:hAnsi="Times New Roman"/>
          <w:noProof/>
        </w:rPr>
        <w:t>Les 17 demandes acceptées pendant la période examinée émanent de douze secteurs différents. Le plus grand nombre de trav</w:t>
      </w:r>
      <w:r>
        <w:rPr>
          <w:rFonts w:ascii="Times New Roman" w:hAnsi="Times New Roman"/>
          <w:noProof/>
        </w:rPr>
        <w:t>ailleurs visés par l’intervention étaient actifs dans le secteur des véhicules automobiles, remorques et semi-remorques (7 942), suivi par le secteur de la programmation, conseil et autres activités informatiques (2 641) et du secteur des transports terres</w:t>
      </w:r>
      <w:r>
        <w:rPr>
          <w:rFonts w:ascii="Times New Roman" w:hAnsi="Times New Roman"/>
          <w:noProof/>
        </w:rPr>
        <w:t xml:space="preserve">tres et par conduites (2 132). </w:t>
      </w:r>
    </w:p>
    <w:p w:rsidR="00D55D6F" w:rsidRDefault="007472BE">
      <w:pPr>
        <w:spacing w:before="720"/>
        <w:rPr>
          <w:rFonts w:ascii="Times New Roman" w:hAnsi="Times New Roman"/>
          <w:b/>
          <w:i/>
          <w:noProof/>
        </w:rPr>
      </w:pPr>
      <w:r>
        <w:rPr>
          <w:rFonts w:ascii="Times New Roman" w:hAnsi="Times New Roman"/>
          <w:b/>
          <w:i/>
          <w:noProof/>
        </w:rPr>
        <w:t>Graphique 4: nombre de travailleurs visés par secteur (NACE Rév. 2) en 2015-2016*</w:t>
      </w:r>
    </w:p>
    <w:p w:rsidR="00D55D6F" w:rsidRDefault="007472BE">
      <w:pPr>
        <w:rPr>
          <w:rFonts w:ascii="Times New Roman" w:hAnsi="Times New Roman"/>
          <w:noProof/>
        </w:rPr>
      </w:pPr>
      <w:r>
        <w:rPr>
          <w:noProof/>
          <w:lang w:val="en-GB" w:eastAsia="en-GB" w:bidi="ar-SA"/>
        </w:rPr>
        <w:drawing>
          <wp:inline distT="0" distB="0" distL="0" distR="0">
            <wp:extent cx="5760720" cy="3349349"/>
            <wp:effectExtent l="0" t="0" r="0" b="3810"/>
            <wp:docPr id="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349349"/>
                    </a:xfrm>
                    <a:prstGeom prst="rect">
                      <a:avLst/>
                    </a:prstGeom>
                    <a:noFill/>
                    <a:ln>
                      <a:noFill/>
                    </a:ln>
                  </pic:spPr>
                </pic:pic>
              </a:graphicData>
            </a:graphic>
          </wp:inline>
        </w:drawing>
      </w:r>
    </w:p>
    <w:p w:rsidR="00D55D6F" w:rsidRDefault="007472BE">
      <w:pPr>
        <w:jc w:val="both"/>
        <w:rPr>
          <w:rFonts w:ascii="Times New Roman" w:hAnsi="Times New Roman"/>
          <w:i/>
          <w:noProof/>
          <w:sz w:val="18"/>
          <w:szCs w:val="18"/>
        </w:rPr>
      </w:pPr>
      <w:r>
        <w:rPr>
          <w:rFonts w:ascii="Times New Roman" w:hAnsi="Times New Roman"/>
          <w:i/>
          <w:noProof/>
          <w:sz w:val="18"/>
        </w:rPr>
        <w:t>* La demande EGF/2016/003 EE/Petroleum and chemicals couvre deux secteurs différents (19 et 20); les 800 travailleurs visés par cette demand</w:t>
      </w:r>
      <w:r>
        <w:rPr>
          <w:rFonts w:ascii="Times New Roman" w:hAnsi="Times New Roman"/>
          <w:i/>
          <w:noProof/>
          <w:sz w:val="18"/>
        </w:rPr>
        <w:t>e sont donc repris deux fois dans la liste.</w:t>
      </w:r>
    </w:p>
    <w:p w:rsidR="00D55D6F" w:rsidRDefault="007472BE">
      <w:pPr>
        <w:pStyle w:val="Heading3"/>
        <w:rPr>
          <w:noProof/>
        </w:rPr>
      </w:pPr>
      <w:bookmarkStart w:id="29" w:name="_Toc484519119"/>
      <w:bookmarkStart w:id="30" w:name="_Toc490834324"/>
      <w:bookmarkStart w:id="31" w:name="_Toc491331875"/>
      <w:r>
        <w:rPr>
          <w:noProof/>
        </w:rPr>
        <w:t>3.1.6. Demandes reçues: montants sollicités par bénéficiaire</w:t>
      </w:r>
      <w:bookmarkEnd w:id="29"/>
      <w:bookmarkEnd w:id="30"/>
      <w:bookmarkEnd w:id="31"/>
    </w:p>
    <w:p w:rsidR="00D55D6F" w:rsidRDefault="007472BE">
      <w:pPr>
        <w:jc w:val="both"/>
        <w:rPr>
          <w:rFonts w:ascii="Times New Roman" w:hAnsi="Times New Roman" w:cs="Times New Roman"/>
          <w:noProof/>
        </w:rPr>
      </w:pPr>
      <w:r>
        <w:rPr>
          <w:rFonts w:ascii="Times New Roman" w:hAnsi="Times New Roman"/>
          <w:noProof/>
        </w:rPr>
        <w:t>Chaque État membre qui demande une aide du FEM doit concevoir un ensemble coordonné de mesures adaptées au mieux aux profils des travailleurs bénéficia</w:t>
      </w:r>
      <w:r>
        <w:rPr>
          <w:rFonts w:ascii="Times New Roman" w:hAnsi="Times New Roman"/>
          <w:noProof/>
        </w:rPr>
        <w:t xml:space="preserve">ires et déterminer le montant qu’il souhaite obtenir. Le règlement FEM ne fixe pas de limite concernant le montant total sollicité. Le montant sollicité par bénéficiaire visé peut donc varier en fonction de l'ampleur des licenciements, de la situation sur </w:t>
      </w:r>
      <w:r>
        <w:rPr>
          <w:rFonts w:ascii="Times New Roman" w:hAnsi="Times New Roman"/>
          <w:noProof/>
        </w:rPr>
        <w:t xml:space="preserve">le marché du travail, de la situation personnelle des bénéficiaires, des mesures déjà </w:t>
      </w:r>
      <w:r>
        <w:rPr>
          <w:rFonts w:ascii="Times New Roman" w:hAnsi="Times New Roman"/>
          <w:noProof/>
        </w:rPr>
        <w:lastRenderedPageBreak/>
        <w:t xml:space="preserve">prévues par l’État membre et du coût de prestation des services dans l’État membre ou la région concernés. </w:t>
      </w:r>
    </w:p>
    <w:p w:rsidR="00D55D6F" w:rsidRDefault="007472BE">
      <w:pPr>
        <w:jc w:val="both"/>
        <w:rPr>
          <w:rFonts w:ascii="Times New Roman" w:hAnsi="Times New Roman" w:cs="Times New Roman"/>
          <w:noProof/>
        </w:rPr>
      </w:pPr>
      <w:r>
        <w:rPr>
          <w:rFonts w:ascii="Times New Roman" w:hAnsi="Times New Roman"/>
          <w:noProof/>
        </w:rPr>
        <w:t xml:space="preserve">C’est pourquoi les montants de l’aide du FEM sollicités par </w:t>
      </w:r>
      <w:r>
        <w:rPr>
          <w:rFonts w:ascii="Times New Roman" w:hAnsi="Times New Roman"/>
          <w:noProof/>
        </w:rPr>
        <w:t>bénéficiaire en 2015 et 2016 se sont inscrits dans une fourchette de 1 393 EUR à 7 689 EUR (voir tableau 1). En moyenne, chaque État membre ayant sollicité l’intervention du FEM en 2015 et 2016 a demandé un montant de 2 644 EUR par bénéficiaire visé. Le pl</w:t>
      </w:r>
      <w:r>
        <w:rPr>
          <w:rFonts w:ascii="Times New Roman" w:hAnsi="Times New Roman"/>
          <w:noProof/>
        </w:rPr>
        <w:t>us grand montant par bénéficiaire visé a été demandé par l’Italie (7 689 EUR), suivie par la Grèce (5 880 EUR) et la Suède (4 311 EUR).</w:t>
      </w:r>
    </w:p>
    <w:p w:rsidR="00D55D6F" w:rsidRDefault="007472BE">
      <w:pPr>
        <w:spacing w:before="720"/>
        <w:jc w:val="both"/>
        <w:rPr>
          <w:rFonts w:ascii="Times New Roman" w:hAnsi="Times New Roman"/>
          <w:b/>
          <w:i/>
          <w:noProof/>
        </w:rPr>
      </w:pPr>
      <w:r>
        <w:rPr>
          <w:rFonts w:ascii="Times New Roman" w:hAnsi="Times New Roman"/>
          <w:b/>
          <w:i/>
          <w:noProof/>
        </w:rPr>
        <w:t>Graphique 5: plus grand montant demandé au titre du FEM par bénéficiaire et par État membre en 2015-2016</w:t>
      </w:r>
    </w:p>
    <w:p w:rsidR="00D55D6F" w:rsidRDefault="007472BE">
      <w:pPr>
        <w:jc w:val="both"/>
        <w:rPr>
          <w:noProof/>
          <w:sz w:val="20"/>
          <w:szCs w:val="20"/>
        </w:rPr>
      </w:pPr>
      <w:r>
        <w:rPr>
          <w:noProof/>
          <w:lang w:val="en-GB" w:eastAsia="en-GB" w:bidi="ar-SA"/>
        </w:rPr>
        <w:drawing>
          <wp:inline distT="0" distB="0" distL="0" distR="0">
            <wp:extent cx="5761529" cy="3188262"/>
            <wp:effectExtent l="0" t="0" r="10795"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5D6F" w:rsidRDefault="007472BE">
      <w:pPr>
        <w:spacing w:after="240"/>
        <w:rPr>
          <w:rFonts w:ascii="Times New Roman" w:hAnsi="Times New Roman"/>
          <w:b/>
          <w:noProof/>
        </w:rPr>
      </w:pPr>
      <w:r>
        <w:rPr>
          <w:rFonts w:ascii="Times New Roman" w:hAnsi="Times New Roman"/>
          <w:b/>
          <w:noProof/>
        </w:rPr>
        <w:t>Montant moyen</w:t>
      </w:r>
      <w:r>
        <w:rPr>
          <w:rFonts w:ascii="Times New Roman" w:hAnsi="Times New Roman"/>
          <w:b/>
          <w:noProof/>
        </w:rPr>
        <w:t xml:space="preserve"> demandé au titre du FEM par bénéficiaire par 11 États membres, 2015-2016:  2 644 EUR</w:t>
      </w:r>
    </w:p>
    <w:p w:rsidR="00D55D6F" w:rsidRDefault="007472BE">
      <w:pPr>
        <w:pStyle w:val="Heading2"/>
        <w:spacing w:before="360"/>
        <w:rPr>
          <w:noProof/>
        </w:rPr>
      </w:pPr>
      <w:bookmarkStart w:id="32" w:name="_Toc484519120"/>
      <w:bookmarkStart w:id="33" w:name="_Toc490834325"/>
      <w:bookmarkStart w:id="34" w:name="_Toc491331876"/>
      <w:r>
        <w:rPr>
          <w:noProof/>
        </w:rPr>
        <w:t>3.2. Contributions accordées</w:t>
      </w:r>
      <w:bookmarkEnd w:id="32"/>
      <w:bookmarkEnd w:id="33"/>
      <w:bookmarkEnd w:id="34"/>
    </w:p>
    <w:p w:rsidR="00D55D6F" w:rsidRDefault="007472BE">
      <w:pPr>
        <w:jc w:val="both"/>
        <w:rPr>
          <w:rFonts w:ascii="Times New Roman" w:hAnsi="Times New Roman" w:cs="Times New Roman"/>
          <w:noProof/>
          <w:color w:val="000000" w:themeColor="text1"/>
        </w:rPr>
      </w:pPr>
      <w:r>
        <w:rPr>
          <w:rFonts w:ascii="Times New Roman" w:hAnsi="Times New Roman"/>
          <w:noProof/>
        </w:rPr>
        <w:t xml:space="preserve">En 2015 et 2016, l’autorité budgétaire </w:t>
      </w:r>
      <w:r>
        <w:rPr>
          <w:rFonts w:ascii="Times New Roman" w:hAnsi="Times New Roman"/>
          <w:noProof/>
          <w:color w:val="000000" w:themeColor="text1"/>
        </w:rPr>
        <w:t>a adopté 25 décisions (y compris dix demandes d’intervention reçues avant le 1.1.2015)</w:t>
      </w:r>
      <w:r>
        <w:rPr>
          <w:rFonts w:ascii="Times New Roman" w:hAnsi="Times New Roman"/>
          <w:noProof/>
        </w:rPr>
        <w:t xml:space="preserve"> en vue de mobil</w:t>
      </w:r>
      <w:r>
        <w:rPr>
          <w:rFonts w:ascii="Times New Roman" w:hAnsi="Times New Roman"/>
          <w:noProof/>
        </w:rPr>
        <w:t>iser un financement du FEM. Voir les tableaux 3 et 4 pour un aperçu des contributions accordées et le profil des travailleurs concernés</w:t>
      </w:r>
      <w:r>
        <w:rPr>
          <w:rStyle w:val="FootnoteReference"/>
          <w:rFonts w:ascii="Times New Roman" w:hAnsi="Times New Roman"/>
          <w:noProof/>
        </w:rPr>
        <w:footnoteReference w:id="11"/>
      </w:r>
      <w:r>
        <w:rPr>
          <w:rFonts w:ascii="Times New Roman" w:hAnsi="Times New Roman"/>
          <w:noProof/>
        </w:rPr>
        <w:t>. Seize décisions ont été prises en 2015 et neuf en 2016</w:t>
      </w:r>
      <w:r>
        <w:rPr>
          <w:rFonts w:ascii="Times New Roman" w:hAnsi="Times New Roman"/>
          <w:noProof/>
          <w:color w:val="000000" w:themeColor="text1"/>
        </w:rPr>
        <w:t>. Le taux de cofinancement était de 60 % pour la majorité des co</w:t>
      </w:r>
      <w:r>
        <w:rPr>
          <w:rFonts w:ascii="Times New Roman" w:hAnsi="Times New Roman"/>
          <w:noProof/>
          <w:color w:val="000000" w:themeColor="text1"/>
        </w:rPr>
        <w:t xml:space="preserve">ntributions accordées (22). Ce taux était de 50 % pour trois </w:t>
      </w:r>
      <w:r>
        <w:rPr>
          <w:rFonts w:ascii="Times New Roman" w:hAnsi="Times New Roman"/>
          <w:noProof/>
        </w:rPr>
        <w:t>dossiers concernés par le règlement (CE) nº 1927/2006</w:t>
      </w:r>
      <w:r>
        <w:rPr>
          <w:rStyle w:val="FootnoteReference"/>
          <w:rFonts w:ascii="Times New Roman" w:hAnsi="Times New Roman"/>
          <w:noProof/>
        </w:rPr>
        <w:footnoteReference w:id="12"/>
      </w:r>
      <w:r>
        <w:rPr>
          <w:rFonts w:ascii="Times New Roman" w:hAnsi="Times New Roman"/>
          <w:noProof/>
          <w:color w:val="000000" w:themeColor="text1"/>
        </w:rPr>
        <w:t xml:space="preserve">. </w:t>
      </w:r>
    </w:p>
    <w:p w:rsidR="00D55D6F" w:rsidRDefault="007472BE">
      <w:pPr>
        <w:jc w:val="both"/>
        <w:rPr>
          <w:rFonts w:ascii="Times New Roman" w:hAnsi="Times New Roman" w:cs="Times New Roman"/>
          <w:noProof/>
        </w:rPr>
      </w:pPr>
      <w:r>
        <w:rPr>
          <w:rFonts w:ascii="Times New Roman" w:hAnsi="Times New Roman"/>
          <w:noProof/>
        </w:rPr>
        <w:lastRenderedPageBreak/>
        <w:t xml:space="preserve">Les </w:t>
      </w:r>
      <w:r>
        <w:rPr>
          <w:rFonts w:ascii="Times New Roman" w:hAnsi="Times New Roman"/>
          <w:noProof/>
          <w:color w:val="000000" w:themeColor="text1"/>
        </w:rPr>
        <w:t>25 contributions accordées visaient 25 353 bénéficiaires (dont 1 251 NEET) dans onze États membres, pour un financement par le FEM s’é</w:t>
      </w:r>
      <w:r>
        <w:rPr>
          <w:rFonts w:ascii="Times New Roman" w:hAnsi="Times New Roman"/>
          <w:noProof/>
          <w:color w:val="000000" w:themeColor="text1"/>
        </w:rPr>
        <w:t>levant au total à 70 392 546 EUR</w:t>
      </w:r>
      <w:r>
        <w:rPr>
          <w:rStyle w:val="FootnoteReference"/>
          <w:rFonts w:ascii="Times New Roman" w:hAnsi="Times New Roman"/>
          <w:noProof/>
          <w:color w:val="000000" w:themeColor="text1"/>
        </w:rPr>
        <w:footnoteReference w:id="13"/>
      </w:r>
      <w:r>
        <w:rPr>
          <w:rFonts w:ascii="Times New Roman" w:hAnsi="Times New Roman"/>
          <w:noProof/>
        </w:rPr>
        <w:t xml:space="preserve"> (en moyenne 2 776 EUR par bénéficiaire visé). </w:t>
      </w:r>
    </w:p>
    <w:p w:rsidR="00D55D6F" w:rsidRDefault="007472BE">
      <w:pPr>
        <w:pStyle w:val="Heading3"/>
        <w:rPr>
          <w:noProof/>
        </w:rPr>
      </w:pPr>
      <w:bookmarkStart w:id="35" w:name="_Toc484519121"/>
      <w:bookmarkStart w:id="36" w:name="_Toc490834326"/>
      <w:bookmarkStart w:id="37" w:name="_Toc491331877"/>
      <w:r>
        <w:rPr>
          <w:noProof/>
        </w:rPr>
        <w:t>3.2.1. Mesures financées avec l’aide du FEM</w:t>
      </w:r>
      <w:bookmarkEnd w:id="35"/>
      <w:bookmarkEnd w:id="36"/>
      <w:bookmarkEnd w:id="37"/>
    </w:p>
    <w:p w:rsidR="00D55D6F" w:rsidRDefault="007472BE">
      <w:pPr>
        <w:autoSpaceDE w:val="0"/>
        <w:autoSpaceDN w:val="0"/>
        <w:adjustRightInd w:val="0"/>
        <w:spacing w:after="0"/>
        <w:jc w:val="both"/>
        <w:rPr>
          <w:rFonts w:ascii="Times New Roman" w:hAnsi="Times New Roman" w:cs="Times New Roman"/>
          <w:noProof/>
        </w:rPr>
      </w:pPr>
      <w:r>
        <w:rPr>
          <w:rFonts w:ascii="Times New Roman" w:hAnsi="Times New Roman"/>
          <w:noProof/>
        </w:rPr>
        <w:t>Conformément à l’article 7 du règlement (UE) nº 1309/2013, une contribution financière du FEM peut être apportée à des mesures acti</w:t>
      </w:r>
      <w:r>
        <w:rPr>
          <w:rFonts w:ascii="Times New Roman" w:hAnsi="Times New Roman"/>
          <w:noProof/>
        </w:rPr>
        <w:t>ves du marché du travail qui s’inscrivent dans un ensemble coordonné de services personnalisés visant à faciliter la réinsertion sur le marché du travail salarié ou non salarié des bénéficiaires visés et, en particulier, des chômeurs défavorisés, âgés ou j</w:t>
      </w:r>
      <w:r>
        <w:rPr>
          <w:rFonts w:ascii="Times New Roman" w:hAnsi="Times New Roman"/>
          <w:noProof/>
        </w:rPr>
        <w:t>eunes. Les mesures approuvées pour les 25 contributions du FEM accordées en 2015 et 2016 visaient la réinsertion sur le marché du travail de 25 353 bénéficiaires. Elles comprenaient principalement:</w:t>
      </w:r>
    </w:p>
    <w:p w:rsidR="00D55D6F" w:rsidRDefault="00D55D6F">
      <w:pPr>
        <w:autoSpaceDE w:val="0"/>
        <w:autoSpaceDN w:val="0"/>
        <w:adjustRightInd w:val="0"/>
        <w:spacing w:after="0"/>
        <w:jc w:val="both"/>
        <w:rPr>
          <w:rFonts w:ascii="Times New Roman" w:hAnsi="Times New Roman" w:cs="Times New Roman"/>
          <w:noProof/>
        </w:rPr>
      </w:pPr>
    </w:p>
    <w:p w:rsidR="00D55D6F" w:rsidRDefault="007472BE">
      <w:pPr>
        <w:numPr>
          <w:ilvl w:val="0"/>
          <w:numId w:val="5"/>
        </w:numPr>
        <w:autoSpaceDE w:val="0"/>
        <w:autoSpaceDN w:val="0"/>
        <w:contextualSpacing/>
        <w:jc w:val="both"/>
        <w:rPr>
          <w:rFonts w:ascii="Times New Roman" w:hAnsi="Times New Roman"/>
          <w:noProof/>
          <w:color w:val="000000" w:themeColor="text1"/>
        </w:rPr>
      </w:pPr>
      <w:r>
        <w:rPr>
          <w:rFonts w:ascii="Times New Roman" w:hAnsi="Times New Roman"/>
          <w:noProof/>
          <w:color w:val="000000" w:themeColor="text1"/>
        </w:rPr>
        <w:t xml:space="preserve">une assistance personnalisée intensive à la recherche </w:t>
      </w:r>
      <w:r>
        <w:rPr>
          <w:rFonts w:ascii="Times New Roman" w:hAnsi="Times New Roman"/>
          <w:noProof/>
          <w:color w:val="000000" w:themeColor="text1"/>
        </w:rPr>
        <w:t>d’un emploi et une prise en charge personnalisée;</w:t>
      </w:r>
    </w:p>
    <w:p w:rsidR="00D55D6F" w:rsidRDefault="007472BE">
      <w:pPr>
        <w:numPr>
          <w:ilvl w:val="0"/>
          <w:numId w:val="5"/>
        </w:numPr>
        <w:autoSpaceDE w:val="0"/>
        <w:autoSpaceDN w:val="0"/>
        <w:contextualSpacing/>
        <w:jc w:val="both"/>
        <w:rPr>
          <w:rFonts w:ascii="Times New Roman" w:hAnsi="Times New Roman"/>
          <w:noProof/>
          <w:color w:val="000000" w:themeColor="text1"/>
        </w:rPr>
      </w:pPr>
      <w:r>
        <w:rPr>
          <w:rFonts w:ascii="Times New Roman" w:hAnsi="Times New Roman"/>
          <w:noProof/>
          <w:color w:val="000000" w:themeColor="text1"/>
        </w:rPr>
        <w:t>différentes mesures de formation professionnelle, de programmes d’enseignement supérieur, de formation linguistique, de mise à niveau des compétences et de recyclage;</w:t>
      </w:r>
    </w:p>
    <w:p w:rsidR="00D55D6F" w:rsidRDefault="007472BE">
      <w:pPr>
        <w:numPr>
          <w:ilvl w:val="0"/>
          <w:numId w:val="5"/>
        </w:numPr>
        <w:autoSpaceDE w:val="0"/>
        <w:autoSpaceDN w:val="0"/>
        <w:contextualSpacing/>
        <w:jc w:val="both"/>
        <w:rPr>
          <w:rFonts w:ascii="Times New Roman" w:hAnsi="Times New Roman"/>
          <w:noProof/>
          <w:color w:val="000000" w:themeColor="text1"/>
        </w:rPr>
      </w:pPr>
      <w:r>
        <w:rPr>
          <w:rFonts w:ascii="Times New Roman" w:hAnsi="Times New Roman"/>
          <w:noProof/>
          <w:color w:val="000000" w:themeColor="text1"/>
        </w:rPr>
        <w:t>différentes incitations financières/all</w:t>
      </w:r>
      <w:r>
        <w:rPr>
          <w:rFonts w:ascii="Times New Roman" w:hAnsi="Times New Roman"/>
          <w:noProof/>
          <w:color w:val="000000" w:themeColor="text1"/>
        </w:rPr>
        <w:t>ocations temporaires pour la durée des mesures actives du marché du travail;</w:t>
      </w:r>
    </w:p>
    <w:p w:rsidR="00D55D6F" w:rsidRDefault="007472BE">
      <w:pPr>
        <w:numPr>
          <w:ilvl w:val="0"/>
          <w:numId w:val="5"/>
        </w:numPr>
        <w:autoSpaceDE w:val="0"/>
        <w:autoSpaceDN w:val="0"/>
        <w:contextualSpacing/>
        <w:jc w:val="both"/>
        <w:rPr>
          <w:rFonts w:ascii="Times New Roman" w:hAnsi="Times New Roman"/>
          <w:noProof/>
        </w:rPr>
      </w:pPr>
      <w:r>
        <w:rPr>
          <w:rFonts w:ascii="Times New Roman" w:hAnsi="Times New Roman"/>
          <w:noProof/>
        </w:rPr>
        <w:t>des mesures de soutien jusqu’au moment de la réinsertion professionnelle effective des travailleurs;</w:t>
      </w:r>
    </w:p>
    <w:p w:rsidR="00D55D6F" w:rsidRDefault="007472BE">
      <w:pPr>
        <w:numPr>
          <w:ilvl w:val="0"/>
          <w:numId w:val="5"/>
        </w:numPr>
        <w:autoSpaceDE w:val="0"/>
        <w:autoSpaceDN w:val="0"/>
        <w:contextualSpacing/>
        <w:jc w:val="both"/>
        <w:rPr>
          <w:rFonts w:ascii="Times New Roman" w:hAnsi="Times New Roman"/>
          <w:noProof/>
        </w:rPr>
      </w:pPr>
      <w:r>
        <w:rPr>
          <w:rFonts w:ascii="Times New Roman" w:hAnsi="Times New Roman"/>
          <w:noProof/>
        </w:rPr>
        <w:t>un tutorat pendant la phase initiale dans le nouvel emploi;</w:t>
      </w:r>
    </w:p>
    <w:p w:rsidR="00D55D6F" w:rsidRDefault="007472BE">
      <w:pPr>
        <w:numPr>
          <w:ilvl w:val="0"/>
          <w:numId w:val="5"/>
        </w:numPr>
        <w:autoSpaceDE w:val="0"/>
        <w:autoSpaceDN w:val="0"/>
        <w:contextualSpacing/>
        <w:jc w:val="both"/>
        <w:rPr>
          <w:rFonts w:ascii="Times New Roman" w:hAnsi="Times New Roman"/>
          <w:noProof/>
        </w:rPr>
      </w:pPr>
      <w:r>
        <w:rPr>
          <w:rFonts w:ascii="Times New Roman" w:hAnsi="Times New Roman"/>
          <w:noProof/>
        </w:rPr>
        <w:t>d’autres types d’a</w:t>
      </w:r>
      <w:r>
        <w:rPr>
          <w:rFonts w:ascii="Times New Roman" w:hAnsi="Times New Roman"/>
          <w:noProof/>
        </w:rPr>
        <w:t>ctivités tels que la promotion de l’entrepreneuriat/de la création d’entreprises; et</w:t>
      </w:r>
    </w:p>
    <w:p w:rsidR="00D55D6F" w:rsidRDefault="007472BE">
      <w:pPr>
        <w:numPr>
          <w:ilvl w:val="0"/>
          <w:numId w:val="5"/>
        </w:numPr>
        <w:contextualSpacing/>
        <w:jc w:val="both"/>
        <w:rPr>
          <w:rFonts w:ascii="Calibri" w:hAnsi="Calibri" w:cs="Calibri"/>
          <w:noProof/>
        </w:rPr>
      </w:pPr>
      <w:r>
        <w:rPr>
          <w:rFonts w:ascii="Times New Roman" w:hAnsi="Times New Roman"/>
          <w:noProof/>
        </w:rPr>
        <w:t>des incitations uniques à l’emploi/à l’embauche.</w:t>
      </w:r>
    </w:p>
    <w:p w:rsidR="00D55D6F" w:rsidRDefault="00D55D6F">
      <w:pPr>
        <w:ind w:left="720"/>
        <w:contextualSpacing/>
        <w:jc w:val="both"/>
        <w:rPr>
          <w:rFonts w:ascii="Calibri" w:hAnsi="Calibri" w:cs="Calibri"/>
          <w:noProof/>
        </w:rPr>
      </w:pPr>
    </w:p>
    <w:p w:rsidR="00D55D6F" w:rsidRDefault="007472BE">
      <w:pPr>
        <w:jc w:val="both"/>
        <w:rPr>
          <w:rFonts w:ascii="Times New Roman" w:hAnsi="Times New Roman" w:cs="Times New Roman"/>
          <w:noProof/>
        </w:rPr>
      </w:pPr>
      <w:r>
        <w:rPr>
          <w:rFonts w:ascii="Times New Roman" w:hAnsi="Times New Roman"/>
          <w:noProof/>
        </w:rPr>
        <w:t>En concevant leurs trains de mesures d’aide, les États membres ont pris en considération le bagage, les expériences et le</w:t>
      </w:r>
      <w:r>
        <w:rPr>
          <w:rFonts w:ascii="Times New Roman" w:hAnsi="Times New Roman"/>
          <w:noProof/>
        </w:rPr>
        <w:t>s niveaux de formation des bénéficiaires, leur éventuelle mobilité et les offres d’emploi disponibles ou escomptées dans les régions concernées.</w:t>
      </w:r>
    </w:p>
    <w:p w:rsidR="00D55D6F" w:rsidRDefault="007472BE">
      <w:pPr>
        <w:pStyle w:val="Heading3"/>
        <w:rPr>
          <w:noProof/>
        </w:rPr>
      </w:pPr>
      <w:bookmarkStart w:id="38" w:name="_Toc484519122"/>
      <w:bookmarkStart w:id="39" w:name="_Toc490834327"/>
      <w:bookmarkStart w:id="40" w:name="_Toc491331878"/>
      <w:r>
        <w:rPr>
          <w:noProof/>
        </w:rPr>
        <w:t>3.2.2. Complémentarité avec des actions financées par le Fonds social européen (FSE)</w:t>
      </w:r>
      <w:bookmarkEnd w:id="38"/>
      <w:bookmarkEnd w:id="39"/>
      <w:bookmarkEnd w:id="40"/>
    </w:p>
    <w:p w:rsidR="00D55D6F" w:rsidRDefault="007472BE">
      <w:pPr>
        <w:jc w:val="both"/>
        <w:rPr>
          <w:rFonts w:ascii="Times New Roman" w:hAnsi="Times New Roman" w:cs="Times New Roman"/>
          <w:noProof/>
        </w:rPr>
      </w:pPr>
      <w:r>
        <w:rPr>
          <w:rFonts w:ascii="Times New Roman" w:hAnsi="Times New Roman"/>
          <w:noProof/>
        </w:rPr>
        <w:t>Conçu pour améliorer l’apt</w:t>
      </w:r>
      <w:r>
        <w:rPr>
          <w:rFonts w:ascii="Times New Roman" w:hAnsi="Times New Roman"/>
          <w:noProof/>
        </w:rPr>
        <w:t>itude à l’emploi et garantir une insertion rapide des bénéficiaires visés grâce à des mesures actives du marché du travail, le FEM complète le FSE, principal instrument pour la promotion de l’emploi dans l’Union européenne. De manière générale, la compléme</w:t>
      </w:r>
      <w:r>
        <w:rPr>
          <w:rFonts w:ascii="Times New Roman" w:hAnsi="Times New Roman"/>
          <w:noProof/>
        </w:rPr>
        <w:t>ntarité de ces deux Fonds réside dans leur capacité d’aborder ces questions selon deux perspectives temporelles différentes: de manière générale, le FEM apporte une aide à des travailleurs ou des indépendants ayant perdu leur emploi à la suite de licenciem</w:t>
      </w:r>
      <w:r>
        <w:rPr>
          <w:rFonts w:ascii="Times New Roman" w:hAnsi="Times New Roman"/>
          <w:noProof/>
        </w:rPr>
        <w:t xml:space="preserve">ents collectifs de grande ampleur survenus en peu de temps, tandis que le FSE intervient à l’appui d’objectifs stratégiques à long terme (augmentation du capital humain, gestion du changement, etc.) au moyen de programmes pluriannuels, dont les ressources </w:t>
      </w:r>
      <w:r>
        <w:rPr>
          <w:rFonts w:ascii="Times New Roman" w:hAnsi="Times New Roman"/>
          <w:noProof/>
        </w:rPr>
        <w:t xml:space="preserve">ne peuvent normalement pas être affectées pour faire face à des situations de crise dues à des licenciements collectifs. Les mesures du FEM et du FSE sont parfois utilisées à des fins </w:t>
      </w:r>
      <w:r>
        <w:rPr>
          <w:rFonts w:ascii="Times New Roman" w:hAnsi="Times New Roman"/>
          <w:noProof/>
        </w:rPr>
        <w:lastRenderedPageBreak/>
        <w:t>complémentaires afin d’apporter à la fois des solutions à court et à lon</w:t>
      </w:r>
      <w:r>
        <w:rPr>
          <w:rFonts w:ascii="Times New Roman" w:hAnsi="Times New Roman"/>
          <w:noProof/>
        </w:rPr>
        <w:t>g terme. Le critère déterminant est la capacité qu’ont les instruments disponibles d’aider les bénéficiaires visés, et il est du ressort des États membres de sélectionner – et de planifier – les mesures et instruments les plus adéquats pour atteindre les o</w:t>
      </w:r>
      <w:r>
        <w:rPr>
          <w:rFonts w:ascii="Times New Roman" w:hAnsi="Times New Roman"/>
          <w:noProof/>
        </w:rPr>
        <w:t xml:space="preserve">bjectifs poursuivis. </w:t>
      </w:r>
    </w:p>
    <w:p w:rsidR="00D55D6F" w:rsidRDefault="007472BE">
      <w:pPr>
        <w:jc w:val="both"/>
        <w:rPr>
          <w:rFonts w:ascii="Times New Roman" w:hAnsi="Times New Roman" w:cs="Times New Roman"/>
          <w:noProof/>
        </w:rPr>
      </w:pPr>
      <w:r>
        <w:rPr>
          <w:rFonts w:ascii="Times New Roman" w:hAnsi="Times New Roman"/>
          <w:noProof/>
        </w:rPr>
        <w:t>Il convient de trouver un équilibre entre l’«ensemble coordonné de services personnalisés» cofinancé par le FEM, lequel consiste, pour chaque dossier, en des services personnalisés et une aide sur mesure, et les autres actions que cet</w:t>
      </w:r>
      <w:r>
        <w:rPr>
          <w:rFonts w:ascii="Times New Roman" w:hAnsi="Times New Roman"/>
          <w:noProof/>
        </w:rPr>
        <w:t xml:space="preserve"> ensemble de mesures doit compléter. Les mesures cofinancées par le FEM peuvent aller bien au-delà des formations et des actions ordinaires. Dans la pratique, le FEM permet aux États membres d’offrir aux bénéficiaires visés une aide complète et personnalis</w:t>
      </w:r>
      <w:r>
        <w:rPr>
          <w:rFonts w:ascii="Times New Roman" w:hAnsi="Times New Roman"/>
          <w:noProof/>
        </w:rPr>
        <w:t>ée, y compris des mesures auxquelles ces derniers n’auraient normalement pas accès (par exemple, une formation de l’enseignement secondaire ou supérieur). Le FEM donne la possibilité aux États membres de se concentrer davantage sur les personnes vulnérable</w:t>
      </w:r>
      <w:r>
        <w:rPr>
          <w:rFonts w:ascii="Times New Roman" w:hAnsi="Times New Roman"/>
          <w:noProof/>
        </w:rPr>
        <w:t>s, telles que les travailleurs moins qualifiés ou ceux issus de l’immigration, et d’apporter une aide avec un meilleur rapport entre le nombre de conseillers disponibles et le nombre de bénéficiaires et/ou sur une période plus longue que ce qui serait envi</w:t>
      </w:r>
      <w:r>
        <w:rPr>
          <w:rFonts w:ascii="Times New Roman" w:hAnsi="Times New Roman"/>
          <w:noProof/>
        </w:rPr>
        <w:t>sageable sans l’intervention du Fonds. Toutes ces mesures permettent aux bénéficiaires d’augmenter leurs chances d’améliorer leur situation. Par dérogation jusqu’à la fin 2017, le règlement (UE) nº 1309/2013 (règlement FEM) permet aux États membres d’élarg</w:t>
      </w:r>
      <w:r>
        <w:rPr>
          <w:rFonts w:ascii="Times New Roman" w:hAnsi="Times New Roman"/>
          <w:noProof/>
        </w:rPr>
        <w:t>ir l’aide aux jeunes sans emploi, ne suivant ni enseignement ni formation (NEET) dans les régions qui affichent un taux de chômage élevé des jeunes. L’objectif est de faciliter la mise en œuvre de la garantie pour la jeunesse, qui a été approuvée par le Co</w:t>
      </w:r>
      <w:r>
        <w:rPr>
          <w:rFonts w:ascii="Times New Roman" w:hAnsi="Times New Roman"/>
          <w:noProof/>
        </w:rPr>
        <w:t>nseil en avril 2013</w:t>
      </w:r>
      <w:r>
        <w:rPr>
          <w:rFonts w:ascii="Times New Roman" w:hAnsi="Times New Roman"/>
          <w:noProof/>
          <w:vertAlign w:val="superscript"/>
        </w:rPr>
        <w:footnoteReference w:id="14"/>
      </w:r>
      <w:r>
        <w:rPr>
          <w:rFonts w:ascii="Times New Roman" w:hAnsi="Times New Roman"/>
          <w:noProof/>
        </w:rPr>
        <w:t xml:space="preserve">. </w:t>
      </w:r>
    </w:p>
    <w:p w:rsidR="00D55D6F" w:rsidRDefault="007472BE">
      <w:pPr>
        <w:jc w:val="both"/>
        <w:rPr>
          <w:rFonts w:ascii="Times New Roman" w:hAnsi="Times New Roman" w:cs="Times New Roman"/>
          <w:noProof/>
        </w:rPr>
      </w:pPr>
      <w:r>
        <w:rPr>
          <w:rFonts w:ascii="Times New Roman" w:hAnsi="Times New Roman"/>
          <w:noProof/>
        </w:rPr>
        <w:t>Conformément à l’article 9, paragraphe 5, du règlement (UE) nº 1309/2013, tous les États membres doivent se doter des mécanismes nécessaires pour éviter que les instruments financiers de l’UE ne financent deux fois les mêmes mesures.</w:t>
      </w:r>
    </w:p>
    <w:p w:rsidR="00D55D6F" w:rsidRDefault="007472BE">
      <w:pPr>
        <w:spacing w:after="240"/>
        <w:jc w:val="both"/>
        <w:rPr>
          <w:rFonts w:ascii="Times New Roman" w:hAnsi="Times New Roman"/>
          <w:noProof/>
        </w:rPr>
      </w:pPr>
      <w:r>
        <w:rPr>
          <w:rFonts w:ascii="Times New Roman" w:hAnsi="Times New Roman"/>
          <w:noProof/>
        </w:rPr>
        <w:t>Dans de nombreux États membres, l’autorité de gestion du FSE est également responsable de la mise en œuvre des dossiers du FEM, ce qui permet d’éviter des effets de déplacement. Cela permet également de trouver une complémentarité entre différentes interv</w:t>
      </w:r>
      <w:r>
        <w:rPr>
          <w:rFonts w:ascii="Times New Roman" w:hAnsi="Times New Roman"/>
          <w:noProof/>
        </w:rPr>
        <w:t>entions.</w:t>
      </w:r>
    </w:p>
    <w:p w:rsidR="00D55D6F" w:rsidRDefault="007472BE">
      <w:pPr>
        <w:spacing w:after="240"/>
        <w:jc w:val="both"/>
        <w:rPr>
          <w:rFonts w:ascii="Times New Roman" w:hAnsi="Times New Roman"/>
          <w:noProof/>
        </w:rPr>
      </w:pPr>
      <w:r>
        <w:rPr>
          <w:rFonts w:ascii="Times New Roman" w:hAnsi="Times New Roman"/>
          <w:noProof/>
        </w:rPr>
        <w:t xml:space="preserve">Les résultats préliminaires de l’évaluation à mi-parcours en cours (fondée sur un nombre très limité de dossiers dont la mise en œuvre a été finalisée) indiquent qu’au niveau des demandes, aucun déplacement n’a été détecté entre le financement au </w:t>
      </w:r>
      <w:r>
        <w:rPr>
          <w:rFonts w:ascii="Times New Roman" w:hAnsi="Times New Roman"/>
          <w:noProof/>
        </w:rPr>
        <w:t xml:space="preserve">titre du FSE et le financement au titre du FEM. Au niveau des dossiers, le FEM se fonde généralement sur les mesures existantes au niveau national ou au titre du FSE, en les complémentant ou en proposant d’autres mesures additionnelles. </w:t>
      </w:r>
    </w:p>
    <w:p w:rsidR="00D55D6F" w:rsidRDefault="007472BE">
      <w:pPr>
        <w:jc w:val="both"/>
        <w:rPr>
          <w:rFonts w:ascii="Times New Roman" w:hAnsi="Times New Roman"/>
          <w:noProof/>
        </w:rPr>
      </w:pPr>
      <w:r>
        <w:rPr>
          <w:rFonts w:ascii="Times New Roman" w:hAnsi="Times New Roman"/>
          <w:noProof/>
        </w:rPr>
        <w:t>Toutefois, aucun é</w:t>
      </w:r>
      <w:r>
        <w:rPr>
          <w:rFonts w:ascii="Times New Roman" w:hAnsi="Times New Roman"/>
          <w:noProof/>
        </w:rPr>
        <w:t>lément ne semble indiquer l’existence d’une approche intégrée concernant l’utilisation des fonds de l’Union au niveau des dossiers. Cela semble s’expliquer par la programmation à long terme des Fonds structurels et d’investissement européens (Fonds ESI).</w:t>
      </w:r>
    </w:p>
    <w:p w:rsidR="00D55D6F" w:rsidRDefault="00D55D6F">
      <w:pPr>
        <w:jc w:val="both"/>
        <w:rPr>
          <w:rFonts w:ascii="Times New Roman" w:hAnsi="Times New Roman" w:cs="Times New Roman"/>
          <w:noProof/>
        </w:rPr>
      </w:pPr>
    </w:p>
    <w:p w:rsidR="00D55D6F" w:rsidRDefault="007472BE">
      <w:pPr>
        <w:pStyle w:val="Heading2"/>
        <w:rPr>
          <w:noProof/>
        </w:rPr>
      </w:pPr>
      <w:bookmarkStart w:id="41" w:name="_Toc483224332"/>
      <w:bookmarkStart w:id="42" w:name="_Toc484519123"/>
      <w:bookmarkStart w:id="43" w:name="_Toc490834328"/>
      <w:bookmarkStart w:id="44" w:name="_Toc491331879"/>
      <w:r>
        <w:rPr>
          <w:noProof/>
        </w:rPr>
        <w:lastRenderedPageBreak/>
        <w:t>3.3. Demandes rejetées ou retirées</w:t>
      </w:r>
      <w:bookmarkEnd w:id="41"/>
      <w:bookmarkEnd w:id="42"/>
      <w:bookmarkEnd w:id="43"/>
      <w:bookmarkEnd w:id="44"/>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 xml:space="preserve">Aucune des vingt demandes d’intervention reçues en 2015 et 2016 n’a été rejetée par la Commission; trois d’entre elles ont été retirées par les États membres concernés. </w:t>
      </w:r>
      <w:r>
        <w:rPr>
          <w:rFonts w:ascii="Times New Roman" w:hAnsi="Times New Roman"/>
          <w:noProof/>
        </w:rPr>
        <w:t>La demande EGF/2015/008 EL/Supermarket Larissa a été</w:t>
      </w:r>
      <w:r>
        <w:rPr>
          <w:rFonts w:ascii="Times New Roman" w:hAnsi="Times New Roman"/>
          <w:noProof/>
        </w:rPr>
        <w:t xml:space="preserve"> retirée pour des motifs techniques avant d’être réintroduite en novembre 2015 sous une forme révisée (EGF/2015/011 EL/Supermarket Larissa). Les demandes EGF/2016/006 FI/Helsinki-Uusimaa Education et EGF/2016/007 NL/Gelderland-Overijssel Social Work ont ét</w:t>
      </w:r>
      <w:r>
        <w:rPr>
          <w:rFonts w:ascii="Times New Roman" w:hAnsi="Times New Roman"/>
          <w:noProof/>
        </w:rPr>
        <w:t xml:space="preserve">é retirées en raison de l’absence de lien entre les licenciements et la mondialisation ou la crise économique et financière mondiale. Elles n’ont pas été réintroduites. </w:t>
      </w:r>
    </w:p>
    <w:p w:rsidR="00D55D6F" w:rsidRDefault="00D55D6F">
      <w:pPr>
        <w:jc w:val="center"/>
        <w:rPr>
          <w:rFonts w:ascii="Times New Roman" w:hAnsi="Times New Roman" w:cs="Times New Roman"/>
          <w:b/>
          <w:i/>
          <w:noProof/>
          <w:sz w:val="28"/>
          <w:szCs w:val="28"/>
        </w:rPr>
      </w:pPr>
    </w:p>
    <w:p w:rsidR="00D55D6F" w:rsidRDefault="007472BE">
      <w:pPr>
        <w:jc w:val="center"/>
        <w:rPr>
          <w:rFonts w:ascii="Times New Roman" w:hAnsi="Times New Roman" w:cs="Times New Roman"/>
          <w:b/>
          <w:i/>
          <w:noProof/>
          <w:sz w:val="28"/>
          <w:szCs w:val="28"/>
        </w:rPr>
      </w:pPr>
      <w:r>
        <w:rPr>
          <w:rFonts w:ascii="Times New Roman" w:hAnsi="Times New Roman"/>
          <w:b/>
          <w:i/>
          <w:noProof/>
          <w:sz w:val="28"/>
        </w:rPr>
        <w:t>Tableau 2: demandes retirées en 2015 et 2016</w:t>
      </w:r>
    </w:p>
    <w:p w:rsidR="00D55D6F" w:rsidRDefault="007472BE">
      <w:pPr>
        <w:jc w:val="both"/>
        <w:rPr>
          <w:rFonts w:ascii="Times New Roman" w:hAnsi="Times New Roman" w:cs="Times New Roman"/>
          <w:noProof/>
        </w:rPr>
      </w:pPr>
      <w:r>
        <w:rPr>
          <w:noProof/>
          <w:lang w:val="en-GB" w:eastAsia="en-GB" w:bidi="ar-SA"/>
        </w:rPr>
        <w:drawing>
          <wp:inline distT="0" distB="0" distL="0" distR="0">
            <wp:extent cx="5721178" cy="532738"/>
            <wp:effectExtent l="0" t="0" r="0" b="1270"/>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1178" cy="532738"/>
                    </a:xfrm>
                    <a:prstGeom prst="rect">
                      <a:avLst/>
                    </a:prstGeom>
                    <a:noFill/>
                    <a:ln>
                      <a:noFill/>
                    </a:ln>
                  </pic:spPr>
                </pic:pic>
              </a:graphicData>
            </a:graphic>
          </wp:inline>
        </w:drawing>
      </w:r>
    </w:p>
    <w:p w:rsidR="00D55D6F" w:rsidRDefault="00D55D6F">
      <w:pPr>
        <w:jc w:val="both"/>
        <w:rPr>
          <w:rFonts w:ascii="Times New Roman" w:hAnsi="Times New Roman" w:cs="Times New Roman"/>
          <w:noProof/>
        </w:rPr>
      </w:pPr>
    </w:p>
    <w:p w:rsidR="00D55D6F" w:rsidRDefault="00D55D6F">
      <w:pPr>
        <w:jc w:val="both"/>
        <w:rPr>
          <w:rFonts w:ascii="Times New Roman" w:hAnsi="Times New Roman" w:cs="Times New Roman"/>
          <w:noProof/>
        </w:rPr>
        <w:sectPr w:rsidR="00D55D6F">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pPr>
    </w:p>
    <w:p w:rsidR="00D55D6F" w:rsidRDefault="007472BE">
      <w:pPr>
        <w:jc w:val="center"/>
        <w:rPr>
          <w:rFonts w:ascii="Times New Roman" w:hAnsi="Times New Roman" w:cs="Times New Roman"/>
          <w:b/>
          <w:i/>
          <w:noProof/>
          <w:sz w:val="28"/>
          <w:szCs w:val="28"/>
        </w:rPr>
      </w:pPr>
      <w:r>
        <w:rPr>
          <w:rFonts w:ascii="Times New Roman" w:hAnsi="Times New Roman"/>
          <w:b/>
          <w:i/>
          <w:noProof/>
          <w:sz w:val="28"/>
        </w:rPr>
        <w:lastRenderedPageBreak/>
        <w:t>Tableau 3: détails des contributions accordées en 2015 et 2016</w:t>
      </w:r>
    </w:p>
    <w:p w:rsidR="00D55D6F" w:rsidRDefault="007472BE">
      <w:pPr>
        <w:jc w:val="center"/>
        <w:rPr>
          <w:rFonts w:ascii="Times New Roman" w:hAnsi="Times New Roman" w:cs="Times New Roman"/>
          <w:b/>
          <w:i/>
          <w:noProof/>
          <w:sz w:val="28"/>
          <w:szCs w:val="28"/>
        </w:rPr>
      </w:pPr>
      <w:r>
        <w:rPr>
          <w:rFonts w:ascii="Times New Roman" w:hAnsi="Times New Roman"/>
          <w:b/>
          <w:i/>
          <w:noProof/>
          <w:sz w:val="28"/>
        </w:rPr>
        <w:t>(Date de la signature par l’autorité budgétaire en 2015 et 2016)</w:t>
      </w:r>
    </w:p>
    <w:p w:rsidR="00D55D6F" w:rsidRDefault="007472BE">
      <w:pPr>
        <w:jc w:val="center"/>
        <w:rPr>
          <w:rFonts w:ascii="Times New Roman" w:hAnsi="Times New Roman" w:cs="Times New Roman"/>
          <w:b/>
          <w:i/>
          <w:noProof/>
          <w:sz w:val="28"/>
          <w:szCs w:val="28"/>
        </w:rPr>
      </w:pPr>
      <w:r>
        <w:rPr>
          <w:noProof/>
          <w:lang w:val="en-GB" w:eastAsia="en-GB" w:bidi="ar-SA"/>
        </w:rPr>
        <w:drawing>
          <wp:inline distT="0" distB="0" distL="0" distR="0">
            <wp:extent cx="8892540" cy="4583696"/>
            <wp:effectExtent l="0" t="0" r="3810" b="7620"/>
            <wp:docPr id="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2540" cy="4583696"/>
                    </a:xfrm>
                    <a:prstGeom prst="rect">
                      <a:avLst/>
                    </a:prstGeom>
                    <a:noFill/>
                    <a:ln>
                      <a:noFill/>
                    </a:ln>
                  </pic:spPr>
                </pic:pic>
              </a:graphicData>
            </a:graphic>
          </wp:inline>
        </w:drawing>
      </w:r>
    </w:p>
    <w:p w:rsidR="00D55D6F" w:rsidRDefault="007472BE">
      <w:pPr>
        <w:jc w:val="center"/>
        <w:rPr>
          <w:rFonts w:ascii="Times New Roman" w:hAnsi="Times New Roman" w:cs="Times New Roman"/>
          <w:b/>
          <w:i/>
          <w:noProof/>
          <w:sz w:val="28"/>
          <w:szCs w:val="28"/>
        </w:rPr>
      </w:pPr>
      <w:r>
        <w:rPr>
          <w:noProof/>
        </w:rPr>
        <w:br w:type="page"/>
      </w:r>
    </w:p>
    <w:p w:rsidR="00D55D6F" w:rsidRDefault="007472BE">
      <w:pPr>
        <w:jc w:val="center"/>
        <w:rPr>
          <w:rFonts w:ascii="Times New Roman" w:hAnsi="Times New Roman" w:cs="Times New Roman"/>
          <w:b/>
          <w:i/>
          <w:noProof/>
          <w:sz w:val="28"/>
          <w:szCs w:val="28"/>
        </w:rPr>
      </w:pPr>
      <w:r>
        <w:rPr>
          <w:rFonts w:ascii="Times New Roman" w:hAnsi="Times New Roman"/>
          <w:b/>
          <w:i/>
          <w:noProof/>
          <w:sz w:val="28"/>
        </w:rPr>
        <w:lastRenderedPageBreak/>
        <w:t>Tableau 4: Contributions du FEM accordées en 2015 et 2016:</w:t>
      </w:r>
    </w:p>
    <w:p w:rsidR="00D55D6F" w:rsidRDefault="007472BE">
      <w:pPr>
        <w:jc w:val="center"/>
        <w:rPr>
          <w:rFonts w:ascii="Times New Roman" w:hAnsi="Times New Roman" w:cs="Times New Roman"/>
          <w:b/>
          <w:i/>
          <w:noProof/>
          <w:sz w:val="28"/>
          <w:szCs w:val="28"/>
        </w:rPr>
      </w:pPr>
      <w:r>
        <w:rPr>
          <w:rFonts w:ascii="Times New Roman" w:hAnsi="Times New Roman"/>
          <w:b/>
          <w:i/>
          <w:noProof/>
          <w:sz w:val="28"/>
        </w:rPr>
        <w:t xml:space="preserve">profils des travailleurs visés (à l’exclusion des </w:t>
      </w:r>
      <w:r>
        <w:rPr>
          <w:rFonts w:ascii="Times New Roman" w:hAnsi="Times New Roman"/>
          <w:b/>
          <w:i/>
          <w:noProof/>
          <w:sz w:val="28"/>
        </w:rPr>
        <w:t>NEET)</w:t>
      </w:r>
    </w:p>
    <w:p w:rsidR="00D55D6F" w:rsidRDefault="00D55D6F">
      <w:pPr>
        <w:jc w:val="both"/>
        <w:rPr>
          <w:rFonts w:ascii="Times New Roman" w:hAnsi="Times New Roman"/>
          <w:noProof/>
        </w:rPr>
      </w:pPr>
    </w:p>
    <w:p w:rsidR="00D55D6F" w:rsidRDefault="007472BE">
      <w:pPr>
        <w:jc w:val="both"/>
        <w:rPr>
          <w:rFonts w:ascii="Times New Roman" w:eastAsiaTheme="majorEastAsia" w:hAnsi="Times New Roman" w:cs="Times New Roman"/>
          <w:b/>
          <w:bCs/>
          <w:noProof/>
          <w:color w:val="000000" w:themeColor="text1"/>
          <w:sz w:val="24"/>
        </w:rPr>
        <w:sectPr w:rsidR="00D55D6F">
          <w:headerReference w:type="even" r:id="rId42"/>
          <w:headerReference w:type="default" r:id="rId43"/>
          <w:footerReference w:type="even" r:id="rId44"/>
          <w:footerReference w:type="default" r:id="rId45"/>
          <w:headerReference w:type="first" r:id="rId46"/>
          <w:footerReference w:type="first" r:id="rId47"/>
          <w:pgSz w:w="16838" w:h="11906" w:orient="landscape"/>
          <w:pgMar w:top="1417" w:right="1417" w:bottom="1417" w:left="1417" w:header="708" w:footer="708" w:gutter="0"/>
          <w:cols w:space="708"/>
          <w:docGrid w:linePitch="360"/>
        </w:sectPr>
      </w:pPr>
      <w:r>
        <w:rPr>
          <w:noProof/>
          <w:lang w:val="en-GB" w:eastAsia="en-GB" w:bidi="ar-SA"/>
        </w:rPr>
        <w:drawing>
          <wp:inline distT="0" distB="0" distL="0" distR="0">
            <wp:extent cx="8892540" cy="4098685"/>
            <wp:effectExtent l="0" t="0" r="3810" b="0"/>
            <wp:docPr id="2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2540" cy="4098685"/>
                    </a:xfrm>
                    <a:prstGeom prst="rect">
                      <a:avLst/>
                    </a:prstGeom>
                    <a:noFill/>
                    <a:ln>
                      <a:noFill/>
                    </a:ln>
                  </pic:spPr>
                </pic:pic>
              </a:graphicData>
            </a:graphic>
          </wp:inline>
        </w:drawing>
      </w:r>
    </w:p>
    <w:p w:rsidR="00D55D6F" w:rsidRDefault="007472BE">
      <w:pPr>
        <w:pStyle w:val="Heading2"/>
        <w:rPr>
          <w:noProof/>
        </w:rPr>
      </w:pPr>
      <w:bookmarkStart w:id="45" w:name="_Toc484519124"/>
      <w:bookmarkStart w:id="46" w:name="_Toc490834329"/>
      <w:bookmarkStart w:id="47" w:name="_Toc491331880"/>
      <w:r>
        <w:rPr>
          <w:noProof/>
        </w:rPr>
        <w:lastRenderedPageBreak/>
        <w:t>3.4. Résultats obtenus par le FEM</w:t>
      </w:r>
      <w:bookmarkEnd w:id="45"/>
      <w:bookmarkEnd w:id="46"/>
      <w:bookmarkEnd w:id="47"/>
    </w:p>
    <w:p w:rsidR="00D55D6F" w:rsidRDefault="007472BE">
      <w:pPr>
        <w:jc w:val="both"/>
        <w:rPr>
          <w:rFonts w:ascii="Times New Roman" w:hAnsi="Times New Roman" w:cs="Times New Roman"/>
          <w:b/>
          <w:noProof/>
          <w:color w:val="000000" w:themeColor="text1"/>
        </w:rPr>
      </w:pPr>
      <w:r>
        <w:rPr>
          <w:rFonts w:ascii="Times New Roman" w:hAnsi="Times New Roman"/>
          <w:noProof/>
        </w:rPr>
        <w:t xml:space="preserve">Les principales sources d’information sur les résultats obtenus par le FEM sont les rapports finaux remis par les </w:t>
      </w:r>
      <w:r>
        <w:rPr>
          <w:rFonts w:ascii="Times New Roman" w:hAnsi="Times New Roman"/>
          <w:noProof/>
          <w:color w:val="000000" w:themeColor="text1"/>
        </w:rPr>
        <w:t>États</w:t>
      </w:r>
      <w:r>
        <w:rPr>
          <w:rFonts w:ascii="Times New Roman" w:hAnsi="Times New Roman"/>
          <w:noProof/>
        </w:rPr>
        <w:t xml:space="preserve"> membres.</w:t>
      </w:r>
      <w:r>
        <w:rPr>
          <w:rFonts w:ascii="Times New Roman" w:hAnsi="Times New Roman"/>
          <w:noProof/>
          <w:color w:val="000000" w:themeColor="text1"/>
        </w:rPr>
        <w:t xml:space="preserve"> Ceux-ci</w:t>
      </w:r>
      <w:r>
        <w:rPr>
          <w:rFonts w:ascii="Times New Roman" w:hAnsi="Times New Roman"/>
          <w:noProof/>
        </w:rPr>
        <w:t xml:space="preserve"> sont complétés par les informations partagées par les États membres au cours des </w:t>
      </w:r>
      <w:r>
        <w:rPr>
          <w:rFonts w:ascii="Times New Roman" w:hAnsi="Times New Roman"/>
          <w:noProof/>
          <w:color w:val="000000" w:themeColor="text1"/>
        </w:rPr>
        <w:t xml:space="preserve">contacts directs avec la Commission ainsi que pendant les réunions et les conférences. </w:t>
      </w:r>
    </w:p>
    <w:p w:rsidR="00D55D6F" w:rsidRDefault="007472BE">
      <w:pPr>
        <w:jc w:val="both"/>
        <w:rPr>
          <w:rFonts w:ascii="Times New Roman" w:hAnsi="Times New Roman" w:cs="Times New Roman"/>
          <w:b/>
          <w:noProof/>
          <w:color w:val="000000" w:themeColor="text1"/>
        </w:rPr>
      </w:pPr>
      <w:r>
        <w:rPr>
          <w:rFonts w:ascii="Times New Roman" w:hAnsi="Times New Roman"/>
          <w:noProof/>
          <w:color w:val="000000" w:themeColor="text1"/>
        </w:rPr>
        <w:t>En 2015 et 2016, la Commission a reçu des rapports finaux pour 26 dossiers</w:t>
      </w:r>
      <w:r>
        <w:rPr>
          <w:rFonts w:ascii="Times New Roman" w:hAnsi="Times New Roman"/>
          <w:noProof/>
          <w:color w:val="000000" w:themeColor="text1"/>
          <w:vertAlign w:val="superscript"/>
        </w:rPr>
        <w:footnoteReference w:id="15"/>
      </w:r>
      <w:r>
        <w:rPr>
          <w:rFonts w:ascii="Times New Roman" w:hAnsi="Times New Roman"/>
          <w:noProof/>
          <w:color w:val="FF0000"/>
        </w:rPr>
        <w:t xml:space="preserve"> </w:t>
      </w:r>
      <w:r>
        <w:rPr>
          <w:rFonts w:ascii="Times New Roman" w:hAnsi="Times New Roman"/>
          <w:noProof/>
          <w:color w:val="000000" w:themeColor="text1"/>
        </w:rPr>
        <w:t>cofinancés</w:t>
      </w:r>
      <w:r>
        <w:rPr>
          <w:rFonts w:ascii="Times New Roman" w:hAnsi="Times New Roman"/>
          <w:noProof/>
          <w:color w:val="000000" w:themeColor="text1"/>
        </w:rPr>
        <w:t xml:space="preserve"> par le FEM, mis en œuvre par douze États membres jusqu’à la mi-2016</w:t>
      </w:r>
      <w:r>
        <w:rPr>
          <w:rFonts w:ascii="Times New Roman" w:hAnsi="Times New Roman"/>
          <w:noProof/>
          <w:color w:val="000000" w:themeColor="text1"/>
          <w:vertAlign w:val="superscript"/>
        </w:rPr>
        <w:footnoteReference w:id="16"/>
      </w:r>
      <w:r>
        <w:rPr>
          <w:rFonts w:ascii="Times New Roman" w:hAnsi="Times New Roman"/>
          <w:noProof/>
          <w:color w:val="000000" w:themeColor="text1"/>
        </w:rPr>
        <w:t xml:space="preserve">. </w:t>
      </w:r>
    </w:p>
    <w:p w:rsidR="00D55D6F" w:rsidRDefault="007472BE">
      <w:pPr>
        <w:jc w:val="both"/>
        <w:rPr>
          <w:rFonts w:ascii="Times New Roman" w:hAnsi="Times New Roman" w:cs="Times New Roman"/>
          <w:noProof/>
        </w:rPr>
      </w:pPr>
      <w:r>
        <w:rPr>
          <w:rFonts w:ascii="Times New Roman" w:hAnsi="Times New Roman"/>
          <w:noProof/>
        </w:rPr>
        <w:t xml:space="preserve">Les principaux résultats et données communiqués par ces États membres en 2015 et 2016 sont synthétisés dans la présente section et dans le tableau 5. </w:t>
      </w:r>
    </w:p>
    <w:p w:rsidR="00D55D6F" w:rsidRDefault="007472BE">
      <w:pPr>
        <w:jc w:val="both"/>
        <w:rPr>
          <w:rFonts w:ascii="Times New Roman" w:hAnsi="Times New Roman" w:cs="Times New Roman"/>
          <w:noProof/>
        </w:rPr>
      </w:pPr>
      <w:r>
        <w:rPr>
          <w:rFonts w:ascii="Times New Roman" w:hAnsi="Times New Roman"/>
          <w:noProof/>
        </w:rPr>
        <w:t>Dans l’ensemble, la Commission a reçu des rapports finaux pour 121 contributions au titre du FEM (de 2008, lorsque les résultats du premier dossier du FEM ont été rendus disponibles, jusqu’à décembre 2016), ce qui représente 82 % du nombre total de demande</w:t>
      </w:r>
      <w:r>
        <w:rPr>
          <w:rFonts w:ascii="Times New Roman" w:hAnsi="Times New Roman"/>
          <w:noProof/>
        </w:rPr>
        <w:t xml:space="preserve">s reçues (147) à la fin 2016. </w:t>
      </w:r>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Les informations contenues dans les rapports finaux des États membres permettent à la Commission de conclure que le FEM apporte une valeur ajoutée à l’action menée par les États membres pour aider les bénéficiaires visés à tr</w:t>
      </w:r>
      <w:r>
        <w:rPr>
          <w:rFonts w:ascii="Times New Roman" w:hAnsi="Times New Roman"/>
          <w:noProof/>
          <w:color w:val="000000" w:themeColor="text1"/>
        </w:rPr>
        <w:t xml:space="preserve">ouver un nouvel emploi. Le FEM leur permet de fournir des mesures de plus longue durée et de meilleure qualité à un plus grand nombre de bénéficiaires visés. </w:t>
      </w:r>
    </w:p>
    <w:p w:rsidR="00D55D6F" w:rsidRDefault="007472BE">
      <w:pPr>
        <w:pStyle w:val="Heading3"/>
        <w:rPr>
          <w:noProof/>
          <w:color w:val="auto"/>
        </w:rPr>
      </w:pPr>
      <w:bookmarkStart w:id="48" w:name="_Toc484519125"/>
      <w:bookmarkStart w:id="49" w:name="_Toc490834330"/>
      <w:bookmarkStart w:id="50" w:name="_Toc491331881"/>
      <w:r>
        <w:rPr>
          <w:noProof/>
        </w:rPr>
        <w:t>3.4.1. Résumé des résultats présentés en 2015 et 2016</w:t>
      </w:r>
      <w:bookmarkEnd w:id="48"/>
      <w:bookmarkEnd w:id="49"/>
      <w:bookmarkEnd w:id="50"/>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Il ressort des 26 rapports finaux reçus en </w:t>
      </w:r>
      <w:r>
        <w:rPr>
          <w:rFonts w:ascii="Times New Roman" w:hAnsi="Times New Roman"/>
          <w:noProof/>
          <w:color w:val="000000" w:themeColor="text1"/>
        </w:rPr>
        <w:t xml:space="preserve">2015 et 2016 présentés par 12 États membres qu’à la fin de la période de mise en œuvre du FEM, 8 986 travailleurs, soit 46 % des 19 434 bénéficiaires ayant obtenu l’aide du Fonds, avaient retrouvé du travail (7 521 comme salariés, 1 465 comme travailleurs </w:t>
      </w:r>
      <w:r>
        <w:rPr>
          <w:rFonts w:ascii="Times New Roman" w:hAnsi="Times New Roman"/>
          <w:noProof/>
          <w:color w:val="000000" w:themeColor="text1"/>
        </w:rPr>
        <w:t xml:space="preserve">indépendants). </w:t>
      </w:r>
    </w:p>
    <w:p w:rsidR="00D55D6F" w:rsidRDefault="007472BE">
      <w:pPr>
        <w:jc w:val="both"/>
        <w:rPr>
          <w:rFonts w:ascii="Times New Roman" w:hAnsi="Times New Roman" w:cs="Times New Roman"/>
          <w:noProof/>
        </w:rPr>
      </w:pPr>
      <w:r>
        <w:rPr>
          <w:rFonts w:ascii="Times New Roman" w:hAnsi="Times New Roman"/>
          <w:noProof/>
        </w:rPr>
        <w:t xml:space="preserve">Environ </w:t>
      </w:r>
      <w:r>
        <w:rPr>
          <w:rFonts w:ascii="Times New Roman" w:hAnsi="Times New Roman"/>
          <w:noProof/>
          <w:color w:val="000000" w:themeColor="text1"/>
        </w:rPr>
        <w:t>3 %</w:t>
      </w:r>
      <w:r>
        <w:rPr>
          <w:rFonts w:ascii="Times New Roman" w:hAnsi="Times New Roman"/>
          <w:noProof/>
        </w:rPr>
        <w:t xml:space="preserve"> suivaient encore un enseignement ou une formation, tandis que </w:t>
      </w:r>
      <w:r>
        <w:rPr>
          <w:rFonts w:ascii="Times New Roman" w:hAnsi="Times New Roman"/>
          <w:noProof/>
          <w:color w:val="000000" w:themeColor="text1"/>
        </w:rPr>
        <w:t>49 %</w:t>
      </w:r>
      <w:r>
        <w:rPr>
          <w:rFonts w:ascii="Times New Roman" w:hAnsi="Times New Roman"/>
          <w:noProof/>
        </w:rPr>
        <w:t xml:space="preserve"> étaient au chômage ou inactifs pour divers motifs; le statut professionnel n’était pas connu pour 2 % des bénéficiaires. </w:t>
      </w:r>
    </w:p>
    <w:p w:rsidR="00D55D6F" w:rsidRDefault="007472BE">
      <w:pPr>
        <w:jc w:val="both"/>
        <w:rPr>
          <w:rFonts w:ascii="Times New Roman" w:hAnsi="Times New Roman" w:cs="Times New Roman"/>
          <w:noProof/>
        </w:rPr>
      </w:pPr>
      <w:r>
        <w:rPr>
          <w:rFonts w:ascii="Times New Roman" w:hAnsi="Times New Roman"/>
          <w:noProof/>
        </w:rPr>
        <w:t>Il convient de souligner que les bénéfi</w:t>
      </w:r>
      <w:r>
        <w:rPr>
          <w:rFonts w:ascii="Times New Roman" w:hAnsi="Times New Roman"/>
          <w:noProof/>
        </w:rPr>
        <w:t xml:space="preserve">ciaires soutenus par les mesures cofinancées par le FEM sont en général ceux qui éprouvent le plus de difficultés sur le marché du travail. </w:t>
      </w:r>
      <w:r>
        <w:rPr>
          <w:rFonts w:ascii="Times New Roman" w:hAnsi="Times New Roman"/>
          <w:noProof/>
          <w:color w:val="000000" w:themeColor="text1"/>
        </w:rPr>
        <w:t>Sur le plan de la réinsertion professionnelle, les résultats sont influencés par les capacités d’absorption</w:t>
      </w:r>
      <w:r>
        <w:rPr>
          <w:rFonts w:ascii="Times New Roman" w:hAnsi="Times New Roman"/>
          <w:noProof/>
        </w:rPr>
        <w:t xml:space="preserve"> des marc</w:t>
      </w:r>
      <w:r>
        <w:rPr>
          <w:rFonts w:ascii="Times New Roman" w:hAnsi="Times New Roman"/>
          <w:noProof/>
        </w:rPr>
        <w:t>hés du travail locaux et régionaux qui ont subi les conséquences de la crise économique et financière mondiale. Le taux de réinsertion constaté à la fin des périodes respectives de mise en œuvre fournit simplement un instantané de la situation professionne</w:t>
      </w:r>
      <w:r>
        <w:rPr>
          <w:rFonts w:ascii="Times New Roman" w:hAnsi="Times New Roman"/>
          <w:noProof/>
        </w:rPr>
        <w:t>lle des bénéficiaires au moment où les données sont collectées. Il ne donne aucune information quant au type et à la qualité de l’emploi trouvé, qui peuvent changer de manière significative peu de temps après. Selon les informations transmises par plusieur</w:t>
      </w:r>
      <w:r>
        <w:rPr>
          <w:rFonts w:ascii="Times New Roman" w:hAnsi="Times New Roman"/>
          <w:noProof/>
        </w:rPr>
        <w:t xml:space="preserve">s États membres, les taux de réinsertion commencent déjà à augmenter dans les mois qui suivent la fin des mesures et continuent de le faire à moyen terme. La majeure partie de l’intervention du FEM a une incidence positive supplémentaire à long terme. </w:t>
      </w:r>
    </w:p>
    <w:p w:rsidR="00D55D6F" w:rsidRDefault="007472BE">
      <w:pPr>
        <w:pStyle w:val="Heading3"/>
        <w:rPr>
          <w:noProof/>
        </w:rPr>
      </w:pPr>
      <w:bookmarkStart w:id="51" w:name="_Toc484519126"/>
      <w:bookmarkStart w:id="52" w:name="_Toc490834331"/>
      <w:bookmarkStart w:id="53" w:name="_Toc491331882"/>
      <w:r>
        <w:rPr>
          <w:noProof/>
        </w:rPr>
        <w:lastRenderedPageBreak/>
        <w:t>3.4</w:t>
      </w:r>
      <w:r>
        <w:rPr>
          <w:noProof/>
        </w:rPr>
        <w:t>.2. Évaluation qualitative des rapports finaux présentés en 2015 et 2016</w:t>
      </w:r>
      <w:bookmarkEnd w:id="51"/>
      <w:bookmarkEnd w:id="52"/>
      <w:bookmarkEnd w:id="53"/>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Les dispositifs d’aide fournis par les 12 États membres aux bénéficiaires visés comprennent une vaste palette de mesures d’assistance personnalisée à la recherche d’un emploi, de plac</w:t>
      </w:r>
      <w:r>
        <w:rPr>
          <w:rFonts w:ascii="Times New Roman" w:hAnsi="Times New Roman"/>
          <w:noProof/>
          <w:color w:val="000000" w:themeColor="text1"/>
        </w:rPr>
        <w:t xml:space="preserve">ement et de (re)qualification. Les montants les plus élevés ont été dépensés en faveur de trois catégories de mesures: </w:t>
      </w:r>
    </w:p>
    <w:p w:rsidR="00D55D6F" w:rsidRDefault="007472BE">
      <w:pPr>
        <w:numPr>
          <w:ilvl w:val="0"/>
          <w:numId w:val="6"/>
        </w:numPr>
        <w:contextualSpacing/>
        <w:jc w:val="both"/>
        <w:rPr>
          <w:rFonts w:ascii="Times New Roman" w:hAnsi="Times New Roman" w:cs="Times New Roman"/>
          <w:noProof/>
          <w:color w:val="000000" w:themeColor="text1"/>
        </w:rPr>
      </w:pPr>
      <w:r>
        <w:rPr>
          <w:rFonts w:ascii="Times New Roman" w:hAnsi="Times New Roman"/>
          <w:noProof/>
          <w:color w:val="000000" w:themeColor="text1"/>
        </w:rPr>
        <w:t>allocations de recherche d’emploi</w:t>
      </w:r>
      <w:r>
        <w:rPr>
          <w:rFonts w:ascii="Times New Roman" w:hAnsi="Times New Roman"/>
          <w:noProof/>
          <w:color w:val="000000" w:themeColor="text1"/>
          <w:vertAlign w:val="superscript"/>
        </w:rPr>
        <w:footnoteReference w:id="17"/>
      </w:r>
      <w:r>
        <w:rPr>
          <w:rFonts w:ascii="Times New Roman" w:hAnsi="Times New Roman"/>
          <w:noProof/>
          <w:color w:val="000000" w:themeColor="text1"/>
        </w:rPr>
        <w:t>: 48,8 millions d’EUR (41 % du montant total des services personnalisés pour l’ensemble des 26 dossier</w:t>
      </w:r>
      <w:r>
        <w:rPr>
          <w:rFonts w:ascii="Times New Roman" w:hAnsi="Times New Roman"/>
          <w:noProof/>
          <w:color w:val="000000" w:themeColor="text1"/>
        </w:rPr>
        <w:t>s présentés);</w:t>
      </w:r>
    </w:p>
    <w:p w:rsidR="00D55D6F" w:rsidRDefault="007472BE">
      <w:pPr>
        <w:numPr>
          <w:ilvl w:val="0"/>
          <w:numId w:val="6"/>
        </w:numPr>
        <w:contextualSpacing/>
        <w:jc w:val="both"/>
        <w:rPr>
          <w:rFonts w:ascii="Times New Roman" w:hAnsi="Times New Roman" w:cs="Times New Roman"/>
          <w:noProof/>
          <w:color w:val="000000" w:themeColor="text1"/>
        </w:rPr>
      </w:pPr>
      <w:r>
        <w:rPr>
          <w:rFonts w:ascii="Times New Roman" w:hAnsi="Times New Roman"/>
          <w:noProof/>
          <w:color w:val="000000" w:themeColor="text1"/>
        </w:rPr>
        <w:t>gestion des dossiers individuels: 24,2 millions d’EUR (20 % du montant total des services personnalisés pour l’ensemble des 26 dossiers présentés);</w:t>
      </w:r>
    </w:p>
    <w:p w:rsidR="00D55D6F" w:rsidRDefault="007472BE">
      <w:pPr>
        <w:numPr>
          <w:ilvl w:val="0"/>
          <w:numId w:val="6"/>
        </w:numPr>
        <w:contextualSpacing/>
        <w:jc w:val="both"/>
        <w:rPr>
          <w:rFonts w:ascii="Times New Roman" w:hAnsi="Times New Roman" w:cs="Times New Roman"/>
          <w:noProof/>
          <w:color w:val="000000" w:themeColor="text1"/>
        </w:rPr>
      </w:pPr>
      <w:r>
        <w:rPr>
          <w:rFonts w:ascii="Times New Roman" w:hAnsi="Times New Roman"/>
          <w:noProof/>
          <w:color w:val="000000" w:themeColor="text1"/>
        </w:rPr>
        <w:t xml:space="preserve">formation et recyclage: 23,3 millions d’EUR (19 % du montant total des services personnalisés </w:t>
      </w:r>
      <w:r>
        <w:rPr>
          <w:rFonts w:ascii="Times New Roman" w:hAnsi="Times New Roman"/>
          <w:noProof/>
          <w:color w:val="000000" w:themeColor="text1"/>
        </w:rPr>
        <w:t>pour l’ensemble des 26 dossiers présentés).</w:t>
      </w:r>
    </w:p>
    <w:p w:rsidR="00D55D6F" w:rsidRDefault="00D55D6F">
      <w:pPr>
        <w:ind w:left="720"/>
        <w:contextualSpacing/>
        <w:jc w:val="both"/>
        <w:rPr>
          <w:rFonts w:ascii="Times New Roman" w:hAnsi="Times New Roman" w:cs="Times New Roman"/>
          <w:noProof/>
          <w:color w:val="000000" w:themeColor="text1"/>
        </w:rPr>
      </w:pPr>
    </w:p>
    <w:p w:rsidR="00D55D6F" w:rsidRDefault="007472BE">
      <w:pPr>
        <w:jc w:val="both"/>
        <w:rPr>
          <w:rFonts w:ascii="Times New Roman" w:hAnsi="Times New Roman" w:cs="Times New Roman"/>
          <w:noProof/>
        </w:rPr>
      </w:pPr>
      <w:r>
        <w:rPr>
          <w:rFonts w:ascii="Times New Roman" w:hAnsi="Times New Roman"/>
          <w:noProof/>
        </w:rPr>
        <w:t>Les programmes de qualification et de formation étaient adaptés aux besoins et aux souhaits des bénéficiaires visés, tout en tenant compte des exigences des marchés du travail locaux ou régionaux et du potentiel</w:t>
      </w:r>
      <w:r>
        <w:rPr>
          <w:rFonts w:ascii="Times New Roman" w:hAnsi="Times New Roman"/>
          <w:noProof/>
        </w:rPr>
        <w:t xml:space="preserve"> futur des secteurs prometteurs. </w:t>
      </w:r>
    </w:p>
    <w:p w:rsidR="00D55D6F" w:rsidRDefault="007472BE">
      <w:pPr>
        <w:jc w:val="both"/>
        <w:rPr>
          <w:rFonts w:ascii="Times New Roman" w:hAnsi="Times New Roman" w:cs="Times New Roman"/>
          <w:noProof/>
        </w:rPr>
      </w:pPr>
      <w:r>
        <w:rPr>
          <w:rFonts w:ascii="Times New Roman" w:hAnsi="Times New Roman"/>
          <w:noProof/>
        </w:rPr>
        <w:t>Entre 2015 et 2017, la Commission a procédé à une évaluation à mi-parcours du FEM afin d’apprécier de quelle manière et dans quelle mesure le Fonds atteint ses objectifs. Étant donné que le rapport d’évaluation n'a pas enc</w:t>
      </w:r>
      <w:r>
        <w:rPr>
          <w:rFonts w:ascii="Times New Roman" w:hAnsi="Times New Roman"/>
          <w:noProof/>
        </w:rPr>
        <w:t>ore été publié, les résultats doivent être considérés comme préliminaires.</w:t>
      </w:r>
    </w:p>
    <w:p w:rsidR="00D55D6F" w:rsidRDefault="007472BE">
      <w:pPr>
        <w:jc w:val="both"/>
        <w:rPr>
          <w:rFonts w:ascii="Times New Roman" w:hAnsi="Times New Roman" w:cs="Times New Roman"/>
          <w:noProof/>
        </w:rPr>
      </w:pPr>
      <w:r>
        <w:rPr>
          <w:rFonts w:ascii="Times New Roman" w:hAnsi="Times New Roman"/>
          <w:noProof/>
        </w:rPr>
        <w:t>L’évaluation porte sur l’ensemble des 29 dossiers de demandes d’intervention du FEM reçus en 2014 et 2015</w:t>
      </w:r>
      <w:r>
        <w:rPr>
          <w:rStyle w:val="FootnoteReference"/>
          <w:rFonts w:ascii="Times New Roman" w:hAnsi="Times New Roman"/>
          <w:noProof/>
        </w:rPr>
        <w:footnoteReference w:id="18"/>
      </w:r>
      <w:r>
        <w:rPr>
          <w:rFonts w:ascii="Times New Roman" w:hAnsi="Times New Roman"/>
          <w:noProof/>
        </w:rPr>
        <w:t xml:space="preserve">. Elle ne couvre pas les dossiers soumis pendant la période de </w:t>
      </w:r>
      <w:r>
        <w:rPr>
          <w:rFonts w:ascii="Times New Roman" w:hAnsi="Times New Roman"/>
          <w:noProof/>
        </w:rPr>
        <w:t>programmation antérieure.</w:t>
      </w:r>
    </w:p>
    <w:p w:rsidR="00D55D6F" w:rsidRDefault="007472BE">
      <w:pPr>
        <w:jc w:val="both"/>
        <w:rPr>
          <w:rFonts w:ascii="Times New Roman" w:hAnsi="Times New Roman" w:cs="Times New Roman"/>
          <w:noProof/>
        </w:rPr>
      </w:pPr>
      <w:r>
        <w:rPr>
          <w:rFonts w:ascii="Times New Roman" w:hAnsi="Times New Roman"/>
          <w:noProof/>
        </w:rPr>
        <w:t>Les résultats de l’évaluation du FEM (tant l’évaluation ex post pour la période 2007-2013 que l’évaluation à mi-parcours pour la période 2014-2020) indiquent que l’intervention du FEM aide les bénéficiaires (travailleurs licenciés</w:t>
      </w:r>
      <w:r>
        <w:rPr>
          <w:rFonts w:ascii="Times New Roman" w:hAnsi="Times New Roman"/>
          <w:noProof/>
        </w:rPr>
        <w:t xml:space="preserve"> ou NEET) à développer leur estime d’eux-mêmes, non seulement au moyen de services d’orientation approfondie, mais aussi, et en particulier, au moyen de mesures de formation adaptées. Le FEM permet souvent aux bénéficiaires de participer à ces mesures en o</w:t>
      </w:r>
      <w:r>
        <w:rPr>
          <w:rFonts w:ascii="Times New Roman" w:hAnsi="Times New Roman"/>
          <w:noProof/>
        </w:rPr>
        <w:t>ffrant une assistance telle que des allocations de mobilité ou en contribuant à la garde des enfants.</w:t>
      </w:r>
    </w:p>
    <w:p w:rsidR="00D55D6F" w:rsidRDefault="007472BE">
      <w:pPr>
        <w:jc w:val="both"/>
        <w:rPr>
          <w:rFonts w:ascii="Times New Roman" w:hAnsi="Times New Roman" w:cs="Times New Roman"/>
          <w:noProof/>
        </w:rPr>
      </w:pPr>
      <w:r>
        <w:rPr>
          <w:rFonts w:ascii="Times New Roman" w:hAnsi="Times New Roman"/>
          <w:noProof/>
        </w:rPr>
        <w:t>Même si les éléments recensés lors de l’évaluation indiquent que les taux de réinsertion des bénéficiaires du FEM ont progressé par rapport à ceux de la p</w:t>
      </w:r>
      <w:r>
        <w:rPr>
          <w:rFonts w:ascii="Times New Roman" w:hAnsi="Times New Roman"/>
          <w:noProof/>
        </w:rPr>
        <w:t>ériode de financement précédente (de 49 % à 56 %), il convient d’interpréter ces résultats avec circonspection, car la période de mise en œuvre est deux fois plus longue que la précédente. En outre, ces éléments suggèrent que les taux de réinsertion sont s</w:t>
      </w:r>
      <w:r>
        <w:rPr>
          <w:rFonts w:ascii="Times New Roman" w:hAnsi="Times New Roman"/>
          <w:noProof/>
        </w:rPr>
        <w:t>pécifiques à chaque dossier et dépendent, par exemple, de la situation économique particulière de la zone géographique concernée. Par conséquent, il est non seulement difficile de comparer les taux de réinsertion entre les dossiers, mais également de conce</w:t>
      </w:r>
      <w:r>
        <w:rPr>
          <w:rFonts w:ascii="Times New Roman" w:hAnsi="Times New Roman"/>
          <w:noProof/>
        </w:rPr>
        <w:t>voir des comparateurs convenables de mesures similaires.</w:t>
      </w:r>
    </w:p>
    <w:p w:rsidR="00D55D6F" w:rsidRDefault="007472BE">
      <w:pPr>
        <w:jc w:val="both"/>
        <w:rPr>
          <w:rFonts w:ascii="Times New Roman" w:hAnsi="Times New Roman" w:cs="Times New Roman"/>
          <w:noProof/>
        </w:rPr>
      </w:pPr>
      <w:r>
        <w:rPr>
          <w:rFonts w:ascii="Times New Roman" w:hAnsi="Times New Roman"/>
          <w:noProof/>
        </w:rPr>
        <w:t>La dérogation accordée aux NEET a été utilisée dans deux dossiers (EGF/2014/001 EL/Nutriart et EGF/2014/006 IE/Andersen Ireland) dont les rapports finaux ont été reçus entre 2015 et 2016. Les élément</w:t>
      </w:r>
      <w:r>
        <w:rPr>
          <w:rFonts w:ascii="Times New Roman" w:hAnsi="Times New Roman"/>
          <w:noProof/>
        </w:rPr>
        <w:t xml:space="preserve">s indiquent que ce sont les jeunes, dans une large mesure, qui ont recouru à l’aide offerte, </w:t>
      </w:r>
      <w:r>
        <w:rPr>
          <w:rFonts w:ascii="Times New Roman" w:hAnsi="Times New Roman"/>
          <w:noProof/>
        </w:rPr>
        <w:lastRenderedPageBreak/>
        <w:t>laquelle ne leur aurait pas été accordée dans d’autres circonstances. Toutefois, les agents de mise en œuvre du FEM se demandent souvent si le Fonds est le mécanis</w:t>
      </w:r>
      <w:r>
        <w:rPr>
          <w:rFonts w:ascii="Times New Roman" w:hAnsi="Times New Roman"/>
          <w:noProof/>
        </w:rPr>
        <w:t>me adéquat pour fournir cette aide, ce qui sous-entend qu’il serait plus avantageux pour les NEET que cette aide ne soit pas liée à la survenue de licenciements relevant du FEM dans une région donnée, mais plutôt à tout type de restructuration significativ</w:t>
      </w:r>
      <w:r>
        <w:rPr>
          <w:rFonts w:ascii="Times New Roman" w:hAnsi="Times New Roman"/>
          <w:noProof/>
        </w:rPr>
        <w:t>e.</w:t>
      </w:r>
    </w:p>
    <w:p w:rsidR="00D55D6F" w:rsidRDefault="007472BE">
      <w:pPr>
        <w:jc w:val="both"/>
        <w:rPr>
          <w:rFonts w:ascii="Times New Roman" w:hAnsi="Times New Roman" w:cs="Times New Roman"/>
          <w:noProof/>
        </w:rPr>
      </w:pPr>
      <w:r>
        <w:rPr>
          <w:rFonts w:ascii="Times New Roman" w:hAnsi="Times New Roman"/>
          <w:noProof/>
        </w:rPr>
        <w:t>La capacité institutionnelle et l’expérience des États membres concernant l’aide dans des cas de restructuration sont des facteurs clés pour la réussite du FEM. Cependant, lorsque les États membres n’ont que peu d'expérience, voire aucune, ils peuvent p</w:t>
      </w:r>
      <w:r>
        <w:rPr>
          <w:rFonts w:ascii="Times New Roman" w:hAnsi="Times New Roman"/>
          <w:noProof/>
        </w:rPr>
        <w:t xml:space="preserve">rofiter grandement du FEM lorsque des mécanismes de fourniture de l’aide sont testés et mis en place. Un autre facteur essentiel de réussite est le degré de participation, dès le commencement, des bénéficiaires ou de leurs représentants à la conception et </w:t>
      </w:r>
      <w:r>
        <w:rPr>
          <w:rFonts w:ascii="Times New Roman" w:hAnsi="Times New Roman"/>
          <w:noProof/>
        </w:rPr>
        <w:t>à la mise en œuvre de l’aide du FEM.</w:t>
      </w:r>
    </w:p>
    <w:p w:rsidR="00D55D6F" w:rsidRDefault="00D55D6F">
      <w:pPr>
        <w:jc w:val="both"/>
        <w:rPr>
          <w:rFonts w:ascii="Times New Roman" w:hAnsi="Times New Roman" w:cs="Times New Roman"/>
          <w:noProof/>
        </w:rPr>
      </w:pPr>
    </w:p>
    <w:p w:rsidR="00D55D6F" w:rsidRDefault="007472BE">
      <w:pPr>
        <w:pStyle w:val="Heading2"/>
        <w:rPr>
          <w:noProof/>
        </w:rPr>
      </w:pPr>
      <w:bookmarkStart w:id="54" w:name="_Toc484519127"/>
      <w:bookmarkStart w:id="55" w:name="_Toc490834332"/>
      <w:bookmarkStart w:id="56" w:name="_Toc491331883"/>
      <w:r>
        <w:rPr>
          <w:noProof/>
        </w:rPr>
        <w:t>3.5. Réexamen du CFP – règlement (UE) nº 1309/2013</w:t>
      </w:r>
      <w:bookmarkEnd w:id="54"/>
      <w:bookmarkEnd w:id="55"/>
      <w:bookmarkEnd w:id="56"/>
      <w:r>
        <w:rPr>
          <w:noProof/>
        </w:rPr>
        <w:t xml:space="preserve"> </w:t>
      </w:r>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Le règlement (UE) nº 1309/2013 réintroduit le critère de crise, qui permet de justifier une demande d’intervention du FEM par la crise économique et financière actuel</w:t>
      </w:r>
      <w:r>
        <w:rPr>
          <w:rFonts w:ascii="Times New Roman" w:hAnsi="Times New Roman"/>
          <w:noProof/>
          <w:color w:val="000000" w:themeColor="text1"/>
        </w:rPr>
        <w:t>le ou par de futures crises. Il élargit par ailleurs le champ d’application du FEM en incluant parmi les bénéficiaires les travailleurs sous contrat temporaire et les travailleurs indépendants. Afin de faciliter la mise en œuvre de la garantie pour la jeun</w:t>
      </w:r>
      <w:r>
        <w:rPr>
          <w:rFonts w:ascii="Times New Roman" w:hAnsi="Times New Roman"/>
          <w:noProof/>
          <w:color w:val="000000" w:themeColor="text1"/>
        </w:rPr>
        <w:t xml:space="preserve">esse, </w:t>
      </w:r>
      <w:r>
        <w:rPr>
          <w:rFonts w:ascii="Times New Roman" w:hAnsi="Times New Roman"/>
          <w:noProof/>
        </w:rPr>
        <w:t>le règlement (UE) nº 1309/2013</w:t>
      </w:r>
      <w:r>
        <w:rPr>
          <w:rFonts w:ascii="Times New Roman" w:hAnsi="Times New Roman"/>
          <w:noProof/>
          <w:color w:val="000000" w:themeColor="text1"/>
        </w:rPr>
        <w:t xml:space="preserve"> prévoit une dérogation, valable jusqu’à la fin 2017, qui permet d’aider les jeunes sans emploi, ne suivant ni enseignement ni formation (NEET) dans les régions admissibles au titre de l’initiative pour l’emploi des jeun</w:t>
      </w:r>
      <w:r>
        <w:rPr>
          <w:rFonts w:ascii="Times New Roman" w:hAnsi="Times New Roman"/>
          <w:noProof/>
          <w:color w:val="000000" w:themeColor="text1"/>
        </w:rPr>
        <w:t>es.</w:t>
      </w:r>
    </w:p>
    <w:p w:rsidR="00D55D6F" w:rsidRDefault="007472BE">
      <w:pPr>
        <w:pStyle w:val="Default"/>
        <w:jc w:val="both"/>
        <w:rPr>
          <w:rFonts w:ascii="Times New Roman" w:hAnsi="Times New Roman" w:cs="Times New Roman"/>
          <w:noProof/>
          <w:color w:val="000000" w:themeColor="text1"/>
        </w:rPr>
      </w:pPr>
      <w:r>
        <w:rPr>
          <w:rFonts w:ascii="Times New Roman" w:hAnsi="Times New Roman"/>
          <w:noProof/>
          <w:color w:val="000000" w:themeColor="text1"/>
          <w:sz w:val="22"/>
        </w:rPr>
        <w:t>Bien que le FEM ne fasse pas partie du cadre financier pluriannuel (CFP), il est couvert par la proposition de règlement du Parlement européen et du Conseil relatif aux règles financières applicables au budget général de l’Union et modifiant le règleme</w:t>
      </w:r>
      <w:r>
        <w:rPr>
          <w:rFonts w:ascii="Times New Roman" w:hAnsi="Times New Roman"/>
          <w:noProof/>
          <w:color w:val="000000" w:themeColor="text1"/>
          <w:sz w:val="22"/>
        </w:rPr>
        <w:t>nt (CE) nº 2012/2002, les règlements (UE) nº 1296/2013, (UE) nº 1301/2013, (UE) nº 1303/2013, (UE) nº 1304/2013, (UE) nº 1305/2013, (UE) nº 1306/2013, (UE) nº 1307/2013, (UE) nº 1308/2013, (UE) nº 1309/2013, (UE) nº 1316/2013, (UE) nº 223/2014, (UE) nº 283</w:t>
      </w:r>
      <w:r>
        <w:rPr>
          <w:rFonts w:ascii="Times New Roman" w:hAnsi="Times New Roman"/>
          <w:noProof/>
          <w:color w:val="000000" w:themeColor="text1"/>
          <w:sz w:val="22"/>
        </w:rPr>
        <w:t>/2014, (UE) nº 652/2014 du Parlement européen et du Conseil et la décision nº 541/2014/UE du Parlement européen et du Conseil</w:t>
      </w:r>
      <w:r>
        <w:rPr>
          <w:rFonts w:ascii="Times New Roman" w:hAnsi="Times New Roman"/>
          <w:noProof/>
        </w:rPr>
        <w:t xml:space="preserve"> </w:t>
      </w:r>
      <w:r>
        <w:rPr>
          <w:rStyle w:val="FootnoteReference"/>
          <w:rFonts w:ascii="Times New Roman" w:hAnsi="Times New Roman"/>
          <w:noProof/>
          <w:color w:val="000000" w:themeColor="text1"/>
        </w:rPr>
        <w:footnoteReference w:id="19"/>
      </w:r>
      <w:r>
        <w:rPr>
          <w:rFonts w:ascii="Times New Roman" w:hAnsi="Times New Roman"/>
          <w:noProof/>
          <w:color w:val="000000" w:themeColor="text1"/>
        </w:rPr>
        <w:t>.</w:t>
      </w:r>
    </w:p>
    <w:p w:rsidR="00D55D6F" w:rsidRDefault="00D55D6F">
      <w:pPr>
        <w:pStyle w:val="Default"/>
        <w:jc w:val="both"/>
        <w:rPr>
          <w:rFonts w:ascii="Times New Roman" w:hAnsi="Times New Roman" w:cs="Times New Roman"/>
          <w:noProof/>
          <w:color w:val="000000" w:themeColor="text1"/>
        </w:rPr>
      </w:pPr>
    </w:p>
    <w:p w:rsidR="00D55D6F" w:rsidRDefault="007472BE">
      <w:pPr>
        <w:rPr>
          <w:noProof/>
        </w:rPr>
      </w:pPr>
      <w:r>
        <w:rPr>
          <w:rFonts w:ascii="Times New Roman" w:hAnsi="Times New Roman"/>
          <w:noProof/>
          <w:color w:val="000000" w:themeColor="text1"/>
        </w:rPr>
        <w:t>La Commission a proposé de prolonger la dérogation applicable aux NEET dans le règlement FEM, ainsi que des changements qui si</w:t>
      </w:r>
      <w:r>
        <w:rPr>
          <w:rFonts w:ascii="Times New Roman" w:hAnsi="Times New Roman"/>
          <w:noProof/>
          <w:color w:val="000000" w:themeColor="text1"/>
        </w:rPr>
        <w:t>mplifieraient la procédure budgétaire concernant la mobilisation du Fonds.</w:t>
      </w:r>
    </w:p>
    <w:p w:rsidR="00D55D6F" w:rsidRDefault="00D55D6F">
      <w:pPr>
        <w:jc w:val="both"/>
        <w:rPr>
          <w:rFonts w:ascii="Times New Roman" w:hAnsi="Times New Roman" w:cs="Times New Roman"/>
          <w:noProof/>
        </w:rPr>
      </w:pPr>
    </w:p>
    <w:p w:rsidR="00D55D6F" w:rsidRDefault="00D55D6F">
      <w:pPr>
        <w:jc w:val="both"/>
        <w:rPr>
          <w:rFonts w:ascii="Times New Roman" w:hAnsi="Times New Roman" w:cs="Times New Roman"/>
          <w:noProof/>
        </w:rPr>
        <w:sectPr w:rsidR="00D55D6F">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pPr>
    </w:p>
    <w:p w:rsidR="00D55D6F" w:rsidRDefault="007472BE">
      <w:pPr>
        <w:jc w:val="center"/>
        <w:rPr>
          <w:rFonts w:ascii="Times New Roman" w:hAnsi="Times New Roman" w:cs="Times New Roman"/>
          <w:b/>
          <w:noProof/>
          <w:sz w:val="32"/>
          <w:szCs w:val="32"/>
        </w:rPr>
      </w:pPr>
      <w:r>
        <w:rPr>
          <w:rFonts w:ascii="Times New Roman" w:hAnsi="Times New Roman"/>
          <w:b/>
          <w:noProof/>
          <w:sz w:val="32"/>
        </w:rPr>
        <w:lastRenderedPageBreak/>
        <w:t>Tableau 5: rapports finaux reçus en 2015 et 2016</w:t>
      </w:r>
    </w:p>
    <w:p w:rsidR="00D55D6F" w:rsidRDefault="007472BE">
      <w:pPr>
        <w:jc w:val="center"/>
        <w:rPr>
          <w:rFonts w:ascii="Times New Roman" w:hAnsi="Times New Roman" w:cs="Times New Roman"/>
          <w:noProof/>
        </w:rPr>
      </w:pPr>
      <w:r>
        <w:rPr>
          <w:noProof/>
          <w:lang w:val="en-GB" w:eastAsia="en-GB" w:bidi="ar-SA"/>
        </w:rPr>
        <w:drawing>
          <wp:inline distT="0" distB="0" distL="0" distR="0">
            <wp:extent cx="8892540" cy="3677201"/>
            <wp:effectExtent l="0" t="0" r="381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92540" cy="3677201"/>
                    </a:xfrm>
                    <a:prstGeom prst="rect">
                      <a:avLst/>
                    </a:prstGeom>
                    <a:noFill/>
                    <a:ln>
                      <a:noFill/>
                    </a:ln>
                  </pic:spPr>
                </pic:pic>
              </a:graphicData>
            </a:graphic>
          </wp:inline>
        </w:drawing>
      </w:r>
    </w:p>
    <w:p w:rsidR="00D55D6F" w:rsidRDefault="007472BE">
      <w:pPr>
        <w:spacing w:after="0"/>
        <w:rPr>
          <w:rFonts w:ascii="Times New Roman" w:hAnsi="Times New Roman" w:cs="Times New Roman"/>
          <w:i/>
          <w:noProof/>
          <w:sz w:val="18"/>
          <w:szCs w:val="18"/>
        </w:rPr>
      </w:pPr>
      <w:r>
        <w:rPr>
          <w:rFonts w:ascii="Times New Roman" w:hAnsi="Times New Roman"/>
          <w:i/>
          <w:noProof/>
          <w:sz w:val="18"/>
        </w:rPr>
        <w:t xml:space="preserve">(*) Le statut sur le marché du travail des travailleurs présenté dans ce </w:t>
      </w:r>
      <w:r>
        <w:rPr>
          <w:rFonts w:ascii="Times New Roman" w:hAnsi="Times New Roman"/>
          <w:i/>
          <w:noProof/>
          <w:sz w:val="18"/>
        </w:rPr>
        <w:t>tableau reflète la situation à la fin de la période de mise en œuvre; cependant, dans certains cas, les données indiquées montrent la situation quelques mois plus tard.</w:t>
      </w:r>
    </w:p>
    <w:p w:rsidR="00D55D6F" w:rsidRDefault="007472BE">
      <w:pPr>
        <w:spacing w:after="0"/>
        <w:rPr>
          <w:rFonts w:ascii="Times New Roman" w:hAnsi="Times New Roman" w:cs="Times New Roman"/>
          <w:i/>
          <w:noProof/>
          <w:sz w:val="18"/>
          <w:szCs w:val="18"/>
        </w:rPr>
      </w:pPr>
      <w:r>
        <w:rPr>
          <w:rFonts w:ascii="Times New Roman" w:hAnsi="Times New Roman"/>
          <w:i/>
          <w:noProof/>
          <w:sz w:val="18"/>
        </w:rPr>
        <w:t>(**) «inactifs» peut signifier que les travailleurs ne sont plus disponibles sur le mar</w:t>
      </w:r>
      <w:r>
        <w:rPr>
          <w:rFonts w:ascii="Times New Roman" w:hAnsi="Times New Roman"/>
          <w:i/>
          <w:noProof/>
          <w:sz w:val="18"/>
        </w:rPr>
        <w:t>ché du travail pour divers motifs personnels (début de la retraite, etc.).</w:t>
      </w:r>
    </w:p>
    <w:p w:rsidR="00D55D6F" w:rsidRDefault="007472BE">
      <w:pPr>
        <w:jc w:val="both"/>
        <w:rPr>
          <w:rFonts w:ascii="Times New Roman" w:hAnsi="Times New Roman" w:cs="Times New Roman"/>
          <w:noProof/>
          <w:sz w:val="18"/>
          <w:szCs w:val="18"/>
        </w:rPr>
      </w:pPr>
      <w:r>
        <w:rPr>
          <w:noProof/>
          <w:lang w:val="en-GB" w:eastAsia="en-GB" w:bidi="ar-SA"/>
        </w:rPr>
        <w:lastRenderedPageBreak/>
        <w:drawing>
          <wp:inline distT="0" distB="0" distL="0" distR="0">
            <wp:extent cx="8892540" cy="4259960"/>
            <wp:effectExtent l="0" t="0" r="381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92540" cy="4259960"/>
                    </a:xfrm>
                    <a:prstGeom prst="rect">
                      <a:avLst/>
                    </a:prstGeom>
                    <a:noFill/>
                    <a:ln>
                      <a:noFill/>
                    </a:ln>
                  </pic:spPr>
                </pic:pic>
              </a:graphicData>
            </a:graphic>
          </wp:inline>
        </w:drawing>
      </w:r>
    </w:p>
    <w:p w:rsidR="00D55D6F" w:rsidRDefault="007472BE">
      <w:pPr>
        <w:spacing w:after="0" w:line="240" w:lineRule="auto"/>
        <w:jc w:val="both"/>
        <w:rPr>
          <w:rFonts w:ascii="Times New Roman" w:hAnsi="Times New Roman" w:cs="Times New Roman"/>
          <w:i/>
          <w:noProof/>
          <w:sz w:val="18"/>
          <w:szCs w:val="18"/>
        </w:rPr>
      </w:pPr>
      <w:r>
        <w:rPr>
          <w:rFonts w:ascii="Times New Roman" w:hAnsi="Times New Roman"/>
          <w:i/>
          <w:noProof/>
          <w:sz w:val="18"/>
        </w:rPr>
        <w:t>(*) Le statut sur le marché du travail des travailleurs présenté dans ce tableau reflète la situation à la fin de la période de mise en œuvre; cependant, dans certains cas, les do</w:t>
      </w:r>
      <w:r>
        <w:rPr>
          <w:rFonts w:ascii="Times New Roman" w:hAnsi="Times New Roman"/>
          <w:i/>
          <w:noProof/>
          <w:sz w:val="18"/>
        </w:rPr>
        <w:t>nnées indiquées montrent la situation quelques mois plus tard.</w:t>
      </w:r>
    </w:p>
    <w:p w:rsidR="00D55D6F" w:rsidRDefault="007472BE">
      <w:pPr>
        <w:spacing w:after="0" w:line="240" w:lineRule="auto"/>
        <w:jc w:val="both"/>
        <w:rPr>
          <w:noProof/>
          <w:sz w:val="18"/>
          <w:szCs w:val="18"/>
        </w:rPr>
      </w:pPr>
      <w:r>
        <w:rPr>
          <w:rFonts w:ascii="Times New Roman" w:hAnsi="Times New Roman"/>
          <w:i/>
          <w:noProof/>
          <w:sz w:val="18"/>
        </w:rPr>
        <w:t>(**) «inactifs» peut signifier que les travailleurs ne sont plus disponibles sur le marché du travail pour divers motifs personnels (début de la retraite, etc.).</w:t>
      </w:r>
    </w:p>
    <w:p w:rsidR="00D55D6F" w:rsidRDefault="00D55D6F">
      <w:pPr>
        <w:spacing w:after="0" w:line="240" w:lineRule="auto"/>
        <w:jc w:val="both"/>
        <w:rPr>
          <w:rFonts w:ascii="Times New Roman" w:hAnsi="Times New Roman" w:cs="Times New Roman"/>
          <w:noProof/>
          <w:sz w:val="18"/>
          <w:szCs w:val="18"/>
        </w:rPr>
        <w:sectPr w:rsidR="00D55D6F">
          <w:headerReference w:type="even" r:id="rId57"/>
          <w:headerReference w:type="default" r:id="rId58"/>
          <w:footerReference w:type="even" r:id="rId59"/>
          <w:footerReference w:type="default" r:id="rId60"/>
          <w:headerReference w:type="first" r:id="rId61"/>
          <w:footerReference w:type="first" r:id="rId62"/>
          <w:pgSz w:w="16838" w:h="11906" w:orient="landscape"/>
          <w:pgMar w:top="1417" w:right="1417" w:bottom="1417" w:left="1417" w:header="708" w:footer="708" w:gutter="0"/>
          <w:cols w:space="708"/>
          <w:docGrid w:linePitch="360"/>
        </w:sectPr>
      </w:pPr>
    </w:p>
    <w:p w:rsidR="00D55D6F" w:rsidRDefault="007472BE">
      <w:pPr>
        <w:pStyle w:val="Heading2"/>
        <w:rPr>
          <w:noProof/>
        </w:rPr>
      </w:pPr>
      <w:bookmarkStart w:id="57" w:name="_Toc484519128"/>
      <w:bookmarkStart w:id="58" w:name="_Toc490834333"/>
      <w:bookmarkStart w:id="59" w:name="_Toc491331884"/>
      <w:r>
        <w:rPr>
          <w:noProof/>
        </w:rPr>
        <w:lastRenderedPageBreak/>
        <w:t>3.6. Exécution financière</w:t>
      </w:r>
      <w:bookmarkEnd w:id="57"/>
      <w:bookmarkEnd w:id="58"/>
      <w:bookmarkEnd w:id="59"/>
    </w:p>
    <w:p w:rsidR="00D55D6F" w:rsidRDefault="007472BE">
      <w:pPr>
        <w:pStyle w:val="Heading3"/>
        <w:rPr>
          <w:noProof/>
        </w:rPr>
      </w:pPr>
      <w:bookmarkStart w:id="60" w:name="_Toc484519129"/>
      <w:bookmarkStart w:id="61" w:name="_Toc490834334"/>
      <w:bookmarkStart w:id="62" w:name="_Toc491331885"/>
      <w:r>
        <w:rPr>
          <w:noProof/>
        </w:rPr>
        <w:t>3.6.1. Contributions du FEM</w:t>
      </w:r>
      <w:bookmarkEnd w:id="60"/>
      <w:bookmarkEnd w:id="61"/>
      <w:bookmarkEnd w:id="62"/>
      <w:r>
        <w:rPr>
          <w:noProof/>
        </w:rPr>
        <w:t xml:space="preserve"> </w:t>
      </w:r>
    </w:p>
    <w:p w:rsidR="00D55D6F" w:rsidRDefault="007472BE">
      <w:pPr>
        <w:jc w:val="both"/>
        <w:rPr>
          <w:rFonts w:ascii="Times New Roman" w:hAnsi="Times New Roman" w:cs="Times New Roman"/>
          <w:noProof/>
        </w:rPr>
      </w:pPr>
      <w:r>
        <w:rPr>
          <w:rFonts w:ascii="Times New Roman" w:hAnsi="Times New Roman"/>
          <w:noProof/>
          <w:color w:val="000000" w:themeColor="text1"/>
        </w:rPr>
        <w:t>En 2015 et 2016, l’autorité budgétaire a approuvé 25 contributions au titre du FEM pour un montant total de 70 392 546 EUR</w:t>
      </w:r>
      <w:r>
        <w:rPr>
          <w:rStyle w:val="FootnoteReference"/>
          <w:rFonts w:ascii="Times New Roman" w:hAnsi="Times New Roman"/>
          <w:noProof/>
          <w:color w:val="000000" w:themeColor="text1"/>
        </w:rPr>
        <w:footnoteReference w:id="20"/>
      </w:r>
      <w:r>
        <w:rPr>
          <w:rFonts w:ascii="Times New Roman" w:hAnsi="Times New Roman"/>
          <w:noProof/>
          <w:color w:val="000000" w:themeColor="text1"/>
        </w:rPr>
        <w:t xml:space="preserve"> (voir tableau 2), </w:t>
      </w:r>
      <w:r>
        <w:rPr>
          <w:rFonts w:ascii="Times New Roman" w:hAnsi="Times New Roman"/>
          <w:noProof/>
        </w:rPr>
        <w:t xml:space="preserve">dont 42 754 375 EUR ont été mobilisés en 2015 et 27 638 171 EUR en 2016. </w:t>
      </w:r>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Pour la période de 2014 à 2020, l’article 12 du règlement (UE, Euratom) nº 1311/2013 du Conseil du 2 décembre 2013 fixant le cadre financier pluriannuel pour la période 2014-2020</w:t>
      </w:r>
      <w:r>
        <w:rPr>
          <w:rStyle w:val="FootnoteReference"/>
          <w:rFonts w:ascii="Times New Roman" w:hAnsi="Times New Roman"/>
          <w:noProof/>
          <w:color w:val="000000" w:themeColor="text1"/>
        </w:rPr>
        <w:footnoteReference w:id="21"/>
      </w:r>
      <w:r>
        <w:rPr>
          <w:rFonts w:ascii="Times New Roman" w:hAnsi="Times New Roman"/>
          <w:noProof/>
          <w:color w:val="000000" w:themeColor="text1"/>
        </w:rPr>
        <w:t xml:space="preserve"> définit le plafond financier annuel et permet d’utiliser le FEM pour un montant annuel maximal de 150 millions d’EUR (prix de 2011). Cela signifie qu'en 2015, des crédits d’engagement d’un montant de 162 365 000 EUR et, en 2016, de 165 612 000 EUR, ont ét</w:t>
      </w:r>
      <w:r>
        <w:rPr>
          <w:rFonts w:ascii="Times New Roman" w:hAnsi="Times New Roman"/>
          <w:noProof/>
          <w:color w:val="000000" w:themeColor="text1"/>
        </w:rPr>
        <w:t>é mis à disposition sur la ligne de réserve du FEM</w:t>
      </w:r>
      <w:r>
        <w:rPr>
          <w:rStyle w:val="FootnoteReference"/>
          <w:rFonts w:ascii="Times New Roman" w:hAnsi="Times New Roman"/>
          <w:noProof/>
          <w:color w:val="000000" w:themeColor="text1"/>
        </w:rPr>
        <w:footnoteReference w:id="22"/>
      </w:r>
      <w:r>
        <w:rPr>
          <w:rFonts w:ascii="Times New Roman" w:hAnsi="Times New Roman"/>
          <w:noProof/>
          <w:color w:val="000000" w:themeColor="text1"/>
        </w:rPr>
        <w:t>. Les crédits d’engagement pour les contributions accordées en 2015 et 2016 ont été transférés de la réserve à la ligne budgétaire relative au FEM après l’adoption de chaque mobilisation par l’autorité bud</w:t>
      </w:r>
      <w:r>
        <w:rPr>
          <w:rFonts w:ascii="Times New Roman" w:hAnsi="Times New Roman"/>
          <w:noProof/>
          <w:color w:val="000000" w:themeColor="text1"/>
        </w:rPr>
        <w:t>gétaire.</w:t>
      </w:r>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En ce qui concerne les crédits de paiement, un montant total de 105 923 969 EUR a été crédité à la ligne budgétaire relative au FEM en 2015 et 2016. En 2015, les préfinancements</w:t>
      </w:r>
      <w:r>
        <w:rPr>
          <w:rStyle w:val="FootnoteReference"/>
          <w:rFonts w:ascii="Times New Roman" w:hAnsi="Times New Roman"/>
          <w:noProof/>
          <w:color w:val="000000" w:themeColor="text1"/>
        </w:rPr>
        <w:footnoteReference w:id="23"/>
      </w:r>
      <w:r>
        <w:rPr>
          <w:rFonts w:ascii="Times New Roman" w:hAnsi="Times New Roman"/>
          <w:noProof/>
          <w:color w:val="000000" w:themeColor="text1"/>
        </w:rPr>
        <w:t xml:space="preserve"> s’élevaient au total à 78 285 798 EUR</w:t>
      </w:r>
      <w:r>
        <w:rPr>
          <w:rStyle w:val="FootnoteReference"/>
          <w:rFonts w:ascii="Times New Roman" w:hAnsi="Times New Roman"/>
          <w:noProof/>
          <w:color w:val="000000" w:themeColor="text1"/>
        </w:rPr>
        <w:footnoteReference w:id="24"/>
      </w:r>
      <w:r>
        <w:rPr>
          <w:rFonts w:ascii="Times New Roman" w:hAnsi="Times New Roman"/>
          <w:noProof/>
          <w:color w:val="000000" w:themeColor="text1"/>
        </w:rPr>
        <w:t xml:space="preserve"> et 27 638 171 EUR ont été ver</w:t>
      </w:r>
      <w:r>
        <w:rPr>
          <w:rFonts w:ascii="Times New Roman" w:hAnsi="Times New Roman"/>
          <w:noProof/>
          <w:color w:val="000000" w:themeColor="text1"/>
        </w:rPr>
        <w:t xml:space="preserve">sés en 2016 pour les mobilisations approuvées du FEM. Une partie de ces crédits provenait des montants recouvrés à la suite des sous-utilisations des ressources communiquées par les États membres lors de la phase de clôture. </w:t>
      </w:r>
    </w:p>
    <w:p w:rsidR="00D55D6F" w:rsidRDefault="007472BE">
      <w:pPr>
        <w:pStyle w:val="Heading3"/>
        <w:rPr>
          <w:noProof/>
        </w:rPr>
      </w:pPr>
      <w:bookmarkStart w:id="63" w:name="_Toc484519130"/>
      <w:bookmarkStart w:id="64" w:name="_Toc490834335"/>
      <w:bookmarkStart w:id="65" w:name="_Toc491331886"/>
      <w:r>
        <w:rPr>
          <w:noProof/>
        </w:rPr>
        <w:t>3.6.2. Dépenses d’assistance t</w:t>
      </w:r>
      <w:r>
        <w:rPr>
          <w:noProof/>
        </w:rPr>
        <w:t>echnique</w:t>
      </w:r>
      <w:bookmarkEnd w:id="63"/>
      <w:bookmarkEnd w:id="64"/>
      <w:bookmarkEnd w:id="65"/>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En vertu de l’article 11, paragraphe 1, du règlement (CE) nº 1309/2013, jusqu’à 0,5 % des ressources financières disponibles pour l’année (811 825 EUR en 2015 et 828 060 EUR en 2016) peuvent servir, sous la forme d’une assistance technique à l’ini</w:t>
      </w:r>
      <w:r>
        <w:rPr>
          <w:rFonts w:ascii="Times New Roman" w:hAnsi="Times New Roman"/>
          <w:noProof/>
          <w:color w:val="000000" w:themeColor="text1"/>
        </w:rPr>
        <w:t>tiative de la Commission, à financer des activités telles que les activités de préparation, de surveillance, d’information et de création d’une base de connaissances, de soutien administratif et technique ainsi que les activités d’audit, de contrôle et d’é</w:t>
      </w:r>
      <w:r>
        <w:rPr>
          <w:rFonts w:ascii="Times New Roman" w:hAnsi="Times New Roman"/>
          <w:noProof/>
          <w:color w:val="000000" w:themeColor="text1"/>
        </w:rPr>
        <w:t xml:space="preserve">valuation nécessaires à l’application du règlement FEM. </w:t>
      </w:r>
    </w:p>
    <w:p w:rsidR="00D55D6F" w:rsidRDefault="007472BE">
      <w:pPr>
        <w:jc w:val="both"/>
        <w:rPr>
          <w:rFonts w:ascii="Times New Roman" w:hAnsi="Times New Roman" w:cs="Times New Roman"/>
          <w:noProof/>
          <w:color w:val="000000" w:themeColor="text1"/>
        </w:rPr>
      </w:pPr>
      <w:r>
        <w:rPr>
          <w:rFonts w:ascii="Times New Roman" w:hAnsi="Times New Roman"/>
          <w:noProof/>
          <w:color w:val="000000" w:themeColor="text1"/>
        </w:rPr>
        <w:t xml:space="preserve">Sur la base des propositions de la Commission concernant l’assistance technique pour 2015 et 2016, l’autorité budgétaire a dégagé des montants de respectivement 630 000 EUR et 380 000 EUR. </w:t>
      </w:r>
    </w:p>
    <w:p w:rsidR="00D55D6F" w:rsidRDefault="00D55D6F">
      <w:pPr>
        <w:jc w:val="center"/>
        <w:rPr>
          <w:rFonts w:ascii="Times New Roman" w:hAnsi="Times New Roman" w:cs="Times New Roman"/>
          <w:b/>
          <w:i/>
          <w:noProof/>
          <w:sz w:val="28"/>
          <w:szCs w:val="28"/>
        </w:rPr>
      </w:pPr>
    </w:p>
    <w:p w:rsidR="00D55D6F" w:rsidRDefault="00D55D6F">
      <w:pPr>
        <w:jc w:val="center"/>
        <w:rPr>
          <w:rFonts w:ascii="Times New Roman" w:hAnsi="Times New Roman" w:cs="Times New Roman"/>
          <w:b/>
          <w:i/>
          <w:noProof/>
          <w:sz w:val="28"/>
          <w:szCs w:val="28"/>
        </w:rPr>
      </w:pPr>
    </w:p>
    <w:p w:rsidR="00D55D6F" w:rsidRDefault="00D55D6F">
      <w:pPr>
        <w:jc w:val="center"/>
        <w:rPr>
          <w:rFonts w:ascii="Times New Roman" w:hAnsi="Times New Roman" w:cs="Times New Roman"/>
          <w:b/>
          <w:i/>
          <w:noProof/>
          <w:sz w:val="28"/>
          <w:szCs w:val="28"/>
        </w:rPr>
      </w:pPr>
    </w:p>
    <w:p w:rsidR="00D55D6F" w:rsidRDefault="00D55D6F">
      <w:pPr>
        <w:jc w:val="center"/>
        <w:rPr>
          <w:rFonts w:ascii="Times New Roman" w:hAnsi="Times New Roman" w:cs="Times New Roman"/>
          <w:b/>
          <w:i/>
          <w:noProof/>
          <w:sz w:val="28"/>
          <w:szCs w:val="28"/>
        </w:rPr>
      </w:pPr>
    </w:p>
    <w:p w:rsidR="00D55D6F" w:rsidRDefault="007472BE">
      <w:pPr>
        <w:jc w:val="center"/>
        <w:rPr>
          <w:rFonts w:ascii="Times New Roman" w:hAnsi="Times New Roman" w:cs="Times New Roman"/>
          <w:b/>
          <w:i/>
          <w:noProof/>
          <w:sz w:val="28"/>
          <w:szCs w:val="28"/>
        </w:rPr>
      </w:pPr>
      <w:r>
        <w:rPr>
          <w:rFonts w:ascii="Times New Roman" w:hAnsi="Times New Roman"/>
          <w:b/>
          <w:i/>
          <w:noProof/>
          <w:sz w:val="28"/>
        </w:rPr>
        <w:t>Table</w:t>
      </w:r>
      <w:r>
        <w:rPr>
          <w:rFonts w:ascii="Times New Roman" w:hAnsi="Times New Roman"/>
          <w:b/>
          <w:i/>
          <w:noProof/>
          <w:sz w:val="28"/>
        </w:rPr>
        <w:t>au 6: dépenses d’assistance technique en 2015</w:t>
      </w:r>
    </w:p>
    <w:p w:rsidR="00D55D6F" w:rsidRDefault="007472BE">
      <w:pPr>
        <w:jc w:val="center"/>
        <w:rPr>
          <w:rFonts w:ascii="Times New Roman" w:hAnsi="Times New Roman" w:cs="Times New Roman"/>
          <w:b/>
          <w:i/>
          <w:noProof/>
        </w:rPr>
      </w:pPr>
      <w:r>
        <w:rPr>
          <w:noProof/>
          <w:lang w:val="en-GB" w:eastAsia="en-GB" w:bidi="ar-SA"/>
        </w:rPr>
        <w:drawing>
          <wp:inline distT="0" distB="0" distL="0" distR="0">
            <wp:extent cx="5760720" cy="3080905"/>
            <wp:effectExtent l="0" t="0" r="0" b="571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080905"/>
                    </a:xfrm>
                    <a:prstGeom prst="rect">
                      <a:avLst/>
                    </a:prstGeom>
                    <a:noFill/>
                    <a:ln>
                      <a:noFill/>
                    </a:ln>
                  </pic:spPr>
                </pic:pic>
              </a:graphicData>
            </a:graphic>
          </wp:inline>
        </w:drawing>
      </w:r>
    </w:p>
    <w:p w:rsidR="00D55D6F" w:rsidRDefault="00D55D6F">
      <w:pPr>
        <w:jc w:val="center"/>
        <w:rPr>
          <w:rFonts w:ascii="Times New Roman" w:hAnsi="Times New Roman" w:cs="Times New Roman"/>
          <w:b/>
          <w:i/>
          <w:noProof/>
          <w:sz w:val="28"/>
          <w:szCs w:val="28"/>
        </w:rPr>
      </w:pPr>
    </w:p>
    <w:p w:rsidR="00D55D6F" w:rsidRDefault="007472BE">
      <w:pPr>
        <w:jc w:val="center"/>
        <w:rPr>
          <w:rFonts w:ascii="Times New Roman" w:hAnsi="Times New Roman" w:cs="Times New Roman"/>
          <w:b/>
          <w:i/>
          <w:noProof/>
          <w:sz w:val="28"/>
          <w:szCs w:val="28"/>
        </w:rPr>
      </w:pPr>
      <w:r>
        <w:rPr>
          <w:rFonts w:ascii="Times New Roman" w:hAnsi="Times New Roman"/>
          <w:b/>
          <w:i/>
          <w:noProof/>
          <w:sz w:val="28"/>
        </w:rPr>
        <w:t>Tableau 6.1: dépenses d’assistance technique en 2016</w:t>
      </w:r>
    </w:p>
    <w:p w:rsidR="00D55D6F" w:rsidRDefault="007472BE">
      <w:pPr>
        <w:jc w:val="center"/>
        <w:rPr>
          <w:rFonts w:ascii="Times New Roman" w:eastAsiaTheme="majorEastAsia" w:hAnsi="Times New Roman" w:cs="Times New Roman"/>
          <w:bCs/>
          <w:i/>
          <w:noProof/>
          <w:color w:val="000000" w:themeColor="text1"/>
          <w:sz w:val="24"/>
        </w:rPr>
      </w:pPr>
      <w:r>
        <w:rPr>
          <w:noProof/>
          <w:lang w:val="en-GB" w:eastAsia="en-GB" w:bidi="ar-SA"/>
        </w:rPr>
        <w:drawing>
          <wp:inline distT="0" distB="0" distL="0" distR="0">
            <wp:extent cx="5760720" cy="4134319"/>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4134319"/>
                    </a:xfrm>
                    <a:prstGeom prst="rect">
                      <a:avLst/>
                    </a:prstGeom>
                    <a:noFill/>
                    <a:ln>
                      <a:noFill/>
                    </a:ln>
                  </pic:spPr>
                </pic:pic>
              </a:graphicData>
            </a:graphic>
          </wp:inline>
        </w:drawing>
      </w:r>
    </w:p>
    <w:p w:rsidR="00D55D6F" w:rsidRDefault="007472BE">
      <w:pPr>
        <w:pStyle w:val="Heading3"/>
        <w:rPr>
          <w:noProof/>
        </w:rPr>
      </w:pPr>
      <w:bookmarkStart w:id="66" w:name="_Toc484519131"/>
      <w:bookmarkStart w:id="67" w:name="_Toc490834336"/>
      <w:bookmarkStart w:id="68" w:name="_Toc491331887"/>
      <w:r>
        <w:rPr>
          <w:noProof/>
        </w:rPr>
        <w:lastRenderedPageBreak/>
        <w:t>3.6.3. Irrégularités communiquées</w:t>
      </w:r>
      <w:bookmarkEnd w:id="66"/>
      <w:bookmarkEnd w:id="67"/>
      <w:bookmarkEnd w:id="68"/>
    </w:p>
    <w:p w:rsidR="00D55D6F" w:rsidRDefault="007472BE">
      <w:pPr>
        <w:jc w:val="both"/>
        <w:rPr>
          <w:rFonts w:ascii="Times New Roman" w:hAnsi="Times New Roman"/>
          <w:noProof/>
        </w:rPr>
      </w:pPr>
      <w:r>
        <w:rPr>
          <w:rFonts w:ascii="Times New Roman" w:hAnsi="Times New Roman"/>
          <w:noProof/>
        </w:rPr>
        <w:t>Aucune irrégularité au regard des règlements (CE) nº 1927/2006 ou (UE) nº 1309/2013 n’a été signalée à la Commission e</w:t>
      </w:r>
      <w:r>
        <w:rPr>
          <w:rFonts w:ascii="Times New Roman" w:hAnsi="Times New Roman"/>
          <w:noProof/>
        </w:rPr>
        <w:t>n 2015 et 2016.</w:t>
      </w:r>
    </w:p>
    <w:p w:rsidR="00D55D6F" w:rsidRDefault="007472BE">
      <w:pPr>
        <w:pStyle w:val="Heading3"/>
        <w:rPr>
          <w:noProof/>
        </w:rPr>
      </w:pPr>
      <w:bookmarkStart w:id="69" w:name="_Toc484519132"/>
      <w:bookmarkStart w:id="70" w:name="_Toc490834337"/>
      <w:bookmarkStart w:id="71" w:name="_Toc491331888"/>
      <w:r>
        <w:rPr>
          <w:noProof/>
        </w:rPr>
        <w:t>3.6.4. Clôture des contributions financières du FEM</w:t>
      </w:r>
      <w:bookmarkEnd w:id="69"/>
      <w:bookmarkEnd w:id="70"/>
      <w:bookmarkEnd w:id="71"/>
    </w:p>
    <w:p w:rsidR="00D55D6F" w:rsidRDefault="007472BE">
      <w:pPr>
        <w:jc w:val="both"/>
        <w:rPr>
          <w:rFonts w:ascii="Times New Roman" w:hAnsi="Times New Roman"/>
          <w:noProof/>
          <w:color w:val="000000" w:themeColor="text1"/>
        </w:rPr>
      </w:pPr>
      <w:r>
        <w:rPr>
          <w:rFonts w:ascii="Times New Roman" w:hAnsi="Times New Roman"/>
          <w:noProof/>
        </w:rPr>
        <w:t>Les procédures de clôture des contributions financières du FEM sont établies à l’article </w:t>
      </w:r>
      <w:r>
        <w:rPr>
          <w:rFonts w:ascii="Times New Roman" w:hAnsi="Times New Roman"/>
          <w:noProof/>
          <w:color w:val="000000" w:themeColor="text1"/>
        </w:rPr>
        <w:t>18 du règlement (UE) nº 1309/2013. Trente-quatre dossiers, mis en œuvre entre 2009 et 2015</w:t>
      </w:r>
      <w:r>
        <w:rPr>
          <w:noProof/>
        </w:rPr>
        <w:t>,</w:t>
      </w:r>
      <w:r>
        <w:rPr>
          <w:rFonts w:ascii="Times New Roman" w:hAnsi="Times New Roman"/>
          <w:noProof/>
          <w:color w:val="000000" w:themeColor="text1"/>
        </w:rPr>
        <w:t xml:space="preserve"> ont été clôturés en 2015 et 2016. Ces dossiers sont détaillés au tableau 3 de l’annexe. </w:t>
      </w:r>
    </w:p>
    <w:p w:rsidR="00D55D6F" w:rsidRDefault="007472BE">
      <w:pPr>
        <w:jc w:val="both"/>
        <w:rPr>
          <w:rFonts w:ascii="Times New Roman" w:hAnsi="Times New Roman"/>
          <w:noProof/>
          <w:color w:val="000000" w:themeColor="text1"/>
        </w:rPr>
      </w:pPr>
      <w:r>
        <w:rPr>
          <w:rFonts w:ascii="Times New Roman" w:hAnsi="Times New Roman"/>
          <w:noProof/>
          <w:color w:val="000000" w:themeColor="text1"/>
        </w:rPr>
        <w:t>Un dossier du FEM est clôturé après l’envoi du rapport final et de toutes les informations requises à la Commission, une fois que tous les remboursements en suspens o</w:t>
      </w:r>
      <w:r>
        <w:rPr>
          <w:rFonts w:ascii="Times New Roman" w:hAnsi="Times New Roman"/>
          <w:noProof/>
          <w:color w:val="000000" w:themeColor="text1"/>
        </w:rPr>
        <w:t>nt été effectués et lorsqu’aucune autre mesure ne doit être prise par l’État membre ou la Commission, à l’exception de l’obligation de garder toutes les pièces justificatives à la disposition de la Commission et de la Cour des comptes pendant une période d</w:t>
      </w:r>
      <w:r>
        <w:rPr>
          <w:rFonts w:ascii="Times New Roman" w:hAnsi="Times New Roman"/>
          <w:noProof/>
          <w:color w:val="000000" w:themeColor="text1"/>
        </w:rPr>
        <w:t xml:space="preserve">e trois ans [article 21, paragraphe 5, du règlement (UE) nº 1309/2013]. </w:t>
      </w:r>
    </w:p>
    <w:p w:rsidR="00D55D6F" w:rsidRDefault="007472BE">
      <w:pPr>
        <w:jc w:val="both"/>
        <w:rPr>
          <w:rFonts w:ascii="Times New Roman" w:hAnsi="Times New Roman"/>
          <w:noProof/>
          <w:color w:val="000000" w:themeColor="text1"/>
        </w:rPr>
      </w:pPr>
      <w:r>
        <w:rPr>
          <w:rFonts w:ascii="Times New Roman" w:hAnsi="Times New Roman"/>
          <w:noProof/>
          <w:color w:val="000000" w:themeColor="text1"/>
        </w:rPr>
        <w:t>Le taux d’absorption du budget des dossiers clôturés était en moyenne de 57,6 %; des variations ont été enregistrées, allant de 9 % à 100 % d’absorption du budget. Pour les 34 dossier</w:t>
      </w:r>
      <w:r>
        <w:rPr>
          <w:rFonts w:ascii="Times New Roman" w:hAnsi="Times New Roman"/>
          <w:noProof/>
          <w:color w:val="000000" w:themeColor="text1"/>
        </w:rPr>
        <w:t>s, le montant total des fonds non dépensés à rembourser à la Commission s’élevait à 60 573 926 EUR (soit 42,4 % des contributions du FEM accordées pour ces 34 dossiers). La Commission continue de conseiller les États membres en vue d’améliorer leur taux d’</w:t>
      </w:r>
      <w:r>
        <w:rPr>
          <w:rFonts w:ascii="Times New Roman" w:hAnsi="Times New Roman"/>
          <w:noProof/>
          <w:color w:val="000000" w:themeColor="text1"/>
        </w:rPr>
        <w:t xml:space="preserve">absorption. </w:t>
      </w:r>
    </w:p>
    <w:p w:rsidR="00D55D6F" w:rsidRDefault="007472BE">
      <w:pPr>
        <w:jc w:val="both"/>
        <w:rPr>
          <w:rFonts w:ascii="Times New Roman" w:hAnsi="Times New Roman"/>
          <w:noProof/>
        </w:rPr>
      </w:pPr>
      <w:r>
        <w:rPr>
          <w:rFonts w:ascii="Times New Roman" w:hAnsi="Times New Roman"/>
          <w:noProof/>
        </w:rPr>
        <w:t>Il existe plusieurs explications au fait que les États membres n’ont pas utilisé la totalité des fonds accordés. S’ils sont à plusieurs reprises invités à présenter des estimations budgétaires réalistes pour l’ensemble coordonné de services pe</w:t>
      </w:r>
      <w:r>
        <w:rPr>
          <w:rFonts w:ascii="Times New Roman" w:hAnsi="Times New Roman"/>
          <w:noProof/>
        </w:rPr>
        <w:t>rsonnalisés, il peut y avoir un manque de planification précise et éclairée. Une marge de sécurité trop élevée, s’avérant en fin de compte inutile, peut avoir été incluse dans les calculs initiaux. Le nombre de travailleurs souhaitant participer aux mesure</w:t>
      </w:r>
      <w:r>
        <w:rPr>
          <w:rFonts w:ascii="Times New Roman" w:hAnsi="Times New Roman"/>
          <w:noProof/>
        </w:rPr>
        <w:t xml:space="preserve">s proposées peut avoir été surestimé dans la phase de planification. Les mesures retenues par certains travailleurs n’étaient peut-être pas les plus coûteuses, d’autres ont pu opter pour des mesures non à long terme, mais à court terme, ou avoir trouvé un </w:t>
      </w:r>
      <w:r>
        <w:rPr>
          <w:rFonts w:ascii="Times New Roman" w:hAnsi="Times New Roman"/>
          <w:noProof/>
        </w:rPr>
        <w:t>nouvel emploi plus vite que prévu initialement. D’autres raisons expliquant le niveau limité des dépenses peuvent tenir aux retards dans la mise en place des mesures et au fait que les États membres n’ont pas profité de la souplesse disponible pour réaffec</w:t>
      </w:r>
      <w:r>
        <w:rPr>
          <w:rFonts w:ascii="Times New Roman" w:hAnsi="Times New Roman"/>
          <w:noProof/>
        </w:rPr>
        <w:t xml:space="preserve">ter des fonds entre différents postes du budget lors de la mise en œuvre de l’ensemble de services personnalisés. </w:t>
      </w:r>
    </w:p>
    <w:p w:rsidR="00D55D6F" w:rsidRDefault="007472BE">
      <w:pPr>
        <w:jc w:val="both"/>
        <w:rPr>
          <w:rFonts w:ascii="Times New Roman" w:hAnsi="Times New Roman"/>
          <w:noProof/>
        </w:rPr>
      </w:pPr>
      <w:r>
        <w:rPr>
          <w:rFonts w:ascii="Times New Roman" w:hAnsi="Times New Roman"/>
          <w:noProof/>
        </w:rPr>
        <w:t>La budgétisation des mesures et la prévision de la participation des travailleurs sur la période de 24 mois devraient s’améliorer avec l’expé</w:t>
      </w:r>
      <w:r>
        <w:rPr>
          <w:rFonts w:ascii="Times New Roman" w:hAnsi="Times New Roman"/>
          <w:noProof/>
        </w:rPr>
        <w:t>rience. La Commission observe également des améliorations en ce qui concerne la planification de l’arrivée des fonds du FEM dans la région concernée, les capacités des différentes structures de coordination et de mise en œuvre et la qualité de la communica</w:t>
      </w:r>
      <w:r>
        <w:rPr>
          <w:rFonts w:ascii="Times New Roman" w:hAnsi="Times New Roman"/>
          <w:noProof/>
        </w:rPr>
        <w:t xml:space="preserve">tion entre les niveaux nationaux et régionaux/locaux. Par ailleurs, les États membres font un meilleur usage de la possibilité qui leur est offerte de revoir leurs budgets et de modifier l’affectation des fonds entre les différentes mesures et/ou dépenses </w:t>
      </w:r>
      <w:r>
        <w:rPr>
          <w:rFonts w:ascii="Times New Roman" w:hAnsi="Times New Roman"/>
          <w:noProof/>
        </w:rPr>
        <w:t>d’exécution. La Commission invite désormais les États membres à revoir le budget pendant la phase d’introduction des demandes. Enfin, à l’échelon des institutions de l’Union européenne, des efforts importants sont consentis pour accélérer les procédures de</w:t>
      </w:r>
      <w:r>
        <w:rPr>
          <w:rFonts w:ascii="Times New Roman" w:hAnsi="Times New Roman"/>
          <w:noProof/>
        </w:rPr>
        <w:t xml:space="preserve"> décision et le paiement des fonds du FEM de telle sorte que le moment de l’allocation et le financement accordé puissent être convenus de manière optimale. Le règlement (UE) nº 1309/2013 prévoit des délais stricts pour l’évaluation des demandes d’interven</w:t>
      </w:r>
      <w:r>
        <w:rPr>
          <w:rFonts w:ascii="Times New Roman" w:hAnsi="Times New Roman"/>
          <w:noProof/>
        </w:rPr>
        <w:t xml:space="preserve">tion du FEM et la procédure budgétaire, et ce afin que les fonds soient disponibles plus rapidement. Dans les limites de </w:t>
      </w:r>
      <w:r>
        <w:rPr>
          <w:rFonts w:ascii="Times New Roman" w:hAnsi="Times New Roman"/>
          <w:noProof/>
        </w:rPr>
        <w:lastRenderedPageBreak/>
        <w:t xml:space="preserve">la contribution financière, les États membres peuvent également revoir leurs budgets et, avec l’accord de la Commission, introduire de </w:t>
      </w:r>
      <w:r>
        <w:rPr>
          <w:rFonts w:ascii="Times New Roman" w:hAnsi="Times New Roman"/>
          <w:noProof/>
        </w:rPr>
        <w:t xml:space="preserve">nouvelles mesures admissibles pendant la mise en œuvre. </w:t>
      </w:r>
    </w:p>
    <w:p w:rsidR="00D55D6F" w:rsidRDefault="00D55D6F">
      <w:pPr>
        <w:rPr>
          <w:rFonts w:ascii="Times New Roman" w:hAnsi="Times New Roman"/>
          <w:noProof/>
        </w:rPr>
      </w:pPr>
    </w:p>
    <w:p w:rsidR="00D55D6F" w:rsidRDefault="007472BE">
      <w:pPr>
        <w:pStyle w:val="Heading2"/>
        <w:rPr>
          <w:noProof/>
        </w:rPr>
      </w:pPr>
      <w:bookmarkStart w:id="72" w:name="_Toc484519133"/>
      <w:bookmarkStart w:id="73" w:name="_Toc490834338"/>
      <w:bookmarkStart w:id="74" w:name="_Toc491331889"/>
      <w:r>
        <w:rPr>
          <w:noProof/>
        </w:rPr>
        <w:t>3.7. Activités d’assistance technique menées par la Commission</w:t>
      </w:r>
      <w:bookmarkEnd w:id="72"/>
      <w:bookmarkEnd w:id="73"/>
      <w:bookmarkEnd w:id="74"/>
    </w:p>
    <w:p w:rsidR="00D55D6F" w:rsidRDefault="007472BE">
      <w:pPr>
        <w:pStyle w:val="Heading3"/>
        <w:rPr>
          <w:noProof/>
        </w:rPr>
      </w:pPr>
      <w:bookmarkStart w:id="75" w:name="_Toc484519134"/>
      <w:bookmarkStart w:id="76" w:name="_Toc490834339"/>
      <w:bookmarkStart w:id="77" w:name="_Toc491331890"/>
      <w:r>
        <w:rPr>
          <w:noProof/>
        </w:rPr>
        <w:t>3.7.1. Information et publicité: site internet</w:t>
      </w:r>
      <w:bookmarkEnd w:id="75"/>
      <w:bookmarkEnd w:id="76"/>
      <w:bookmarkEnd w:id="77"/>
    </w:p>
    <w:p w:rsidR="00D55D6F" w:rsidRDefault="007472BE">
      <w:pPr>
        <w:jc w:val="both"/>
        <w:rPr>
          <w:rFonts w:ascii="Times New Roman" w:hAnsi="Times New Roman"/>
          <w:noProof/>
        </w:rPr>
      </w:pPr>
      <w:r>
        <w:rPr>
          <w:rFonts w:ascii="Times New Roman" w:hAnsi="Times New Roman"/>
          <w:noProof/>
        </w:rPr>
        <w:t>En vertu de l’article 12, paragraphe 2, du règlement (UE) nº 1309/2013, la Commission est tenue de mettre en place et maintenir un site internet, disponible dans toutes les langues de l’Union, pour fournir des informations sur le FEM, dispenser des conseil</w:t>
      </w:r>
      <w:r>
        <w:rPr>
          <w:rFonts w:ascii="Times New Roman" w:hAnsi="Times New Roman"/>
          <w:noProof/>
        </w:rPr>
        <w:t xml:space="preserve">s sur la soumission des demandes ainsi que des renseignements à jour sur les demandes acceptées et rejetées, et souligner le rôle de l’autorité budgétaire. </w:t>
      </w:r>
    </w:p>
    <w:p w:rsidR="00D55D6F" w:rsidRDefault="007472BE">
      <w:pPr>
        <w:jc w:val="both"/>
        <w:rPr>
          <w:rFonts w:ascii="Times New Roman" w:hAnsi="Times New Roman"/>
          <w:noProof/>
        </w:rPr>
      </w:pPr>
      <w:r>
        <w:rPr>
          <w:rFonts w:ascii="Times New Roman" w:hAnsi="Times New Roman"/>
          <w:noProof/>
        </w:rPr>
        <w:t>Le site internet</w:t>
      </w:r>
      <w:r>
        <w:rPr>
          <w:rFonts w:ascii="Times New Roman" w:hAnsi="Times New Roman"/>
          <w:noProof/>
          <w:vertAlign w:val="superscript"/>
        </w:rPr>
        <w:footnoteReference w:id="25"/>
      </w:r>
      <w:r>
        <w:rPr>
          <w:rFonts w:ascii="Times New Roman" w:hAnsi="Times New Roman"/>
          <w:noProof/>
        </w:rPr>
        <w:t xml:space="preserve"> de la Commission sur le FEM a été régulièrement mis à jour avec des informations </w:t>
      </w:r>
      <w:r>
        <w:rPr>
          <w:rFonts w:ascii="Times New Roman" w:hAnsi="Times New Roman"/>
          <w:noProof/>
        </w:rPr>
        <w:t xml:space="preserve">pertinentes en 2015 et 2016. </w:t>
      </w:r>
    </w:p>
    <w:p w:rsidR="00D55D6F" w:rsidRDefault="007472BE">
      <w:pPr>
        <w:pStyle w:val="Heading3"/>
        <w:rPr>
          <w:noProof/>
        </w:rPr>
      </w:pPr>
      <w:bookmarkStart w:id="78" w:name="_Toc484519135"/>
      <w:bookmarkStart w:id="79" w:name="_Toc490834340"/>
      <w:bookmarkStart w:id="80" w:name="_Toc491331891"/>
      <w:r>
        <w:rPr>
          <w:noProof/>
        </w:rPr>
        <w:t>3.7.2. Réunions avec les autorités nationales et autres parties prenantes</w:t>
      </w:r>
      <w:bookmarkEnd w:id="78"/>
      <w:bookmarkEnd w:id="79"/>
      <w:bookmarkEnd w:id="80"/>
    </w:p>
    <w:p w:rsidR="00D55D6F" w:rsidRDefault="007472BE">
      <w:pPr>
        <w:jc w:val="both"/>
        <w:rPr>
          <w:rFonts w:ascii="Times New Roman" w:hAnsi="Times New Roman"/>
          <w:noProof/>
        </w:rPr>
      </w:pPr>
      <w:r>
        <w:rPr>
          <w:rFonts w:ascii="Times New Roman" w:hAnsi="Times New Roman"/>
          <w:noProof/>
        </w:rPr>
        <w:t>Les 15</w:t>
      </w:r>
      <w:r>
        <w:rPr>
          <w:rFonts w:ascii="Times New Roman" w:hAnsi="Times New Roman"/>
          <w:noProof/>
          <w:vertAlign w:val="superscript"/>
        </w:rPr>
        <w:t>e</w:t>
      </w:r>
      <w:r>
        <w:rPr>
          <w:rFonts w:ascii="Times New Roman" w:hAnsi="Times New Roman"/>
          <w:noProof/>
        </w:rPr>
        <w:t>, 16</w:t>
      </w:r>
      <w:r>
        <w:rPr>
          <w:rFonts w:ascii="Times New Roman" w:hAnsi="Times New Roman"/>
          <w:noProof/>
          <w:vertAlign w:val="superscript"/>
        </w:rPr>
        <w:t>e</w:t>
      </w:r>
      <w:r>
        <w:rPr>
          <w:rFonts w:ascii="Times New Roman" w:hAnsi="Times New Roman"/>
          <w:noProof/>
        </w:rPr>
        <w:t>, 17</w:t>
      </w:r>
      <w:r>
        <w:rPr>
          <w:rFonts w:ascii="Times New Roman" w:hAnsi="Times New Roman"/>
          <w:noProof/>
          <w:vertAlign w:val="superscript"/>
        </w:rPr>
        <w:t>e</w:t>
      </w:r>
      <w:r>
        <w:rPr>
          <w:rFonts w:ascii="Times New Roman" w:hAnsi="Times New Roman"/>
          <w:noProof/>
        </w:rPr>
        <w:t> et 18</w:t>
      </w:r>
      <w:r>
        <w:rPr>
          <w:rFonts w:ascii="Times New Roman" w:hAnsi="Times New Roman"/>
          <w:noProof/>
          <w:vertAlign w:val="superscript"/>
        </w:rPr>
        <w:t>e</w:t>
      </w:r>
      <w:r>
        <w:rPr>
          <w:rFonts w:ascii="Times New Roman" w:hAnsi="Times New Roman"/>
          <w:noProof/>
        </w:rPr>
        <w:t> réunions du groupe d’experts «Personnes de contact du Fonds européen d’ajustement à la mondialisation», qui réunit les correspo</w:t>
      </w:r>
      <w:r>
        <w:rPr>
          <w:rFonts w:ascii="Times New Roman" w:hAnsi="Times New Roman"/>
          <w:noProof/>
        </w:rPr>
        <w:t>ndants des États membres pour le FEM, se sont tenues en mars et octobre 2015 ainsi qu’en mars et octobre 2016. Une partie de chaque réunion a été consacrée aux demandes d’intervention du FEM en cours et futures, au système de gestion des fonds dans l’Union</w:t>
      </w:r>
      <w:r>
        <w:rPr>
          <w:rFonts w:ascii="Times New Roman" w:hAnsi="Times New Roman"/>
          <w:noProof/>
        </w:rPr>
        <w:t xml:space="preserve"> européenne (SFC), à l’évaluation à mi-parcours du FEM pour la période 2014-2020, à des questions d’ordre juridique et de contrôle, ainsi qu’à plusieurs autres points à l’ordre du jour. </w:t>
      </w:r>
    </w:p>
    <w:p w:rsidR="00D55D6F" w:rsidRDefault="007472BE">
      <w:pPr>
        <w:jc w:val="both"/>
        <w:rPr>
          <w:rFonts w:ascii="Times New Roman" w:hAnsi="Times New Roman"/>
          <w:noProof/>
        </w:rPr>
      </w:pPr>
      <w:r>
        <w:rPr>
          <w:rFonts w:ascii="Times New Roman" w:hAnsi="Times New Roman"/>
          <w:noProof/>
        </w:rPr>
        <w:t>Trois séminaires de mise en réseau ont été organisés en 2015 et en 20</w:t>
      </w:r>
      <w:r>
        <w:rPr>
          <w:rFonts w:ascii="Times New Roman" w:hAnsi="Times New Roman"/>
          <w:noProof/>
        </w:rPr>
        <w:t>16. Les thèmes discutés au cours des séminaires concernaient le recours à l’assistance technique du FEM, le processus d’évaluation à mi-parcours du FEM pour la période 2014-2020 et le rôle des autorités nationales dans ce processus, ainsi que les stratégie</w:t>
      </w:r>
      <w:r>
        <w:rPr>
          <w:rFonts w:ascii="Times New Roman" w:hAnsi="Times New Roman"/>
          <w:noProof/>
        </w:rPr>
        <w:t>s de motivation des travailleurs licenciés. Par ailleurs, les séminaires ont été complétés par des visites de projets qui ont permis de procéder à un échange d’expériences entre pairs et de rencontrer les bénéficiaires. Les représentants des États membres,</w:t>
      </w:r>
      <w:r>
        <w:rPr>
          <w:rFonts w:ascii="Times New Roman" w:hAnsi="Times New Roman"/>
          <w:noProof/>
        </w:rPr>
        <w:t xml:space="preserve"> les parties prenantes et les organes de mise en œuvre du FEM étaient nombreux à participer à ces trois séminaires. </w:t>
      </w:r>
    </w:p>
    <w:p w:rsidR="00D55D6F" w:rsidRDefault="007472BE">
      <w:pPr>
        <w:pStyle w:val="Heading3"/>
        <w:rPr>
          <w:noProof/>
        </w:rPr>
      </w:pPr>
      <w:bookmarkStart w:id="81" w:name="_Toc484519136"/>
      <w:bookmarkStart w:id="82" w:name="_Toc490834341"/>
      <w:bookmarkStart w:id="83" w:name="_Toc491331892"/>
      <w:r>
        <w:rPr>
          <w:noProof/>
        </w:rPr>
        <w:t>3.7.3. Création d’une base de connaissances</w:t>
      </w:r>
      <w:bookmarkEnd w:id="81"/>
      <w:bookmarkEnd w:id="82"/>
      <w:bookmarkEnd w:id="83"/>
      <w:r>
        <w:rPr>
          <w:noProof/>
        </w:rPr>
        <w:t xml:space="preserve"> </w:t>
      </w:r>
    </w:p>
    <w:p w:rsidR="00D55D6F" w:rsidRDefault="007472BE">
      <w:pPr>
        <w:jc w:val="both"/>
        <w:rPr>
          <w:rFonts w:ascii="Times New Roman" w:hAnsi="Times New Roman"/>
          <w:noProof/>
        </w:rPr>
      </w:pPr>
      <w:r>
        <w:rPr>
          <w:rFonts w:ascii="Times New Roman" w:hAnsi="Times New Roman"/>
          <w:noProof/>
        </w:rPr>
        <w:t>En 2014, la Commission a cherché à simplifier davantage encore les procédures, en intégrant le</w:t>
      </w:r>
      <w:r>
        <w:rPr>
          <w:rFonts w:ascii="Times New Roman" w:hAnsi="Times New Roman"/>
          <w:noProof/>
        </w:rPr>
        <w:t xml:space="preserve"> FEM dans le système de communication informatique de la Commission et des États membres, le système de gestion des fonds dans l’Union européenne (SFC). Depuis avril 2015, les États membres utilisent ce système pour présenter des demandes en ligne dans le </w:t>
      </w:r>
      <w:r>
        <w:rPr>
          <w:rFonts w:ascii="Times New Roman" w:hAnsi="Times New Roman"/>
          <w:noProof/>
        </w:rPr>
        <w:t xml:space="preserve">cadre d’un processus de demande assisté. Cela devrait permettre aux États membres de présenter des demandes plus correctes et complètes, étant donné que la plate-forme leur permet de partager des données avec la Commission avant même de </w:t>
      </w:r>
      <w:r>
        <w:rPr>
          <w:rFonts w:ascii="Times New Roman" w:hAnsi="Times New Roman"/>
          <w:noProof/>
        </w:rPr>
        <w:lastRenderedPageBreak/>
        <w:t>soumettre officiell</w:t>
      </w:r>
      <w:r>
        <w:rPr>
          <w:rFonts w:ascii="Times New Roman" w:hAnsi="Times New Roman"/>
          <w:noProof/>
        </w:rPr>
        <w:t>ement leur demande. Elle permet ainsi de faciliter la collecte et le traitement des données et d’accélérer la communication des résultats du FEM. Cette procédure améliorée a contribué à réduire le temps qui s’écoule entre le moment où une demande est prése</w:t>
      </w:r>
      <w:r>
        <w:rPr>
          <w:rFonts w:ascii="Times New Roman" w:hAnsi="Times New Roman"/>
          <w:noProof/>
        </w:rPr>
        <w:t xml:space="preserve">ntée par un État membre et l’adoption de la proposition présentée par la Commission au Parlement européen et au Conseil. </w:t>
      </w:r>
    </w:p>
    <w:p w:rsidR="00D55D6F" w:rsidRDefault="007472BE">
      <w:pPr>
        <w:jc w:val="both"/>
        <w:rPr>
          <w:rFonts w:ascii="Times New Roman" w:hAnsi="Times New Roman"/>
          <w:noProof/>
        </w:rPr>
      </w:pPr>
      <w:r>
        <w:rPr>
          <w:rFonts w:ascii="Times New Roman" w:hAnsi="Times New Roman"/>
          <w:noProof/>
        </w:rPr>
        <w:t>Depuis août 2016, un module concernant les rapports finaux du FEM a été rendu opérationnel au sein du SFC et les États membres ont déj</w:t>
      </w:r>
      <w:r>
        <w:rPr>
          <w:rFonts w:ascii="Times New Roman" w:hAnsi="Times New Roman"/>
          <w:noProof/>
        </w:rPr>
        <w:t>à commencé à présenter leurs rapports finaux pour la période de programmation 2014-2020 par l’intermédiaire du SFC2014. Le SFC prévoit d’autres options telles que la mise au point d’un module concernant l’élaboration des rapports (Infoview), la possibilité</w:t>
      </w:r>
      <w:r>
        <w:rPr>
          <w:rFonts w:ascii="Times New Roman" w:hAnsi="Times New Roman"/>
          <w:noProof/>
        </w:rPr>
        <w:t xml:space="preserve"> de retirer une demande et la possibilité pour la Commission d'élaborer un projet de proposition de décision du Parlement européen et du Conseil et une décision d’exécution de la Commission (relative aux données du projet de proposition) directement dans l</w:t>
      </w:r>
      <w:r>
        <w:rPr>
          <w:rFonts w:ascii="Times New Roman" w:hAnsi="Times New Roman"/>
          <w:noProof/>
        </w:rPr>
        <w:t>e SFC.</w:t>
      </w:r>
    </w:p>
    <w:p w:rsidR="00D55D6F" w:rsidRDefault="007472BE">
      <w:pPr>
        <w:pStyle w:val="Heading3"/>
        <w:rPr>
          <w:strike/>
          <w:noProof/>
        </w:rPr>
      </w:pPr>
      <w:bookmarkStart w:id="84" w:name="_Toc484519137"/>
      <w:bookmarkStart w:id="85" w:name="_Toc490834342"/>
      <w:bookmarkStart w:id="86" w:name="_Toc491331893"/>
      <w:r>
        <w:rPr>
          <w:noProof/>
        </w:rPr>
        <w:t>3.7.4. Évaluation à mi-parcours du FEM pour la période 2014-2020</w:t>
      </w:r>
      <w:bookmarkEnd w:id="84"/>
      <w:bookmarkEnd w:id="85"/>
      <w:bookmarkEnd w:id="86"/>
      <w:r>
        <w:rPr>
          <w:noProof/>
        </w:rPr>
        <w:t xml:space="preserve"> </w:t>
      </w:r>
    </w:p>
    <w:p w:rsidR="00D55D6F" w:rsidRDefault="007472BE">
      <w:pPr>
        <w:jc w:val="both"/>
        <w:rPr>
          <w:rFonts w:ascii="Times New Roman" w:hAnsi="Times New Roman"/>
          <w:noProof/>
        </w:rPr>
      </w:pPr>
      <w:r>
        <w:rPr>
          <w:rFonts w:ascii="Times New Roman" w:hAnsi="Times New Roman"/>
          <w:noProof/>
        </w:rPr>
        <w:t>Conformément à l’article 20 du règlement (UE) nº 1309/2013, la Commission procède de sa propre initiative, avant le 30 juin 2017, à une évaluation à mi-parcours du FEM. En 2015, la Co</w:t>
      </w:r>
      <w:r>
        <w:rPr>
          <w:rFonts w:ascii="Times New Roman" w:hAnsi="Times New Roman"/>
          <w:noProof/>
        </w:rPr>
        <w:t>mmission a sélectionné un prestataire de services externe à la suite d’une procédure d’appel d’offres dans le contexte d’un contrat-cadre. Le contractant avait pour mission de réaliser une étude d’évaluation au cours de l’année 2016 et de présenter un rapp</w:t>
      </w:r>
      <w:r>
        <w:rPr>
          <w:rFonts w:ascii="Times New Roman" w:hAnsi="Times New Roman"/>
          <w:noProof/>
        </w:rPr>
        <w:t xml:space="preserve">ort répondant aux questions formulées dans l’évaluation sous la forme de constatations, de conclusions et de recommandations. Ce rapport devait également être accompagné d’annexes contenant des informations relatives à chaque dossier (rapports). </w:t>
      </w:r>
    </w:p>
    <w:p w:rsidR="00D55D6F" w:rsidRDefault="007472BE">
      <w:pPr>
        <w:jc w:val="both"/>
        <w:rPr>
          <w:rFonts w:ascii="Times New Roman" w:hAnsi="Times New Roman"/>
          <w:noProof/>
        </w:rPr>
      </w:pPr>
      <w:r>
        <w:rPr>
          <w:rFonts w:ascii="Times New Roman" w:hAnsi="Times New Roman"/>
          <w:noProof/>
        </w:rPr>
        <w:t>Il s’appu</w:t>
      </w:r>
      <w:r>
        <w:rPr>
          <w:rFonts w:ascii="Times New Roman" w:hAnsi="Times New Roman"/>
          <w:noProof/>
        </w:rPr>
        <w:t>ie sur une combinaison d’informations qualitatives et quantitatives et repose sur diverses sources d’information pour établir des conclusions.</w:t>
      </w:r>
    </w:p>
    <w:p w:rsidR="00D55D6F" w:rsidRDefault="007472BE">
      <w:pPr>
        <w:jc w:val="both"/>
        <w:rPr>
          <w:rFonts w:ascii="Times New Roman" w:hAnsi="Times New Roman"/>
          <w:noProof/>
        </w:rPr>
      </w:pPr>
      <w:r>
        <w:rPr>
          <w:rFonts w:ascii="Times New Roman" w:hAnsi="Times New Roman"/>
          <w:noProof/>
        </w:rPr>
        <w:t>Le Commission a approuvé la version finale de ce rapport en décembre 2016.</w:t>
      </w:r>
    </w:p>
    <w:p w:rsidR="00D55D6F" w:rsidRDefault="007472BE">
      <w:pPr>
        <w:jc w:val="both"/>
        <w:rPr>
          <w:rFonts w:ascii="Times New Roman" w:hAnsi="Times New Roman"/>
          <w:noProof/>
        </w:rPr>
      </w:pPr>
      <w:r>
        <w:rPr>
          <w:rFonts w:ascii="Times New Roman" w:hAnsi="Times New Roman"/>
          <w:noProof/>
        </w:rPr>
        <w:t>Les résultats définitifs de la procédu</w:t>
      </w:r>
      <w:r>
        <w:rPr>
          <w:rFonts w:ascii="Times New Roman" w:hAnsi="Times New Roman"/>
          <w:noProof/>
        </w:rPr>
        <w:t xml:space="preserve">re d’évaluation </w:t>
      </w:r>
      <w:r>
        <w:rPr>
          <w:rFonts w:ascii="Times New Roman" w:hAnsi="Times New Roman"/>
          <w:noProof/>
          <w:color w:val="000000" w:themeColor="text1"/>
        </w:rPr>
        <w:t xml:space="preserve">seront </w:t>
      </w:r>
      <w:r>
        <w:rPr>
          <w:rFonts w:ascii="Times New Roman" w:hAnsi="Times New Roman"/>
          <w:noProof/>
        </w:rPr>
        <w:t>publiés sous la forme d’un document de travail des services de la Commission (SWD) fondé sur le rapport présenté par les consultants externes.</w:t>
      </w:r>
    </w:p>
    <w:p w:rsidR="00D55D6F" w:rsidRDefault="007472BE">
      <w:pPr>
        <w:jc w:val="both"/>
        <w:rPr>
          <w:rFonts w:ascii="Times New Roman" w:hAnsi="Times New Roman"/>
          <w:noProof/>
        </w:rPr>
      </w:pPr>
      <w:r>
        <w:rPr>
          <w:rFonts w:ascii="Times New Roman" w:hAnsi="Times New Roman"/>
          <w:noProof/>
        </w:rPr>
        <w:t>Le règlement (UE) nº 1309/2013 prévoit une évaluation de l’efficacité et de la viabilité d</w:t>
      </w:r>
      <w:r>
        <w:rPr>
          <w:rFonts w:ascii="Times New Roman" w:hAnsi="Times New Roman"/>
          <w:noProof/>
        </w:rPr>
        <w:t>u FEM. En outre, les lignes directrices pour une meilleure réglementation adoptées en 2015 prévoient également l’évaluation de l’efficience, la cohérence, la pertinence et la valeur ajoutée européenne de chaque intervention. L’évaluation à mi-parcours du F</w:t>
      </w:r>
      <w:r>
        <w:rPr>
          <w:rFonts w:ascii="Times New Roman" w:hAnsi="Times New Roman"/>
          <w:noProof/>
        </w:rPr>
        <w:t>EM qui a été réalisée a été conçue dès le début de manière à couvrir tous les aspects précités; elle satisfait donc pleinement aux exigences des lignes directrices pour une meilleure réglementation. Les parties prenantes ont été largement consultées tout a</w:t>
      </w:r>
      <w:r>
        <w:rPr>
          <w:rFonts w:ascii="Times New Roman" w:hAnsi="Times New Roman"/>
          <w:noProof/>
        </w:rPr>
        <w:t xml:space="preserve">u long de la procédure, par l’intermédiaire d’une consultation publique ouverte sur l’internet, de consultations ciblées et d’un séminaire de mise en réseau. </w:t>
      </w:r>
    </w:p>
    <w:p w:rsidR="00D55D6F" w:rsidRDefault="007472BE">
      <w:pPr>
        <w:pStyle w:val="Heading1"/>
        <w:rPr>
          <w:noProof/>
        </w:rPr>
      </w:pPr>
      <w:bookmarkStart w:id="87" w:name="_Toc484519138"/>
      <w:bookmarkStart w:id="88" w:name="_Toc490834343"/>
      <w:bookmarkStart w:id="89" w:name="_Toc491331894"/>
      <w:r>
        <w:rPr>
          <w:noProof/>
        </w:rPr>
        <w:t>4. Données cumulées entre 2007 et 2016</w:t>
      </w:r>
      <w:bookmarkEnd w:id="87"/>
      <w:bookmarkEnd w:id="88"/>
      <w:bookmarkEnd w:id="89"/>
    </w:p>
    <w:p w:rsidR="00D55D6F" w:rsidRDefault="007472BE">
      <w:pPr>
        <w:jc w:val="both"/>
        <w:rPr>
          <w:rFonts w:ascii="Times New Roman" w:hAnsi="Times New Roman"/>
          <w:noProof/>
        </w:rPr>
      </w:pPr>
      <w:r>
        <w:rPr>
          <w:rFonts w:ascii="Times New Roman" w:hAnsi="Times New Roman"/>
          <w:noProof/>
        </w:rPr>
        <w:t>Le socle de données disponibles s'élargit d'année en année</w:t>
      </w:r>
      <w:r>
        <w:rPr>
          <w:rFonts w:ascii="Times New Roman" w:hAnsi="Times New Roman"/>
          <w:noProof/>
        </w:rPr>
        <w:t xml:space="preserve">, ce qui permet de mieux dégager des tendances et d'obtenir une vue d’ensemble de la direction prise par les actions du Fonds. Les données </w:t>
      </w:r>
      <w:r>
        <w:rPr>
          <w:rFonts w:ascii="Times New Roman" w:hAnsi="Times New Roman"/>
          <w:noProof/>
        </w:rPr>
        <w:lastRenderedPageBreak/>
        <w:t>contenues dans les graphiques ci-dessous et dans les tableaux 1 et 2 de l'annexe se rapportent aux 147 demandes intro</w:t>
      </w:r>
      <w:r>
        <w:rPr>
          <w:rFonts w:ascii="Times New Roman" w:hAnsi="Times New Roman"/>
          <w:noProof/>
        </w:rPr>
        <w:t>duites par les États membres de 2007 à 2016</w:t>
      </w:r>
      <w:r>
        <w:rPr>
          <w:rFonts w:ascii="Times New Roman" w:hAnsi="Times New Roman"/>
          <w:noProof/>
          <w:vertAlign w:val="superscript"/>
        </w:rPr>
        <w:footnoteReference w:id="26"/>
      </w:r>
      <w:r>
        <w:rPr>
          <w:rFonts w:ascii="Times New Roman" w:hAnsi="Times New Roman"/>
          <w:noProof/>
        </w:rPr>
        <w:t xml:space="preserve">. </w:t>
      </w:r>
    </w:p>
    <w:p w:rsidR="00D55D6F" w:rsidRDefault="007472BE">
      <w:pPr>
        <w:jc w:val="both"/>
        <w:rPr>
          <w:rFonts w:ascii="Times New Roman" w:hAnsi="Times New Roman"/>
          <w:noProof/>
        </w:rPr>
      </w:pPr>
      <w:r>
        <w:rPr>
          <w:rFonts w:ascii="Times New Roman" w:hAnsi="Times New Roman"/>
          <w:noProof/>
        </w:rPr>
        <w:t>Un total de 592 894 194 EUR a jusqu’à présent été sollicité pour aider 140 545 bénéficiaires visés</w:t>
      </w:r>
      <w:r>
        <w:rPr>
          <w:rFonts w:ascii="Times New Roman" w:hAnsi="Times New Roman"/>
          <w:noProof/>
          <w:vertAlign w:val="superscript"/>
        </w:rPr>
        <w:footnoteReference w:id="27"/>
      </w:r>
      <w:r>
        <w:rPr>
          <w:rFonts w:ascii="Times New Roman" w:hAnsi="Times New Roman"/>
          <w:noProof/>
        </w:rPr>
        <w:t xml:space="preserve">. </w:t>
      </w:r>
    </w:p>
    <w:p w:rsidR="00D55D6F" w:rsidRDefault="00D55D6F">
      <w:pPr>
        <w:tabs>
          <w:tab w:val="left" w:pos="3290"/>
        </w:tabs>
        <w:rPr>
          <w:rFonts w:ascii="Times New Roman" w:hAnsi="Times New Roman"/>
          <w:b/>
          <w:i/>
          <w:noProof/>
        </w:rPr>
      </w:pPr>
    </w:p>
    <w:p w:rsidR="00D55D6F" w:rsidRDefault="00D55D6F">
      <w:pPr>
        <w:tabs>
          <w:tab w:val="left" w:pos="3290"/>
        </w:tabs>
        <w:rPr>
          <w:rFonts w:ascii="Times New Roman" w:hAnsi="Times New Roman"/>
          <w:b/>
          <w:i/>
          <w:noProof/>
        </w:rPr>
      </w:pPr>
    </w:p>
    <w:p w:rsidR="00D55D6F" w:rsidRDefault="00D55D6F">
      <w:pPr>
        <w:tabs>
          <w:tab w:val="left" w:pos="3290"/>
        </w:tabs>
        <w:rPr>
          <w:rFonts w:ascii="Times New Roman" w:hAnsi="Times New Roman"/>
          <w:b/>
          <w:i/>
          <w:noProof/>
        </w:rPr>
      </w:pPr>
    </w:p>
    <w:p w:rsidR="00D55D6F" w:rsidRDefault="007472BE">
      <w:pPr>
        <w:tabs>
          <w:tab w:val="left" w:pos="3290"/>
        </w:tabs>
        <w:rPr>
          <w:rFonts w:ascii="Times New Roman" w:hAnsi="Times New Roman"/>
          <w:b/>
          <w:i/>
          <w:noProof/>
        </w:rPr>
      </w:pPr>
      <w:r>
        <w:rPr>
          <w:rFonts w:ascii="Times New Roman" w:hAnsi="Times New Roman"/>
          <w:b/>
          <w:i/>
          <w:noProof/>
        </w:rPr>
        <w:t>Graphique 6: nombre de demandes reçues entre 2007 et 2016</w:t>
      </w:r>
      <w:r>
        <w:rPr>
          <w:rStyle w:val="FootnoteReference"/>
          <w:noProof/>
        </w:rPr>
        <w:footnoteReference w:id="28"/>
      </w:r>
      <w:r>
        <w:rPr>
          <w:rFonts w:ascii="Times New Roman" w:hAnsi="Times New Roman"/>
          <w:b/>
          <w:i/>
          <w:noProof/>
        </w:rPr>
        <w:t xml:space="preserve"> </w:t>
      </w:r>
    </w:p>
    <w:p w:rsidR="00D55D6F" w:rsidRDefault="007472BE">
      <w:pPr>
        <w:jc w:val="center"/>
        <w:rPr>
          <w:rFonts w:ascii="Times New Roman" w:hAnsi="Times New Roman"/>
          <w:noProof/>
        </w:rPr>
      </w:pPr>
      <w:r>
        <w:rPr>
          <w:noProof/>
          <w:lang w:val="en-GB" w:eastAsia="en-GB" w:bidi="ar-SA"/>
        </w:rPr>
        <w:drawing>
          <wp:inline distT="0" distB="0" distL="0" distR="0">
            <wp:extent cx="5760720" cy="3017692"/>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3017692"/>
                    </a:xfrm>
                    <a:prstGeom prst="rect">
                      <a:avLst/>
                    </a:prstGeom>
                    <a:noFill/>
                    <a:ln>
                      <a:noFill/>
                    </a:ln>
                  </pic:spPr>
                </pic:pic>
              </a:graphicData>
            </a:graphic>
          </wp:inline>
        </w:drawing>
      </w:r>
    </w:p>
    <w:p w:rsidR="00D55D6F" w:rsidRDefault="00D55D6F">
      <w:pPr>
        <w:jc w:val="both"/>
        <w:rPr>
          <w:rFonts w:ascii="Times New Roman" w:hAnsi="Times New Roman"/>
          <w:noProof/>
        </w:rPr>
      </w:pPr>
    </w:p>
    <w:p w:rsidR="00D55D6F" w:rsidRDefault="007472BE">
      <w:pPr>
        <w:jc w:val="both"/>
        <w:rPr>
          <w:rFonts w:ascii="Times New Roman" w:hAnsi="Times New Roman"/>
          <w:noProof/>
        </w:rPr>
      </w:pPr>
      <w:r>
        <w:rPr>
          <w:rFonts w:ascii="Times New Roman" w:hAnsi="Times New Roman"/>
          <w:noProof/>
        </w:rPr>
        <w:t>Le règlement (CE) nº 546/2009, qui a introduit le critère de crise, a eu un effet visible sur le nombre de demandes reçues par la Commission: celles-ci ont nettement augmenté entre 2009 (date à laquelle la modification en question est entrée en vigueur) et</w:t>
      </w:r>
      <w:r>
        <w:rPr>
          <w:rFonts w:ascii="Times New Roman" w:hAnsi="Times New Roman"/>
          <w:noProof/>
        </w:rPr>
        <w:t xml:space="preserve"> le 31 décembre 2011. </w:t>
      </w:r>
    </w:p>
    <w:p w:rsidR="00D55D6F" w:rsidRDefault="007472BE">
      <w:pPr>
        <w:jc w:val="both"/>
        <w:rPr>
          <w:rFonts w:ascii="Times New Roman" w:hAnsi="Times New Roman"/>
          <w:noProof/>
        </w:rPr>
      </w:pPr>
      <w:r>
        <w:rPr>
          <w:rFonts w:ascii="Times New Roman" w:hAnsi="Times New Roman"/>
          <w:noProof/>
        </w:rPr>
        <w:t>Entre 2007 et 2016, la Commission a reçu 77 demandes liées à la crise et 70 demandes liées au commerce mondial. Le nombre total de demandes reçues chaque année est variable, avec en moyenne une quinzaine de demandes par an.</w:t>
      </w:r>
    </w:p>
    <w:p w:rsidR="00D55D6F" w:rsidRDefault="007472BE">
      <w:pPr>
        <w:jc w:val="both"/>
        <w:rPr>
          <w:rFonts w:ascii="Times New Roman" w:hAnsi="Times New Roman"/>
          <w:noProof/>
        </w:rPr>
      </w:pPr>
      <w:r>
        <w:rPr>
          <w:rFonts w:ascii="Times New Roman" w:hAnsi="Times New Roman"/>
          <w:noProof/>
        </w:rPr>
        <w:t>Comme l’i</w:t>
      </w:r>
      <w:r>
        <w:rPr>
          <w:rFonts w:ascii="Times New Roman" w:hAnsi="Times New Roman"/>
          <w:noProof/>
        </w:rPr>
        <w:t>ndique le tableau 2 de l’annexe, l’Espagne est l’État membre qui a soumis le plus grand nombre de demandes (21), suivie par les Pays-Bas (17), l’Italie (13) et la Belgique (12). À la fin 2016, sept</w:t>
      </w:r>
      <w:r>
        <w:rPr>
          <w:rStyle w:val="FootnoteReference"/>
          <w:rFonts w:ascii="Times New Roman" w:hAnsi="Times New Roman"/>
          <w:noProof/>
        </w:rPr>
        <w:footnoteReference w:id="29"/>
      </w:r>
      <w:r>
        <w:rPr>
          <w:rFonts w:ascii="Times New Roman" w:hAnsi="Times New Roman"/>
          <w:noProof/>
        </w:rPr>
        <w:t xml:space="preserve"> États membres n’avaient pas encore introduit de demande d</w:t>
      </w:r>
      <w:r>
        <w:rPr>
          <w:rFonts w:ascii="Times New Roman" w:hAnsi="Times New Roman"/>
          <w:noProof/>
        </w:rPr>
        <w:t xml:space="preserve">’intervention du FEM: Chypre, la Croatie, la Hongrie, la Lettonie, le Luxembourg, le Royaume-Uni et la Slovaquie. </w:t>
      </w: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7472BE">
      <w:pPr>
        <w:rPr>
          <w:rFonts w:ascii="Times New Roman" w:hAnsi="Times New Roman"/>
          <w:b/>
          <w:i/>
          <w:noProof/>
        </w:rPr>
      </w:pPr>
      <w:r>
        <w:rPr>
          <w:rFonts w:ascii="Times New Roman" w:hAnsi="Times New Roman"/>
          <w:b/>
          <w:i/>
          <w:noProof/>
        </w:rPr>
        <w:t>Graphique 7: montants totaux demandés au titre du FEM par État membre entre 2007 et 2016</w:t>
      </w:r>
    </w:p>
    <w:p w:rsidR="00D55D6F" w:rsidRDefault="007472BE">
      <w:pPr>
        <w:spacing w:after="0" w:line="240" w:lineRule="auto"/>
        <w:rPr>
          <w:rFonts w:ascii="Times New Roman" w:eastAsia="Times New Roman" w:hAnsi="Times New Roman" w:cs="Times New Roman"/>
          <w:b/>
          <w:bCs/>
          <w:noProof/>
          <w:color w:val="000000"/>
        </w:rPr>
      </w:pPr>
      <w:r>
        <w:rPr>
          <w:rFonts w:ascii="Times New Roman" w:eastAsia="Times New Roman" w:hAnsi="Times New Roman" w:cs="Times New Roman"/>
          <w:b/>
          <w:bCs/>
          <w:noProof/>
          <w:color w:val="000000"/>
          <w:lang w:val="en-GB" w:eastAsia="en-GB" w:bidi="ar-SA"/>
        </w:rPr>
        <w:drawing>
          <wp:inline distT="0" distB="0" distL="0" distR="0">
            <wp:extent cx="5939758" cy="5099135"/>
            <wp:effectExtent l="0" t="0" r="444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337" cy="5099632"/>
                    </a:xfrm>
                    <a:prstGeom prst="rect">
                      <a:avLst/>
                    </a:prstGeom>
                    <a:noFill/>
                  </pic:spPr>
                </pic:pic>
              </a:graphicData>
            </a:graphic>
          </wp:inline>
        </w:drawing>
      </w:r>
    </w:p>
    <w:p w:rsidR="00D55D6F" w:rsidRDefault="00D55D6F">
      <w:pPr>
        <w:spacing w:after="0" w:line="240" w:lineRule="auto"/>
        <w:rPr>
          <w:rFonts w:ascii="Times New Roman" w:eastAsia="Times New Roman" w:hAnsi="Times New Roman" w:cs="Times New Roman"/>
          <w:b/>
          <w:bCs/>
          <w:noProof/>
          <w:color w:val="000000"/>
        </w:rPr>
      </w:pPr>
    </w:p>
    <w:p w:rsidR="00D55D6F" w:rsidRDefault="007472BE">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lastRenderedPageBreak/>
        <w:t>Montant total demandé au titre du FEM</w:t>
      </w:r>
      <w:r>
        <w:rPr>
          <w:b/>
          <w:noProof/>
          <w:vertAlign w:val="superscript"/>
        </w:rPr>
        <w:footnoteReference w:id="30"/>
      </w:r>
      <w:r>
        <w:rPr>
          <w:rFonts w:ascii="Times New Roman" w:hAnsi="Times New Roman"/>
          <w:b/>
          <w:noProof/>
          <w:color w:val="000000"/>
        </w:rPr>
        <w:t xml:space="preserve"> par État membre: </w:t>
      </w:r>
      <w:r>
        <w:rPr>
          <w:noProof/>
        </w:rPr>
        <w:tab/>
      </w:r>
      <w:r>
        <w:rPr>
          <w:rFonts w:ascii="Times New Roman" w:hAnsi="Times New Roman"/>
          <w:b/>
          <w:noProof/>
          <w:color w:val="000000"/>
        </w:rPr>
        <w:t>592 894 194 EUR</w:t>
      </w:r>
    </w:p>
    <w:p w:rsidR="00D55D6F" w:rsidRDefault="007472BE">
      <w:pPr>
        <w:spacing w:after="0" w:line="240" w:lineRule="auto"/>
        <w:rPr>
          <w:rFonts w:ascii="Times New Roman" w:eastAsia="Times New Roman" w:hAnsi="Times New Roman" w:cs="Times New Roman"/>
          <w:b/>
          <w:bCs/>
          <w:noProof/>
          <w:color w:val="000000"/>
        </w:rPr>
      </w:pPr>
      <w:r>
        <w:rPr>
          <w:rFonts w:ascii="Times New Roman" w:hAnsi="Times New Roman"/>
          <w:b/>
          <w:noProof/>
          <w:color w:val="000000"/>
        </w:rPr>
        <w:t>Montant moyen demandé au titre du FEM par État membre:</w:t>
      </w:r>
      <w:r>
        <w:rPr>
          <w:rFonts w:ascii="Times New Roman" w:hAnsi="Times New Roman"/>
          <w:b/>
          <w:noProof/>
          <w:color w:val="000000"/>
        </w:rPr>
        <w:tab/>
        <w:t>29 644 710 EUR</w:t>
      </w:r>
    </w:p>
    <w:p w:rsidR="00D55D6F" w:rsidRDefault="00D55D6F">
      <w:pPr>
        <w:spacing w:after="0" w:line="240" w:lineRule="auto"/>
        <w:rPr>
          <w:rFonts w:ascii="Times New Roman" w:eastAsia="Times New Roman" w:hAnsi="Times New Roman" w:cs="Times New Roman"/>
          <w:bCs/>
          <w:noProof/>
          <w:color w:val="000000"/>
        </w:rPr>
      </w:pPr>
    </w:p>
    <w:p w:rsidR="00D55D6F" w:rsidRDefault="00D55D6F">
      <w:pPr>
        <w:jc w:val="both"/>
        <w:rPr>
          <w:rFonts w:ascii="Times New Roman" w:eastAsia="Times New Roman" w:hAnsi="Times New Roman" w:cs="Times New Roman"/>
          <w:bCs/>
          <w:noProof/>
          <w:color w:val="000000"/>
        </w:rPr>
      </w:pPr>
    </w:p>
    <w:p w:rsidR="00D55D6F" w:rsidRDefault="007472BE">
      <w:pPr>
        <w:jc w:val="both"/>
        <w:rPr>
          <w:rFonts w:ascii="Times New Roman" w:eastAsia="Times New Roman" w:hAnsi="Times New Roman" w:cs="Times New Roman"/>
          <w:noProof/>
          <w:color w:val="000000"/>
        </w:rPr>
      </w:pPr>
      <w:r>
        <w:rPr>
          <w:rFonts w:ascii="Times New Roman" w:hAnsi="Times New Roman"/>
          <w:noProof/>
          <w:color w:val="000000"/>
        </w:rPr>
        <w:t xml:space="preserve">Entre 2007 et 2016, un montant total de 592 894 194 EUR a été demandé au titre du FEM par 20 États membres. C’est la France qui a demandé le montant le plus élevé (89 760 859 EUR pour 8 demandes), suivie par l’Irlande (67 720 204 EUR pour 10 demandes), le </w:t>
      </w:r>
      <w:r>
        <w:rPr>
          <w:rFonts w:ascii="Times New Roman" w:hAnsi="Times New Roman"/>
          <w:noProof/>
          <w:color w:val="000000"/>
        </w:rPr>
        <w:t xml:space="preserve">Danemark (63 680 782 EUR pour 10 demandes) et l’Italie (60 537 811 EUR pour 13 demandes). </w:t>
      </w:r>
    </w:p>
    <w:p w:rsidR="00D55D6F" w:rsidRDefault="007472BE">
      <w:pPr>
        <w:jc w:val="both"/>
        <w:rPr>
          <w:rFonts w:ascii="Calibri" w:eastAsia="Times New Roman" w:hAnsi="Calibri" w:cs="Times New Roman"/>
          <w:noProof/>
          <w:color w:val="000000"/>
        </w:rPr>
      </w:pPr>
      <w:r>
        <w:rPr>
          <w:rFonts w:ascii="Times New Roman" w:hAnsi="Times New Roman"/>
          <w:noProof/>
          <w:color w:val="000000"/>
        </w:rPr>
        <w:t xml:space="preserve">Le nombre de demandes par an et par État membre est détaillé au tableau 2 de l’annexe. </w:t>
      </w: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D55D6F">
      <w:pPr>
        <w:rPr>
          <w:rFonts w:ascii="Times New Roman" w:hAnsi="Times New Roman"/>
          <w:b/>
          <w:i/>
          <w:noProof/>
        </w:rPr>
      </w:pPr>
    </w:p>
    <w:p w:rsidR="00D55D6F" w:rsidRDefault="007472BE">
      <w:pPr>
        <w:rPr>
          <w:rFonts w:ascii="Times New Roman" w:hAnsi="Times New Roman"/>
          <w:b/>
          <w:i/>
          <w:noProof/>
        </w:rPr>
      </w:pPr>
      <w:r>
        <w:rPr>
          <w:rFonts w:ascii="Times New Roman" w:hAnsi="Times New Roman"/>
          <w:b/>
          <w:i/>
          <w:noProof/>
        </w:rPr>
        <w:t>Graphique 8: nombre de travailleurs visés par État membre entre 2007 et 20</w:t>
      </w:r>
      <w:r>
        <w:rPr>
          <w:rFonts w:ascii="Times New Roman" w:hAnsi="Times New Roman"/>
          <w:b/>
          <w:i/>
          <w:noProof/>
        </w:rPr>
        <w:t>16</w:t>
      </w:r>
    </w:p>
    <w:p w:rsidR="00D55D6F" w:rsidRDefault="007472BE">
      <w:pPr>
        <w:rPr>
          <w:rFonts w:ascii="Times New Roman" w:hAnsi="Times New Roman"/>
          <w:noProof/>
        </w:rPr>
      </w:pPr>
      <w:r>
        <w:rPr>
          <w:rFonts w:ascii="Times New Roman" w:hAnsi="Times New Roman"/>
          <w:noProof/>
          <w:lang w:val="en-GB" w:eastAsia="en-GB" w:bidi="ar-SA"/>
        </w:rPr>
        <w:drawing>
          <wp:inline distT="0" distB="0" distL="0" distR="0">
            <wp:extent cx="6177963" cy="395951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8576" cy="3959903"/>
                    </a:xfrm>
                    <a:prstGeom prst="rect">
                      <a:avLst/>
                    </a:prstGeom>
                    <a:noFill/>
                  </pic:spPr>
                </pic:pic>
              </a:graphicData>
            </a:graphic>
          </wp:inline>
        </w:drawing>
      </w:r>
    </w:p>
    <w:p w:rsidR="00D55D6F" w:rsidRDefault="007472BE">
      <w:pPr>
        <w:spacing w:after="0"/>
        <w:rPr>
          <w:rFonts w:ascii="Calibri" w:eastAsia="Times New Roman" w:hAnsi="Calibri" w:cs="Calibri"/>
          <w:noProof/>
          <w:color w:val="000000"/>
        </w:rPr>
      </w:pPr>
      <w:r>
        <w:rPr>
          <w:rFonts w:ascii="Times New Roman" w:hAnsi="Times New Roman"/>
          <w:b/>
          <w:noProof/>
          <w:color w:val="000000"/>
        </w:rPr>
        <w:t xml:space="preserve">Nombre total de travailleurs visés par État membre: </w:t>
      </w:r>
      <w:r>
        <w:rPr>
          <w:noProof/>
        </w:rPr>
        <w:tab/>
      </w:r>
      <w:r>
        <w:rPr>
          <w:noProof/>
        </w:rPr>
        <w:tab/>
      </w:r>
      <w:r>
        <w:rPr>
          <w:rFonts w:ascii="Times New Roman" w:hAnsi="Times New Roman"/>
          <w:b/>
          <w:noProof/>
          <w:color w:val="000000"/>
        </w:rPr>
        <w:t>137 601</w:t>
      </w:r>
    </w:p>
    <w:p w:rsidR="00D55D6F" w:rsidRDefault="007472BE">
      <w:pPr>
        <w:jc w:val="both"/>
        <w:rPr>
          <w:rFonts w:ascii="Times New Roman" w:eastAsia="Times New Roman" w:hAnsi="Times New Roman"/>
          <w:noProof/>
          <w:color w:val="000000"/>
        </w:rPr>
      </w:pPr>
      <w:r>
        <w:rPr>
          <w:rFonts w:ascii="Times New Roman" w:hAnsi="Times New Roman"/>
          <w:b/>
          <w:noProof/>
          <w:color w:val="000000"/>
        </w:rPr>
        <w:t>Nombre</w:t>
      </w:r>
      <w:r>
        <w:rPr>
          <w:rFonts w:ascii="Times New Roman" w:hAnsi="Times New Roman"/>
          <w:noProof/>
          <w:color w:val="000000"/>
        </w:rPr>
        <w:t xml:space="preserve"> </w:t>
      </w:r>
      <w:r>
        <w:rPr>
          <w:rFonts w:ascii="Times New Roman" w:hAnsi="Times New Roman"/>
          <w:b/>
          <w:noProof/>
          <w:color w:val="000000"/>
        </w:rPr>
        <w:t>moyen de travailleurs visés par État membre:</w:t>
      </w:r>
      <w:r>
        <w:rPr>
          <w:rFonts w:ascii="Times New Roman" w:hAnsi="Times New Roman"/>
          <w:b/>
          <w:noProof/>
          <w:color w:val="000000"/>
        </w:rPr>
        <w:tab/>
      </w:r>
      <w:r>
        <w:rPr>
          <w:rFonts w:ascii="Times New Roman" w:hAnsi="Times New Roman"/>
          <w:b/>
          <w:noProof/>
          <w:color w:val="000000"/>
        </w:rPr>
        <w:tab/>
        <w:t>6 880</w:t>
      </w:r>
    </w:p>
    <w:p w:rsidR="00D55D6F" w:rsidRDefault="007472BE">
      <w:pPr>
        <w:jc w:val="both"/>
        <w:rPr>
          <w:rFonts w:ascii="Times New Roman" w:eastAsia="Times New Roman" w:hAnsi="Times New Roman"/>
          <w:noProof/>
          <w:color w:val="000000"/>
        </w:rPr>
      </w:pPr>
      <w:r>
        <w:rPr>
          <w:rFonts w:ascii="Times New Roman" w:hAnsi="Times New Roman"/>
          <w:noProof/>
          <w:color w:val="000000"/>
        </w:rPr>
        <w:t>Entre 2007 et 2016, les demandes reçues (à l’exclusion des demandes retirées et rejetées) de la part des 20 États membres ont visé</w:t>
      </w:r>
      <w:r>
        <w:rPr>
          <w:rFonts w:ascii="Times New Roman" w:hAnsi="Times New Roman"/>
          <w:noProof/>
          <w:color w:val="000000"/>
        </w:rPr>
        <w:t xml:space="preserve"> 137 601 travailleurs. Au cours des dix dernières années, la France a </w:t>
      </w:r>
      <w:r>
        <w:rPr>
          <w:rFonts w:ascii="Times New Roman" w:hAnsi="Times New Roman"/>
          <w:noProof/>
          <w:color w:val="000000"/>
        </w:rPr>
        <w:lastRenderedPageBreak/>
        <w:t xml:space="preserve">demandé une aide pour le plus grand nombre de travailleurs (17 586), suivie par l’Allemagne (14 517), l’Espagne (14 468) et la Belgique (14 162). </w:t>
      </w:r>
    </w:p>
    <w:p w:rsidR="00D55D6F" w:rsidRDefault="007472BE">
      <w:pPr>
        <w:jc w:val="both"/>
        <w:rPr>
          <w:rFonts w:ascii="Times New Roman" w:eastAsia="Times New Roman" w:hAnsi="Times New Roman" w:cs="Times New Roman"/>
          <w:noProof/>
          <w:color w:val="000000"/>
        </w:rPr>
      </w:pPr>
      <w:r>
        <w:rPr>
          <w:rFonts w:ascii="Times New Roman" w:hAnsi="Times New Roman"/>
          <w:noProof/>
          <w:color w:val="000000"/>
        </w:rPr>
        <w:t xml:space="preserve">Neuf demandes soumises par trois États </w:t>
      </w:r>
      <w:r>
        <w:rPr>
          <w:rFonts w:ascii="Times New Roman" w:hAnsi="Times New Roman"/>
          <w:noProof/>
          <w:color w:val="000000"/>
        </w:rPr>
        <w:t>membres sur la période 2014-2016 visaient 2 944 NEET. Les États membres suivants ont sollicité une aide en faveur des NEET: la Belgique (2 demandes pour 400 NEET), la Grèce (4 demandes pour 2 098 NEET) et l’Irlande (3 demandes pour 446 NEET).</w:t>
      </w:r>
    </w:p>
    <w:p w:rsidR="00D55D6F" w:rsidRDefault="007472BE">
      <w:pPr>
        <w:jc w:val="both"/>
        <w:rPr>
          <w:rFonts w:ascii="Times New Roman" w:eastAsia="Times New Roman" w:hAnsi="Times New Roman" w:cs="Times New Roman"/>
          <w:noProof/>
          <w:color w:val="000000"/>
        </w:rPr>
      </w:pPr>
      <w:r>
        <w:rPr>
          <w:rFonts w:ascii="Times New Roman" w:hAnsi="Times New Roman"/>
          <w:noProof/>
          <w:color w:val="000000"/>
        </w:rPr>
        <w:t xml:space="preserve">Le nombre de </w:t>
      </w:r>
      <w:r>
        <w:rPr>
          <w:rFonts w:ascii="Times New Roman" w:hAnsi="Times New Roman"/>
          <w:noProof/>
          <w:color w:val="000000"/>
        </w:rPr>
        <w:t xml:space="preserve">demandes par an et par État membre est détaillé au tableau 2 de l’annexe. </w:t>
      </w:r>
    </w:p>
    <w:p w:rsidR="00D55D6F" w:rsidRDefault="007472BE">
      <w:pPr>
        <w:rPr>
          <w:rFonts w:ascii="Times New Roman" w:hAnsi="Times New Roman"/>
          <w:b/>
          <w:i/>
          <w:noProof/>
        </w:rPr>
      </w:pPr>
      <w:r>
        <w:rPr>
          <w:noProof/>
        </w:rPr>
        <w:br w:type="page"/>
      </w:r>
    </w:p>
    <w:p w:rsidR="00D55D6F" w:rsidRDefault="007472BE">
      <w:pPr>
        <w:rPr>
          <w:rFonts w:ascii="Times New Roman" w:hAnsi="Times New Roman"/>
          <w:b/>
          <w:i/>
          <w:noProof/>
        </w:rPr>
      </w:pPr>
      <w:r>
        <w:rPr>
          <w:rFonts w:ascii="Times New Roman" w:hAnsi="Times New Roman"/>
          <w:b/>
          <w:i/>
          <w:noProof/>
        </w:rPr>
        <w:lastRenderedPageBreak/>
        <w:t>Graphique 9: nombre de demandes par secteur (NACE Rév. 2), entre 2007 et 2016*</w:t>
      </w:r>
    </w:p>
    <w:p w:rsidR="00D55D6F" w:rsidRDefault="007472BE">
      <w:pPr>
        <w:rPr>
          <w:rFonts w:ascii="Times New Roman" w:hAnsi="Times New Roman"/>
          <w:noProof/>
        </w:rPr>
      </w:pPr>
      <w:r>
        <w:rPr>
          <w:noProof/>
          <w:lang w:val="en-GB" w:eastAsia="en-GB" w:bidi="ar-SA"/>
        </w:rPr>
        <w:drawing>
          <wp:inline distT="0" distB="0" distL="0" distR="0">
            <wp:extent cx="5760720" cy="5017181"/>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5017181"/>
                    </a:xfrm>
                    <a:prstGeom prst="rect">
                      <a:avLst/>
                    </a:prstGeom>
                    <a:noFill/>
                    <a:ln>
                      <a:noFill/>
                    </a:ln>
                  </pic:spPr>
                </pic:pic>
              </a:graphicData>
            </a:graphic>
          </wp:inline>
        </w:drawing>
      </w:r>
    </w:p>
    <w:p w:rsidR="00D55D6F" w:rsidRDefault="007472BE">
      <w:pPr>
        <w:jc w:val="both"/>
        <w:rPr>
          <w:rFonts w:ascii="Times New Roman" w:hAnsi="Times New Roman"/>
          <w:i/>
          <w:noProof/>
          <w:sz w:val="18"/>
          <w:szCs w:val="18"/>
        </w:rPr>
      </w:pPr>
      <w:r>
        <w:rPr>
          <w:rFonts w:ascii="Times New Roman" w:hAnsi="Times New Roman"/>
          <w:i/>
          <w:noProof/>
          <w:sz w:val="18"/>
        </w:rPr>
        <w:t>* La demande EGF/2016/003 EE/Petroleum and chemicals couvre deux secteurs différents (19 et 20) et</w:t>
      </w:r>
      <w:r>
        <w:rPr>
          <w:rFonts w:ascii="Times New Roman" w:hAnsi="Times New Roman"/>
          <w:i/>
          <w:noProof/>
          <w:sz w:val="18"/>
        </w:rPr>
        <w:t xml:space="preserve"> est donc comptabilisée deux fois.</w:t>
      </w:r>
    </w:p>
    <w:p w:rsidR="00D55D6F" w:rsidRDefault="007472BE">
      <w:pPr>
        <w:spacing w:after="0"/>
        <w:jc w:val="both"/>
        <w:rPr>
          <w:rFonts w:ascii="Times New Roman" w:hAnsi="Times New Roman"/>
          <w:b/>
          <w:noProof/>
        </w:rPr>
      </w:pPr>
      <w:r>
        <w:rPr>
          <w:rFonts w:ascii="Times New Roman" w:hAnsi="Times New Roman"/>
          <w:b/>
          <w:noProof/>
        </w:rPr>
        <w:t>Nombre total de secteurs: 34</w:t>
      </w:r>
    </w:p>
    <w:p w:rsidR="00D55D6F" w:rsidRDefault="00D55D6F">
      <w:pPr>
        <w:spacing w:after="0"/>
        <w:jc w:val="both"/>
        <w:rPr>
          <w:rFonts w:ascii="Times New Roman" w:eastAsia="Times New Roman" w:hAnsi="Times New Roman" w:cs="Times New Roman"/>
          <w:noProof/>
          <w:color w:val="000000"/>
        </w:rPr>
      </w:pPr>
    </w:p>
    <w:p w:rsidR="00D55D6F" w:rsidRDefault="00D55D6F">
      <w:pPr>
        <w:spacing w:after="0"/>
        <w:jc w:val="both"/>
        <w:rPr>
          <w:rFonts w:ascii="Times New Roman" w:eastAsia="Times New Roman" w:hAnsi="Times New Roman" w:cs="Times New Roman"/>
          <w:noProof/>
          <w:color w:val="000000"/>
        </w:rPr>
      </w:pPr>
    </w:p>
    <w:p w:rsidR="00D55D6F" w:rsidRDefault="007472BE">
      <w:pPr>
        <w:spacing w:after="0"/>
        <w:jc w:val="both"/>
        <w:rPr>
          <w:rFonts w:ascii="Times New Roman" w:eastAsia="Times New Roman" w:hAnsi="Times New Roman" w:cs="Times New Roman"/>
          <w:noProof/>
          <w:color w:val="000000"/>
        </w:rPr>
      </w:pPr>
      <w:r>
        <w:rPr>
          <w:rFonts w:ascii="Times New Roman" w:hAnsi="Times New Roman"/>
          <w:noProof/>
          <w:color w:val="000000"/>
        </w:rPr>
        <w:t>Entre 2007 et 2016, la Commission a reçu 147 demandes d’intervention du FEM émanant d’un large éventail de secteurs (34). Le plus grand nombre de demandes reçues concernait le secteur des vé</w:t>
      </w:r>
      <w:r>
        <w:rPr>
          <w:rFonts w:ascii="Times New Roman" w:hAnsi="Times New Roman"/>
          <w:noProof/>
          <w:color w:val="000000"/>
        </w:rPr>
        <w:t xml:space="preserve">hicules automobiles, remorques et semi-remorques (23 demandes), suivi par le secteur des produits informatiques, électroniques et optiques (16 demandes) et le secteur des machines et équipements n.c.a. (14 demandes). </w:t>
      </w:r>
    </w:p>
    <w:p w:rsidR="00D55D6F" w:rsidRDefault="007472BE">
      <w:pPr>
        <w:jc w:val="both"/>
        <w:rPr>
          <w:rFonts w:ascii="Times New Roman" w:eastAsia="Times New Roman" w:hAnsi="Times New Roman" w:cs="Times New Roman"/>
          <w:noProof/>
          <w:color w:val="000000"/>
        </w:rPr>
      </w:pPr>
      <w:r>
        <w:rPr>
          <w:rFonts w:ascii="Times New Roman" w:hAnsi="Times New Roman"/>
          <w:noProof/>
          <w:color w:val="000000"/>
        </w:rPr>
        <w:t>Les demandes reçues par secteur sont d</w:t>
      </w:r>
      <w:r>
        <w:rPr>
          <w:rFonts w:ascii="Times New Roman" w:hAnsi="Times New Roman"/>
          <w:noProof/>
          <w:color w:val="000000"/>
        </w:rPr>
        <w:t>étaillées au tableau 1 de l’annexe.</w:t>
      </w:r>
    </w:p>
    <w:p w:rsidR="00D55D6F" w:rsidRDefault="007472BE">
      <w:pPr>
        <w:rPr>
          <w:rFonts w:ascii="Times New Roman" w:hAnsi="Times New Roman"/>
          <w:b/>
          <w:i/>
          <w:noProof/>
        </w:rPr>
      </w:pPr>
      <w:r>
        <w:rPr>
          <w:noProof/>
        </w:rPr>
        <w:br w:type="page"/>
      </w:r>
    </w:p>
    <w:p w:rsidR="00D55D6F" w:rsidRDefault="007472BE">
      <w:pPr>
        <w:rPr>
          <w:rFonts w:ascii="Times New Roman" w:hAnsi="Times New Roman"/>
          <w:b/>
          <w:i/>
          <w:noProof/>
        </w:rPr>
      </w:pPr>
      <w:r>
        <w:rPr>
          <w:rFonts w:ascii="Times New Roman" w:hAnsi="Times New Roman"/>
          <w:b/>
          <w:i/>
          <w:noProof/>
        </w:rPr>
        <w:lastRenderedPageBreak/>
        <w:t>Graphique 10: nombre de travailleurs visés par secteur (NACE Rév. 2), entre 2007 et 2016*</w:t>
      </w:r>
    </w:p>
    <w:p w:rsidR="00D55D6F" w:rsidRDefault="007472BE">
      <w:pPr>
        <w:rPr>
          <w:rFonts w:ascii="Times New Roman" w:hAnsi="Times New Roman"/>
          <w:noProof/>
        </w:rPr>
      </w:pPr>
      <w:r>
        <w:rPr>
          <w:noProof/>
          <w:lang w:val="en-GB" w:eastAsia="en-GB" w:bidi="ar-SA"/>
        </w:rPr>
        <w:drawing>
          <wp:inline distT="0" distB="0" distL="0" distR="0">
            <wp:extent cx="5835650" cy="347281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36937" cy="3473576"/>
                    </a:xfrm>
                    <a:prstGeom prst="rect">
                      <a:avLst/>
                    </a:prstGeom>
                    <a:noFill/>
                    <a:ln>
                      <a:noFill/>
                    </a:ln>
                  </pic:spPr>
                </pic:pic>
              </a:graphicData>
            </a:graphic>
          </wp:inline>
        </w:drawing>
      </w:r>
    </w:p>
    <w:p w:rsidR="00D55D6F" w:rsidRDefault="007472BE">
      <w:pPr>
        <w:jc w:val="both"/>
        <w:rPr>
          <w:rFonts w:ascii="Times New Roman" w:hAnsi="Times New Roman"/>
          <w:i/>
          <w:noProof/>
          <w:sz w:val="18"/>
          <w:szCs w:val="18"/>
        </w:rPr>
      </w:pPr>
      <w:r>
        <w:rPr>
          <w:rFonts w:ascii="Times New Roman" w:hAnsi="Times New Roman"/>
          <w:i/>
          <w:noProof/>
          <w:sz w:val="18"/>
        </w:rPr>
        <w:t>* La demande EGF/2016/003 EE/Petroleum and chemicals couvre deux secteurs différents (19 et 20). Les 800 travailleurs visés pa</w:t>
      </w:r>
      <w:r>
        <w:rPr>
          <w:rFonts w:ascii="Times New Roman" w:hAnsi="Times New Roman"/>
          <w:i/>
          <w:noProof/>
          <w:sz w:val="18"/>
        </w:rPr>
        <w:t>r cette demande sont donc repris deux fois dans la liste.</w:t>
      </w:r>
    </w:p>
    <w:p w:rsidR="00D55D6F" w:rsidRDefault="007472BE">
      <w:pPr>
        <w:spacing w:after="0"/>
        <w:jc w:val="both"/>
        <w:rPr>
          <w:rFonts w:ascii="Times New Roman" w:hAnsi="Times New Roman"/>
          <w:b/>
          <w:noProof/>
        </w:rPr>
      </w:pPr>
      <w:r>
        <w:rPr>
          <w:rFonts w:ascii="Times New Roman" w:hAnsi="Times New Roman"/>
          <w:b/>
          <w:noProof/>
        </w:rPr>
        <w:t xml:space="preserve">Nombre total de travailleurs visés dans les 34 secteurs: </w:t>
      </w:r>
      <w:r>
        <w:rPr>
          <w:noProof/>
        </w:rPr>
        <w:tab/>
      </w:r>
      <w:r>
        <w:rPr>
          <w:rFonts w:ascii="Times New Roman" w:hAnsi="Times New Roman"/>
          <w:b/>
          <w:noProof/>
        </w:rPr>
        <w:t>137 601</w:t>
      </w:r>
    </w:p>
    <w:p w:rsidR="00D55D6F" w:rsidRDefault="00D55D6F">
      <w:pPr>
        <w:spacing w:after="0"/>
        <w:jc w:val="both"/>
        <w:rPr>
          <w:rFonts w:ascii="Times New Roman" w:hAnsi="Times New Roman"/>
          <w:b/>
          <w:noProof/>
        </w:rPr>
      </w:pPr>
    </w:p>
    <w:p w:rsidR="00D55D6F" w:rsidRDefault="00D55D6F">
      <w:pPr>
        <w:spacing w:after="0"/>
        <w:jc w:val="both"/>
        <w:rPr>
          <w:rFonts w:ascii="Times New Roman" w:hAnsi="Times New Roman"/>
          <w:b/>
          <w:noProof/>
        </w:rPr>
      </w:pPr>
    </w:p>
    <w:p w:rsidR="00D55D6F" w:rsidRDefault="007472BE">
      <w:pPr>
        <w:jc w:val="both"/>
        <w:rPr>
          <w:rFonts w:ascii="Times New Roman" w:hAnsi="Times New Roman"/>
          <w:noProof/>
        </w:rPr>
      </w:pPr>
      <w:r>
        <w:rPr>
          <w:rFonts w:ascii="Times New Roman" w:hAnsi="Times New Roman"/>
          <w:noProof/>
        </w:rPr>
        <w:t>Entre 2007 et 2016, les demandes d’intervention du FEM reçues par la Commission de la part de 20 États membres ont visé 137 601 tr</w:t>
      </w:r>
      <w:r>
        <w:rPr>
          <w:rFonts w:ascii="Times New Roman" w:hAnsi="Times New Roman"/>
          <w:noProof/>
        </w:rPr>
        <w:t>availleurs qui ont été licenciés dans 34 secteurs différents. Le plus grand nombre de travailleurs visés par l’intervention émanait du secteur des véhicules automobiles, remorques et semi-remorques (33 202), suivi par le secteur des produits informatiques,</w:t>
      </w:r>
      <w:r>
        <w:rPr>
          <w:rFonts w:ascii="Times New Roman" w:hAnsi="Times New Roman"/>
          <w:noProof/>
        </w:rPr>
        <w:t xml:space="preserve"> électroniques et optiques (19 488) et par l’industrie textile (12 008). </w:t>
      </w:r>
    </w:p>
    <w:p w:rsidR="00D55D6F" w:rsidRDefault="007472BE">
      <w:pPr>
        <w:rPr>
          <w:rFonts w:ascii="Times New Roman" w:hAnsi="Times New Roman"/>
          <w:b/>
          <w:i/>
          <w:noProof/>
          <w:sz w:val="24"/>
          <w:szCs w:val="24"/>
        </w:rPr>
      </w:pPr>
      <w:r>
        <w:rPr>
          <w:noProof/>
        </w:rPr>
        <w:br w:type="page"/>
      </w:r>
    </w:p>
    <w:p w:rsidR="00D55D6F" w:rsidRDefault="007472BE">
      <w:pPr>
        <w:rPr>
          <w:rFonts w:ascii="Times New Roman" w:hAnsi="Times New Roman"/>
          <w:b/>
          <w:i/>
          <w:noProof/>
        </w:rPr>
      </w:pPr>
      <w:r>
        <w:rPr>
          <w:rFonts w:ascii="Times New Roman" w:hAnsi="Times New Roman"/>
          <w:b/>
          <w:i/>
          <w:noProof/>
        </w:rPr>
        <w:lastRenderedPageBreak/>
        <w:t>Graphique 11: montant moyen demandé au titre du FEM par bénéficiaire et par État membre, entre 2007 et 2016</w:t>
      </w:r>
    </w:p>
    <w:p w:rsidR="00D55D6F" w:rsidRDefault="007472BE">
      <w:pPr>
        <w:rPr>
          <w:rFonts w:ascii="Times New Roman" w:hAnsi="Times New Roman"/>
          <w:i/>
          <w:noProof/>
        </w:rPr>
      </w:pPr>
      <w:r>
        <w:rPr>
          <w:rFonts w:ascii="Times New Roman" w:hAnsi="Times New Roman"/>
          <w:i/>
          <w:noProof/>
          <w:lang w:val="en-GB" w:eastAsia="en-GB" w:bidi="ar-SA"/>
        </w:rPr>
        <w:drawing>
          <wp:inline distT="0" distB="0" distL="0" distR="0">
            <wp:extent cx="5975268" cy="394959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1990" cy="3954037"/>
                    </a:xfrm>
                    <a:prstGeom prst="rect">
                      <a:avLst/>
                    </a:prstGeom>
                    <a:noFill/>
                  </pic:spPr>
                </pic:pic>
              </a:graphicData>
            </a:graphic>
          </wp:inline>
        </w:drawing>
      </w:r>
    </w:p>
    <w:p w:rsidR="00D55D6F" w:rsidRDefault="00D55D6F">
      <w:pPr>
        <w:spacing w:after="0"/>
        <w:rPr>
          <w:rFonts w:ascii="Times New Roman" w:hAnsi="Times New Roman"/>
          <w:b/>
          <w:noProof/>
        </w:rPr>
      </w:pPr>
    </w:p>
    <w:p w:rsidR="00D55D6F" w:rsidRDefault="007472BE">
      <w:pPr>
        <w:spacing w:after="0"/>
        <w:rPr>
          <w:rFonts w:ascii="Times New Roman" w:hAnsi="Times New Roman"/>
          <w:b/>
          <w:noProof/>
        </w:rPr>
      </w:pPr>
      <w:r>
        <w:rPr>
          <w:rFonts w:ascii="Times New Roman" w:hAnsi="Times New Roman"/>
          <w:b/>
          <w:noProof/>
        </w:rPr>
        <w:t xml:space="preserve">Montant moyen demandé au titre du FEM par bénéficiaire et par État </w:t>
      </w:r>
      <w:r>
        <w:rPr>
          <w:rFonts w:ascii="Times New Roman" w:hAnsi="Times New Roman"/>
          <w:b/>
          <w:noProof/>
        </w:rPr>
        <w:t>membre:    4 229 </w:t>
      </w:r>
      <w:r>
        <w:rPr>
          <w:rFonts w:ascii="Times New Roman" w:hAnsi="Times New Roman"/>
          <w:b/>
          <w:noProof/>
          <w:color w:val="000000"/>
        </w:rPr>
        <w:t>EUR</w:t>
      </w:r>
    </w:p>
    <w:p w:rsidR="00D55D6F" w:rsidRDefault="00D55D6F">
      <w:pPr>
        <w:spacing w:after="0"/>
        <w:rPr>
          <w:rFonts w:ascii="Times New Roman" w:hAnsi="Times New Roman"/>
          <w:b/>
          <w:noProof/>
        </w:rPr>
      </w:pPr>
    </w:p>
    <w:p w:rsidR="00D55D6F" w:rsidRDefault="007472BE">
      <w:pPr>
        <w:jc w:val="both"/>
        <w:rPr>
          <w:rFonts w:ascii="Times New Roman" w:hAnsi="Times New Roman"/>
          <w:noProof/>
        </w:rPr>
      </w:pPr>
      <w:r>
        <w:rPr>
          <w:rFonts w:ascii="Times New Roman" w:hAnsi="Times New Roman"/>
          <w:noProof/>
        </w:rPr>
        <w:t>En moyenne, chacun des 20 États membres ayant sollicité l’intervention du FEM entre 2007 et 2016 a demandé un montant de 4 219 EUR par bénéficiaire visé. Le montant sollicité par bénéficiaire visé peut varier en fonction de la gravité</w:t>
      </w:r>
      <w:r>
        <w:rPr>
          <w:rFonts w:ascii="Times New Roman" w:hAnsi="Times New Roman"/>
          <w:noProof/>
        </w:rPr>
        <w:t xml:space="preserve"> du licenciement, de la situation sur le marché du travail, de la situation personnelle des bénéficiaires, des mesures déjà prévues par l’État membre et du coût de prestation des services dans l’État membre ou la région concernés. Le plus grand montant par</w:t>
      </w:r>
      <w:r>
        <w:rPr>
          <w:rFonts w:ascii="Times New Roman" w:hAnsi="Times New Roman"/>
          <w:noProof/>
        </w:rPr>
        <w:t xml:space="preserve"> bénéficiaire a été demandé par l’Autriche (14 343 EUR), suivie par le Danemark (10 215 EUR). </w:t>
      </w:r>
    </w:p>
    <w:sectPr w:rsidR="00D55D6F">
      <w:headerReference w:type="even" r:id="rId71"/>
      <w:headerReference w:type="default" r:id="rId72"/>
      <w:footerReference w:type="even" r:id="rId73"/>
      <w:footerReference w:type="default" r:id="rId74"/>
      <w:headerReference w:type="first" r:id="rId75"/>
      <w:footerReference w:type="firs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2BE" w:rsidRDefault="007472BE">
      <w:pPr>
        <w:spacing w:after="0" w:line="240" w:lineRule="auto"/>
      </w:pPr>
      <w:r>
        <w:separator/>
      </w:r>
    </w:p>
  </w:endnote>
  <w:endnote w:type="continuationSeparator" w:id="0">
    <w:p w:rsidR="007472BE" w:rsidRDefault="007472BE">
      <w:pPr>
        <w:spacing w:after="0" w:line="240" w:lineRule="auto"/>
      </w:pPr>
      <w:r>
        <w:continuationSeparator/>
      </w:r>
    </w:p>
  </w:endnote>
  <w:endnote w:type="continuationNotice" w:id="1">
    <w:p w:rsidR="007472BE" w:rsidRDefault="007472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550385"/>
      <w:docPartObj>
        <w:docPartGallery w:val="Page Numbers (Bottom of Page)"/>
        <w:docPartUnique/>
      </w:docPartObj>
    </w:sdtPr>
    <w:sdtEndPr>
      <w:rPr>
        <w:noProof/>
      </w:rPr>
    </w:sdtEndPr>
    <w:sdtContent>
      <w:p w:rsidR="00D55D6F" w:rsidRDefault="007472BE">
        <w:pPr>
          <w:pStyle w:val="Footer"/>
          <w:jc w:val="center"/>
        </w:pPr>
        <w:r>
          <w:fldChar w:fldCharType="begin"/>
        </w:r>
        <w:r>
          <w:instrText xml:space="preserve"> PAGE   \* MERGEFORMAT </w:instrText>
        </w:r>
        <w:r>
          <w:fldChar w:fldCharType="separate"/>
        </w:r>
        <w:r w:rsidR="00AB67B7">
          <w:rPr>
            <w:noProof/>
          </w:rPr>
          <w:t>14</w:t>
        </w:r>
        <w:r>
          <w:rPr>
            <w:noProof/>
          </w:rPr>
          <w:fldChar w:fldCharType="end"/>
        </w:r>
      </w:p>
    </w:sdtContent>
  </w:sdt>
  <w:p w:rsidR="00D55D6F" w:rsidRDefault="00D55D6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48795"/>
      <w:docPartObj>
        <w:docPartGallery w:val="Page Numbers (Bottom of Page)"/>
        <w:docPartUnique/>
      </w:docPartObj>
    </w:sdtPr>
    <w:sdtEndPr>
      <w:rPr>
        <w:noProof/>
      </w:rPr>
    </w:sdtEndPr>
    <w:sdtContent>
      <w:p w:rsidR="00D55D6F" w:rsidRDefault="007472BE">
        <w:pPr>
          <w:pStyle w:val="Footer"/>
          <w:jc w:val="center"/>
        </w:pPr>
        <w:r>
          <w:fldChar w:fldCharType="begin"/>
        </w:r>
        <w:r>
          <w:instrText xml:space="preserve"> PAGE   \* MERGEFORMAT </w:instrText>
        </w:r>
        <w:r>
          <w:fldChar w:fldCharType="separate"/>
        </w:r>
        <w:r w:rsidR="00AB67B7">
          <w:rPr>
            <w:noProof/>
          </w:rPr>
          <w:t>16</w:t>
        </w:r>
        <w:r>
          <w:rPr>
            <w:noProof/>
          </w:rPr>
          <w:fldChar w:fldCharType="end"/>
        </w:r>
      </w:p>
    </w:sdtContent>
  </w:sdt>
  <w:p w:rsidR="00D55D6F" w:rsidRDefault="00D55D6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9144"/>
      <w:docPartObj>
        <w:docPartGallery w:val="Page Numbers (Bottom of Page)"/>
        <w:docPartUnique/>
      </w:docPartObj>
    </w:sdtPr>
    <w:sdtEndPr>
      <w:rPr>
        <w:noProof/>
      </w:rPr>
    </w:sdtEndPr>
    <w:sdtContent>
      <w:p w:rsidR="00D55D6F" w:rsidRDefault="007472BE">
        <w:pPr>
          <w:pStyle w:val="Footer"/>
          <w:jc w:val="center"/>
        </w:pPr>
        <w:r>
          <w:fldChar w:fldCharType="begin"/>
        </w:r>
        <w:r>
          <w:instrText xml:space="preserve"> PAGE   \* MERGEFORMAT </w:instrText>
        </w:r>
        <w:r>
          <w:fldChar w:fldCharType="separate"/>
        </w:r>
        <w:r w:rsidR="00AB67B7">
          <w:rPr>
            <w:noProof/>
          </w:rPr>
          <w:t>19</w:t>
        </w:r>
        <w:r>
          <w:rPr>
            <w:noProof/>
          </w:rPr>
          <w:fldChar w:fldCharType="end"/>
        </w:r>
      </w:p>
    </w:sdtContent>
  </w:sdt>
  <w:p w:rsidR="00D55D6F" w:rsidRDefault="00D55D6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7472BE">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121334"/>
      <w:docPartObj>
        <w:docPartGallery w:val="Page Numbers (Bottom of Page)"/>
        <w:docPartUnique/>
      </w:docPartObj>
    </w:sdtPr>
    <w:sdtEndPr>
      <w:rPr>
        <w:noProof/>
      </w:rPr>
    </w:sdtEndPr>
    <w:sdtContent>
      <w:p w:rsidR="00D55D6F" w:rsidRDefault="007472BE">
        <w:pPr>
          <w:pStyle w:val="Footer"/>
          <w:jc w:val="center"/>
        </w:pPr>
        <w:r>
          <w:fldChar w:fldCharType="begin"/>
        </w:r>
        <w:r>
          <w:instrText xml:space="preserve"> PAGE   \* MERGEFORMAT </w:instrText>
        </w:r>
        <w:r>
          <w:fldChar w:fldCharType="separate"/>
        </w:r>
        <w:r w:rsidR="00AB67B7">
          <w:rPr>
            <w:noProof/>
          </w:rPr>
          <w:t>21</w:t>
        </w:r>
        <w:r>
          <w:rPr>
            <w:noProof/>
          </w:rPr>
          <w:fldChar w:fldCharType="end"/>
        </w:r>
      </w:p>
    </w:sdtContent>
  </w:sdt>
  <w:p w:rsidR="00D55D6F" w:rsidRDefault="00D55D6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019227"/>
      <w:docPartObj>
        <w:docPartGallery w:val="Page Numbers (Bottom of Page)"/>
        <w:docPartUnique/>
      </w:docPartObj>
    </w:sdtPr>
    <w:sdtEndPr>
      <w:rPr>
        <w:noProof/>
      </w:rPr>
    </w:sdtEndPr>
    <w:sdtContent>
      <w:p w:rsidR="00D55D6F" w:rsidRDefault="007472BE">
        <w:pPr>
          <w:pStyle w:val="Footer"/>
          <w:jc w:val="center"/>
        </w:pPr>
        <w:r>
          <w:fldChar w:fldCharType="begin"/>
        </w:r>
        <w:r>
          <w:instrText xml:space="preserve"> PAGE   \* MERGEFORMAT </w:instrText>
        </w:r>
        <w:r>
          <w:fldChar w:fldCharType="separate"/>
        </w:r>
        <w:r w:rsidR="00AB67B7">
          <w:rPr>
            <w:noProof/>
          </w:rPr>
          <w:t>33</w:t>
        </w:r>
        <w:r>
          <w:rPr>
            <w:noProof/>
          </w:rPr>
          <w:fldChar w:fldCharType="end"/>
        </w:r>
      </w:p>
    </w:sdtContent>
  </w:sdt>
  <w:p w:rsidR="00D55D6F" w:rsidRDefault="00D55D6F">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92784"/>
      <w:docPartObj>
        <w:docPartGallery w:val="Page Numbers (Bottom of Page)"/>
        <w:docPartUnique/>
      </w:docPartObj>
    </w:sdtPr>
    <w:sdtEndPr>
      <w:rPr>
        <w:noProof/>
      </w:rPr>
    </w:sdtEndPr>
    <w:sdtContent>
      <w:p w:rsidR="00D55D6F" w:rsidRDefault="007472BE">
        <w:pPr>
          <w:pStyle w:val="Footer"/>
          <w:jc w:val="center"/>
        </w:pPr>
        <w:r>
          <w:fldChar w:fldCharType="begin"/>
        </w:r>
        <w:r>
          <w:instrText xml:space="preserve"> PAGE   \* MERGEFORMAT </w:instrText>
        </w:r>
        <w:r>
          <w:fldChar w:fldCharType="separate"/>
        </w:r>
        <w:r w:rsidR="00AB67B7">
          <w:rPr>
            <w:noProof/>
          </w:rPr>
          <w:t>2</w:t>
        </w:r>
        <w:r>
          <w:rPr>
            <w:noProof/>
          </w:rPr>
          <w:fldChar w:fldCharType="end"/>
        </w:r>
      </w:p>
    </w:sdtContent>
  </w:sdt>
  <w:p w:rsidR="00D55D6F" w:rsidRDefault="00D55D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348124"/>
      <w:docPartObj>
        <w:docPartGallery w:val="Page Numbers (Bottom of Page)"/>
        <w:docPartUnique/>
      </w:docPartObj>
    </w:sdtPr>
    <w:sdtEndPr>
      <w:rPr>
        <w:noProof/>
      </w:rPr>
    </w:sdtEndPr>
    <w:sdtContent>
      <w:p w:rsidR="00D55D6F" w:rsidRDefault="007472BE">
        <w:pPr>
          <w:pStyle w:val="Footer"/>
          <w:jc w:val="center"/>
        </w:pPr>
        <w:r>
          <w:fldChar w:fldCharType="begin"/>
        </w:r>
        <w:r>
          <w:instrText xml:space="preserve"> PAGE   \* MERGEFORMAT </w:instrText>
        </w:r>
        <w:r>
          <w:fldChar w:fldCharType="separate"/>
        </w:r>
        <w:r w:rsidR="00AB67B7">
          <w:rPr>
            <w:noProof/>
          </w:rPr>
          <w:t>7</w:t>
        </w:r>
        <w:r>
          <w:rPr>
            <w:noProof/>
          </w:rPr>
          <w:fldChar w:fldCharType="end"/>
        </w:r>
      </w:p>
    </w:sdtContent>
  </w:sdt>
  <w:p w:rsidR="00D55D6F" w:rsidRDefault="00D55D6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2BE" w:rsidRDefault="007472BE">
      <w:pPr>
        <w:spacing w:after="0" w:line="240" w:lineRule="auto"/>
      </w:pPr>
      <w:r>
        <w:separator/>
      </w:r>
    </w:p>
  </w:footnote>
  <w:footnote w:type="continuationSeparator" w:id="0">
    <w:p w:rsidR="007472BE" w:rsidRDefault="007472BE">
      <w:pPr>
        <w:spacing w:after="0" w:line="240" w:lineRule="auto"/>
      </w:pPr>
      <w:r>
        <w:continuationSeparator/>
      </w:r>
    </w:p>
  </w:footnote>
  <w:footnote w:type="continuationNotice" w:id="1">
    <w:p w:rsidR="007472BE" w:rsidRDefault="007472BE">
      <w:pPr>
        <w:spacing w:after="0" w:line="240" w:lineRule="auto"/>
      </w:pPr>
    </w:p>
  </w:footnote>
  <w:footnote w:id="2">
    <w:p w:rsidR="00D55D6F" w:rsidRDefault="007472BE">
      <w:pPr>
        <w:pStyle w:val="FootnoteText"/>
        <w:jc w:val="both"/>
        <w:rPr>
          <w:rFonts w:cs="Times New Roman"/>
          <w:sz w:val="18"/>
          <w:szCs w:val="18"/>
        </w:rPr>
      </w:pPr>
      <w:r>
        <w:rPr>
          <w:rStyle w:val="FootnoteReference"/>
        </w:rPr>
        <w:footnoteRef/>
      </w:r>
      <w:r>
        <w:rPr>
          <w:sz w:val="18"/>
        </w:rPr>
        <w:t xml:space="preserve"> Règlement (CE) nº 1927/2006 du Parlement européen et du Conseil du 20 décembre 2006 portant création du Fonds européen d’ajustement à la mondialisation. </w:t>
      </w:r>
    </w:p>
    <w:p w:rsidR="00D55D6F" w:rsidRDefault="00D55D6F">
      <w:pPr>
        <w:pStyle w:val="FootnoteText"/>
        <w:jc w:val="both"/>
        <w:rPr>
          <w:rFonts w:cs="Times New Roman"/>
          <w:sz w:val="18"/>
          <w:szCs w:val="18"/>
        </w:rPr>
      </w:pPr>
    </w:p>
  </w:footnote>
  <w:footnote w:id="3">
    <w:p w:rsidR="00D55D6F" w:rsidRDefault="007472BE">
      <w:pPr>
        <w:pStyle w:val="FootnoteText"/>
        <w:jc w:val="both"/>
        <w:rPr>
          <w:rFonts w:cs="Times New Roman"/>
          <w:sz w:val="18"/>
          <w:szCs w:val="18"/>
        </w:rPr>
      </w:pPr>
      <w:r>
        <w:rPr>
          <w:rStyle w:val="FootnoteReference"/>
        </w:rPr>
        <w:footnoteRef/>
      </w:r>
      <w:r>
        <w:rPr>
          <w:sz w:val="18"/>
        </w:rPr>
        <w:t xml:space="preserve"> Règlement (CE) nº 546/2009 du Parlement européen et du Conseil du 18 juin 2009 modifiant le règlem</w:t>
      </w:r>
      <w:r>
        <w:rPr>
          <w:sz w:val="18"/>
        </w:rPr>
        <w:t xml:space="preserve">ent (CE) nº 1927/2006 portant création du Fonds européen d’ajustement à la mondialisation. </w:t>
      </w:r>
    </w:p>
    <w:p w:rsidR="00D55D6F" w:rsidRDefault="00D55D6F">
      <w:pPr>
        <w:pStyle w:val="FootnoteText"/>
        <w:jc w:val="both"/>
        <w:rPr>
          <w:rFonts w:cs="Times New Roman"/>
          <w:sz w:val="18"/>
          <w:szCs w:val="18"/>
        </w:rPr>
      </w:pPr>
    </w:p>
  </w:footnote>
  <w:footnote w:id="4">
    <w:p w:rsidR="00D55D6F" w:rsidRDefault="007472BE">
      <w:pPr>
        <w:pStyle w:val="FootnoteText"/>
        <w:jc w:val="both"/>
        <w:rPr>
          <w:rFonts w:cs="Times New Roman"/>
          <w:sz w:val="18"/>
          <w:szCs w:val="18"/>
        </w:rPr>
      </w:pPr>
      <w:r>
        <w:rPr>
          <w:rStyle w:val="FootnoteReference"/>
        </w:rPr>
        <w:footnoteRef/>
      </w:r>
      <w:r>
        <w:rPr>
          <w:rStyle w:val="FootnoteReference"/>
        </w:rPr>
        <w:t xml:space="preserve"> </w:t>
      </w:r>
      <w:r>
        <w:rPr>
          <w:sz w:val="18"/>
        </w:rPr>
        <w:t>Règlement (UE) nº 1309/2013 du Parlement européen et du Conseil du 17 décembre 2013 relatif au Fonds européen d’ajustement à la mondialisation pour la période 20</w:t>
      </w:r>
      <w:r>
        <w:rPr>
          <w:sz w:val="18"/>
        </w:rPr>
        <w:t>14-2020 et abrogeant le règlement (CE) nº 1927/2006.</w:t>
      </w:r>
    </w:p>
    <w:p w:rsidR="00D55D6F" w:rsidRDefault="00D55D6F">
      <w:pPr>
        <w:pStyle w:val="FootnoteText"/>
        <w:jc w:val="both"/>
        <w:rPr>
          <w:rFonts w:cs="Times New Roman"/>
        </w:rPr>
      </w:pPr>
    </w:p>
  </w:footnote>
  <w:footnote w:id="5">
    <w:p w:rsidR="00D55D6F" w:rsidRDefault="007472BE">
      <w:pPr>
        <w:pStyle w:val="FootnoteText"/>
        <w:rPr>
          <w:sz w:val="18"/>
          <w:szCs w:val="18"/>
        </w:rPr>
      </w:pPr>
      <w:r>
        <w:rPr>
          <w:rStyle w:val="FootnoteReference"/>
        </w:rPr>
        <w:footnoteRef/>
      </w:r>
      <w:r>
        <w:rPr>
          <w:rStyle w:val="FootnoteReference"/>
        </w:rPr>
        <w:t xml:space="preserve"> </w:t>
      </w:r>
      <w:r>
        <w:rPr>
          <w:sz w:val="18"/>
        </w:rPr>
        <w:t>La prolongation de cette dérogation jusqu’à la fin de la période de programmation (2014-2020) a été proposée par la Commission et fait l’objet de discussions dans le cadre du réexamen du cadre financi</w:t>
      </w:r>
      <w:r>
        <w:rPr>
          <w:sz w:val="18"/>
        </w:rPr>
        <w:t>er pluriannuel (CFP).</w:t>
      </w:r>
    </w:p>
  </w:footnote>
  <w:footnote w:id="6">
    <w:p w:rsidR="00D55D6F" w:rsidRDefault="007472BE">
      <w:pPr>
        <w:pStyle w:val="FootnoteText"/>
        <w:rPr>
          <w:rFonts w:cs="Times New Roman"/>
          <w:color w:val="000000" w:themeColor="text1"/>
          <w:sz w:val="18"/>
          <w:szCs w:val="18"/>
        </w:rPr>
      </w:pPr>
      <w:r>
        <w:rPr>
          <w:rStyle w:val="FootnoteReference"/>
        </w:rPr>
        <w:footnoteRef/>
      </w:r>
      <w:r>
        <w:rPr>
          <w:rStyle w:val="FootnoteReference"/>
        </w:rPr>
        <w:t xml:space="preserve"> </w:t>
      </w:r>
      <w:r>
        <w:rPr>
          <w:color w:val="000000" w:themeColor="text1"/>
          <w:sz w:val="18"/>
        </w:rPr>
        <w:t>Demandes reçues entre le 1</w:t>
      </w:r>
      <w:r>
        <w:rPr>
          <w:color w:val="000000" w:themeColor="text1"/>
          <w:sz w:val="18"/>
          <w:vertAlign w:val="superscript"/>
        </w:rPr>
        <w:t>er</w:t>
      </w:r>
      <w:r>
        <w:rPr>
          <w:color w:val="000000" w:themeColor="text1"/>
          <w:sz w:val="18"/>
        </w:rPr>
        <w:t xml:space="preserve"> janvier 2015 et le 31 décembre 2016. </w:t>
      </w:r>
    </w:p>
  </w:footnote>
  <w:footnote w:id="7">
    <w:p w:rsidR="00D55D6F" w:rsidRDefault="007472BE">
      <w:pPr>
        <w:spacing w:after="0"/>
        <w:rPr>
          <w:rFonts w:cs="Times New Roman"/>
          <w:sz w:val="18"/>
          <w:szCs w:val="18"/>
        </w:rPr>
      </w:pPr>
      <w:r>
        <w:rPr>
          <w:rStyle w:val="FootnoteReference"/>
          <w:rFonts w:ascii="Times New Roman" w:hAnsi="Times New Roman"/>
          <w:sz w:val="18"/>
        </w:rPr>
        <w:footnoteRef/>
      </w:r>
      <w:r>
        <w:rPr>
          <w:rStyle w:val="FootnoteReference"/>
          <w:rFonts w:ascii="Times New Roman" w:hAnsi="Times New Roman"/>
          <w:sz w:val="18"/>
        </w:rPr>
        <w:t xml:space="preserve"> </w:t>
      </w:r>
      <w:r>
        <w:rPr>
          <w:rFonts w:ascii="Times New Roman" w:hAnsi="Times New Roman"/>
          <w:color w:val="000000" w:themeColor="text1"/>
          <w:sz w:val="18"/>
        </w:rPr>
        <w:t>Des informations détaillées sur les demandes ayant fait l’objet d’un retrait sont données à la section 3.3.</w:t>
      </w:r>
      <w:r>
        <w:rPr>
          <w:rFonts w:ascii="Times New Roman" w:hAnsi="Times New Roman"/>
          <w:sz w:val="18"/>
        </w:rPr>
        <w:t xml:space="preserve"> </w:t>
      </w:r>
    </w:p>
  </w:footnote>
  <w:footnote w:id="8">
    <w:p w:rsidR="00D55D6F" w:rsidRDefault="007472BE">
      <w:pPr>
        <w:pStyle w:val="FootnoteText"/>
        <w:rPr>
          <w:sz w:val="18"/>
        </w:rPr>
      </w:pPr>
      <w:r>
        <w:rPr>
          <w:rStyle w:val="FootnoteReference"/>
          <w:sz w:val="18"/>
        </w:rPr>
        <w:footnoteRef/>
      </w:r>
      <w:r>
        <w:rPr>
          <w:sz w:val="18"/>
        </w:rPr>
        <w:t xml:space="preserve"> Ce montant ne tient pas compte des décisions relatives à l’assistance technique. </w:t>
      </w:r>
    </w:p>
  </w:footnote>
  <w:footnote w:id="9">
    <w:p w:rsidR="00D55D6F" w:rsidRDefault="007472BE">
      <w:pPr>
        <w:pStyle w:val="FootnoteText"/>
        <w:rPr>
          <w:sz w:val="18"/>
          <w:szCs w:val="18"/>
        </w:rPr>
      </w:pPr>
      <w:r>
        <w:rPr>
          <w:rStyle w:val="FootnoteReference"/>
          <w:sz w:val="18"/>
        </w:rPr>
        <w:footnoteRef/>
      </w:r>
      <w:r>
        <w:rPr>
          <w:rStyle w:val="FootnoteReference"/>
          <w:sz w:val="18"/>
        </w:rPr>
        <w:t xml:space="preserve"> </w:t>
      </w:r>
      <w:r>
        <w:rPr>
          <w:sz w:val="18"/>
        </w:rPr>
        <w:t>COM(2016) 605 final.</w:t>
      </w:r>
    </w:p>
  </w:footnote>
  <w:footnote w:id="10">
    <w:p w:rsidR="00D55D6F" w:rsidRDefault="007472BE">
      <w:pPr>
        <w:spacing w:after="0"/>
        <w:jc w:val="both"/>
        <w:rPr>
          <w:sz w:val="18"/>
          <w:szCs w:val="18"/>
        </w:rPr>
      </w:pPr>
      <w:r>
        <w:rPr>
          <w:rStyle w:val="FootnoteReference"/>
          <w:sz w:val="20"/>
        </w:rPr>
        <w:footnoteRef/>
      </w:r>
      <w:r>
        <w:rPr>
          <w:rStyle w:val="FootnoteReference"/>
          <w:sz w:val="20"/>
        </w:rPr>
        <w:t xml:space="preserve"> </w:t>
      </w:r>
      <w:r>
        <w:rPr>
          <w:rFonts w:ascii="Times New Roman" w:hAnsi="Times New Roman"/>
          <w:sz w:val="18"/>
        </w:rPr>
        <w:t>Dans le présent rapport, le terme «bénéficiaire» désigne les travailleurs et les NEET à aider.</w:t>
      </w:r>
    </w:p>
  </w:footnote>
  <w:footnote w:id="11">
    <w:p w:rsidR="00D55D6F" w:rsidRDefault="007472BE">
      <w:pPr>
        <w:pStyle w:val="FootnoteText"/>
        <w:rPr>
          <w:sz w:val="18"/>
          <w:szCs w:val="18"/>
        </w:rPr>
      </w:pPr>
      <w:r>
        <w:rPr>
          <w:rStyle w:val="FootnoteReference"/>
        </w:rPr>
        <w:footnoteRef/>
      </w:r>
      <w:r>
        <w:rPr>
          <w:sz w:val="18"/>
        </w:rPr>
        <w:t xml:space="preserve"> Le tableau 2 reprend les caractéristiques des contr</w:t>
      </w:r>
      <w:r>
        <w:rPr>
          <w:sz w:val="18"/>
        </w:rPr>
        <w:t xml:space="preserve">ibutions accordées en 2015 et 2016, tandis que le tableau 1 recense les caractéristiques des demandes reçues sur la même période. Les dossiers présentés dans chaque tableau peuvent différer. </w:t>
      </w:r>
    </w:p>
  </w:footnote>
  <w:footnote w:id="12">
    <w:p w:rsidR="00D55D6F" w:rsidRDefault="007472BE">
      <w:pPr>
        <w:pStyle w:val="FootnoteText"/>
        <w:rPr>
          <w:sz w:val="18"/>
          <w:szCs w:val="18"/>
        </w:rPr>
      </w:pPr>
      <w:r>
        <w:rPr>
          <w:rStyle w:val="FootnoteReference"/>
        </w:rPr>
        <w:footnoteRef/>
      </w:r>
      <w:r>
        <w:rPr>
          <w:rStyle w:val="FootnoteReference"/>
        </w:rPr>
        <w:t xml:space="preserve"> </w:t>
      </w:r>
      <w:r>
        <w:rPr>
          <w:sz w:val="18"/>
        </w:rPr>
        <w:t>Les trois dossiers EGF/2013/007 BE/Hainaut Steel, EGF/2013/009</w:t>
      </w:r>
      <w:r>
        <w:rPr>
          <w:sz w:val="18"/>
        </w:rPr>
        <w:t xml:space="preserve"> PL/Zachem et EGF/2013/011 BE/Saint-Gobain Sekurit ont été reçus avant 2014; par conséquent, l’ancien règlement (CE) nº 1927/2006 était toujours applicable. </w:t>
      </w:r>
    </w:p>
  </w:footnote>
  <w:footnote w:id="13">
    <w:p w:rsidR="00D55D6F" w:rsidRDefault="007472BE">
      <w:pPr>
        <w:pStyle w:val="FootnoteText"/>
      </w:pPr>
      <w:r>
        <w:rPr>
          <w:rStyle w:val="FootnoteReference"/>
        </w:rPr>
        <w:footnoteRef/>
      </w:r>
      <w:r>
        <w:t xml:space="preserve"> </w:t>
      </w:r>
      <w:r>
        <w:rPr>
          <w:sz w:val="18"/>
        </w:rPr>
        <w:t>Ce montant ne tient pas compte des décisions relatives à l’assistance technique.</w:t>
      </w:r>
    </w:p>
  </w:footnote>
  <w:footnote w:id="14">
    <w:p w:rsidR="00D55D6F" w:rsidRDefault="007472BE">
      <w:pPr>
        <w:pStyle w:val="FootnoteText"/>
        <w:jc w:val="both"/>
        <w:rPr>
          <w:rFonts w:cs="Times New Roman"/>
          <w:sz w:val="18"/>
          <w:szCs w:val="18"/>
        </w:rPr>
      </w:pPr>
      <w:r>
        <w:rPr>
          <w:rStyle w:val="FootnoteReference"/>
        </w:rPr>
        <w:footnoteRef/>
      </w:r>
      <w:r>
        <w:rPr>
          <w:sz w:val="18"/>
        </w:rPr>
        <w:t xml:space="preserve"> Recommandatio</w:t>
      </w:r>
      <w:r>
        <w:rPr>
          <w:sz w:val="18"/>
        </w:rPr>
        <w:t>n du Conseil du 22 avril 2013 sur l’établissement d’une garantie pour la jeunesse (JO C 120 du 26.4.2013). Le nombre de jeunes sans emploi, ne suivant ni enseignement ni formationrecevant une aide du FEM ne doit pas dépasser le nombre de bénéficiaires cibl</w:t>
      </w:r>
      <w:r>
        <w:rPr>
          <w:sz w:val="18"/>
        </w:rPr>
        <w:t xml:space="preserve">és. </w:t>
      </w:r>
    </w:p>
  </w:footnote>
  <w:footnote w:id="15">
    <w:p w:rsidR="00D55D6F" w:rsidRDefault="007472BE">
      <w:pPr>
        <w:pStyle w:val="FootnoteText"/>
        <w:rPr>
          <w:sz w:val="18"/>
          <w:szCs w:val="18"/>
        </w:rPr>
      </w:pPr>
      <w:r>
        <w:rPr>
          <w:rStyle w:val="FootnoteReference"/>
        </w:rPr>
        <w:footnoteRef/>
      </w:r>
      <w:r>
        <w:rPr>
          <w:sz w:val="18"/>
        </w:rPr>
        <w:t xml:space="preserve"> Les résultats pour le dossier EGF/2012/006 FI/Nokia Salo ont été présentés dans le précédent rapport bisannuel, étant donné que le rapport final avait été remis en 2014 en dépit du délai fixé en 2015.</w:t>
      </w:r>
    </w:p>
  </w:footnote>
  <w:footnote w:id="16">
    <w:p w:rsidR="00D55D6F" w:rsidRDefault="007472BE">
      <w:pPr>
        <w:pStyle w:val="FootnoteText"/>
        <w:jc w:val="both"/>
        <w:rPr>
          <w:rFonts w:cs="Times New Roman"/>
          <w:sz w:val="18"/>
          <w:szCs w:val="18"/>
        </w:rPr>
      </w:pPr>
      <w:r>
        <w:rPr>
          <w:rStyle w:val="FootnoteReference"/>
        </w:rPr>
        <w:footnoteRef/>
      </w:r>
      <w:r>
        <w:rPr>
          <w:rStyle w:val="FootnoteReference"/>
        </w:rPr>
        <w:t xml:space="preserve"> </w:t>
      </w:r>
      <w:r>
        <w:rPr>
          <w:sz w:val="18"/>
        </w:rPr>
        <w:t xml:space="preserve">Les rapports finaux doivent être soumis six mois après la fin de la mise en œuvre. </w:t>
      </w:r>
    </w:p>
    <w:p w:rsidR="00D55D6F" w:rsidRDefault="00D55D6F">
      <w:pPr>
        <w:pStyle w:val="FootnoteText"/>
        <w:jc w:val="both"/>
        <w:rPr>
          <w:rStyle w:val="FootnoteReference"/>
          <w:rFonts w:cs="Times New Roman"/>
          <w:sz w:val="18"/>
          <w:szCs w:val="18"/>
        </w:rPr>
      </w:pPr>
    </w:p>
  </w:footnote>
  <w:footnote w:id="17">
    <w:p w:rsidR="00D55D6F" w:rsidRDefault="007472BE">
      <w:pPr>
        <w:pStyle w:val="FootnoteText"/>
        <w:rPr>
          <w:sz w:val="18"/>
          <w:szCs w:val="18"/>
        </w:rPr>
      </w:pPr>
      <w:r>
        <w:rPr>
          <w:rStyle w:val="FootnoteReference"/>
        </w:rPr>
        <w:footnoteRef/>
      </w:r>
      <w:r>
        <w:rPr>
          <w:rStyle w:val="FootnoteReference"/>
        </w:rPr>
        <w:t xml:space="preserve"> </w:t>
      </w:r>
      <w:r>
        <w:rPr>
          <w:color w:val="000000" w:themeColor="text1"/>
          <w:sz w:val="18"/>
        </w:rPr>
        <w:t>Avec</w:t>
      </w:r>
      <w:r>
        <w:t xml:space="preserve"> </w:t>
      </w:r>
      <w:r>
        <w:rPr>
          <w:color w:val="000000" w:themeColor="text1"/>
          <w:sz w:val="18"/>
        </w:rPr>
        <w:t xml:space="preserve">l’entrée en vigueur du règlement (UE) nº 1309/2013, les allocations ont été plafonnées à un maximum de 35 % de l’ensemble des coûts. </w:t>
      </w:r>
    </w:p>
  </w:footnote>
  <w:footnote w:id="18">
    <w:p w:rsidR="00D55D6F" w:rsidRDefault="007472BE">
      <w:pPr>
        <w:pStyle w:val="FootnoteText"/>
        <w:rPr>
          <w:sz w:val="18"/>
          <w:szCs w:val="18"/>
        </w:rPr>
      </w:pPr>
      <w:r>
        <w:rPr>
          <w:rStyle w:val="FootnoteReference"/>
          <w:sz w:val="18"/>
        </w:rPr>
        <w:footnoteRef/>
      </w:r>
      <w:r>
        <w:rPr>
          <w:rStyle w:val="FootnoteReference"/>
          <w:sz w:val="18"/>
        </w:rPr>
        <w:t xml:space="preserve"> </w:t>
      </w:r>
      <w:r>
        <w:rPr>
          <w:color w:val="000000" w:themeColor="text1"/>
          <w:sz w:val="18"/>
        </w:rPr>
        <w:t xml:space="preserve">Il convient de noter que ces dossiers diffèrent de ceux qui font l’objet du présent rapport bisannuel. Si le présent rapport couvre les activités du FEM en 2015 et 2016 et inclut les dossiers présentés au titre du règlement (CE) nº 1927/2006, l’évaluation </w:t>
      </w:r>
      <w:r>
        <w:rPr>
          <w:color w:val="000000" w:themeColor="text1"/>
          <w:sz w:val="18"/>
        </w:rPr>
        <w:t xml:space="preserve">à mi-parcours porte sur tous les dossiers soumis au titre du règlement </w:t>
      </w:r>
      <w:r>
        <w:rPr>
          <w:sz w:val="18"/>
        </w:rPr>
        <w:t>(UE) nº 1309/2013</w:t>
      </w:r>
      <w:r>
        <w:rPr>
          <w:color w:val="000000" w:themeColor="text1"/>
          <w:sz w:val="18"/>
        </w:rPr>
        <w:t>.</w:t>
      </w:r>
    </w:p>
    <w:p w:rsidR="00D55D6F" w:rsidRDefault="00D55D6F">
      <w:pPr>
        <w:pStyle w:val="FootnoteText"/>
      </w:pPr>
    </w:p>
  </w:footnote>
  <w:footnote w:id="19">
    <w:p w:rsidR="00D55D6F" w:rsidRDefault="007472BE">
      <w:pPr>
        <w:pStyle w:val="FootnoteText"/>
        <w:rPr>
          <w:sz w:val="18"/>
          <w:szCs w:val="18"/>
        </w:rPr>
      </w:pPr>
      <w:r>
        <w:rPr>
          <w:rStyle w:val="FootnoteReference"/>
        </w:rPr>
        <w:footnoteRef/>
      </w:r>
      <w:r>
        <w:rPr>
          <w:sz w:val="18"/>
        </w:rPr>
        <w:t xml:space="preserve"> COM(2016) 605 final.</w:t>
      </w:r>
    </w:p>
  </w:footnote>
  <w:footnote w:id="20">
    <w:p w:rsidR="00D55D6F" w:rsidRDefault="007472BE">
      <w:pPr>
        <w:pStyle w:val="FootnoteText"/>
        <w:rPr>
          <w:sz w:val="18"/>
        </w:rPr>
      </w:pPr>
      <w:r>
        <w:rPr>
          <w:rStyle w:val="FootnoteReference"/>
        </w:rPr>
        <w:footnoteRef/>
      </w:r>
      <w:r>
        <w:t xml:space="preserve"> </w:t>
      </w:r>
      <w:r>
        <w:rPr>
          <w:sz w:val="18"/>
        </w:rPr>
        <w:t>Ce montant ne tient pas compte des décisions relatives à l’assistance technique.</w:t>
      </w:r>
    </w:p>
  </w:footnote>
  <w:footnote w:id="21">
    <w:p w:rsidR="00D55D6F" w:rsidRDefault="007472BE">
      <w:pPr>
        <w:pStyle w:val="FootnoteText"/>
        <w:rPr>
          <w:sz w:val="18"/>
          <w:szCs w:val="18"/>
        </w:rPr>
      </w:pPr>
      <w:r>
        <w:rPr>
          <w:rStyle w:val="FootnoteReference"/>
          <w:sz w:val="18"/>
        </w:rPr>
        <w:footnoteRef/>
      </w:r>
      <w:r>
        <w:rPr>
          <w:sz w:val="18"/>
        </w:rPr>
        <w:t xml:space="preserve"> JO L 347 du 20.12.2013.</w:t>
      </w:r>
    </w:p>
  </w:footnote>
  <w:footnote w:id="22">
    <w:p w:rsidR="00D55D6F" w:rsidRDefault="007472BE">
      <w:pPr>
        <w:pStyle w:val="FootnoteText"/>
        <w:rPr>
          <w:sz w:val="18"/>
        </w:rPr>
      </w:pPr>
      <w:r>
        <w:rPr>
          <w:rStyle w:val="FootnoteReference"/>
          <w:sz w:val="18"/>
        </w:rPr>
        <w:footnoteRef/>
      </w:r>
      <w:r>
        <w:rPr>
          <w:sz w:val="18"/>
        </w:rPr>
        <w:t xml:space="preserve"> Ces montants concernent le budg</w:t>
      </w:r>
      <w:r>
        <w:rPr>
          <w:sz w:val="18"/>
        </w:rPr>
        <w:t xml:space="preserve">et voté. </w:t>
      </w:r>
    </w:p>
  </w:footnote>
  <w:footnote w:id="23">
    <w:p w:rsidR="00D55D6F" w:rsidRDefault="007472BE">
      <w:pPr>
        <w:pStyle w:val="CommentText"/>
        <w:spacing w:after="0"/>
        <w:rPr>
          <w:sz w:val="18"/>
          <w:szCs w:val="18"/>
        </w:rPr>
      </w:pPr>
      <w:r>
        <w:rPr>
          <w:rStyle w:val="FootnoteReference"/>
          <w:sz w:val="18"/>
        </w:rPr>
        <w:footnoteRef/>
      </w:r>
      <w:r>
        <w:rPr>
          <w:rStyle w:val="FootnoteReference"/>
          <w:sz w:val="18"/>
        </w:rPr>
        <w:t xml:space="preserve"> </w:t>
      </w:r>
      <w:r>
        <w:rPr>
          <w:sz w:val="18"/>
        </w:rPr>
        <w:t>La contribution du FEM est versée en une seule fois à l’État membre sous la forme d’un préfinancement de 100 % dans les quinze jours suivant l’approbation de la décision de mobilisation du FEM par l’autorité budgétaire.</w:t>
      </w:r>
    </w:p>
  </w:footnote>
  <w:footnote w:id="24">
    <w:p w:rsidR="00D55D6F" w:rsidRDefault="007472BE">
      <w:pPr>
        <w:pStyle w:val="FootnoteText"/>
        <w:rPr>
          <w:sz w:val="18"/>
          <w:szCs w:val="18"/>
        </w:rPr>
      </w:pPr>
      <w:r>
        <w:rPr>
          <w:rStyle w:val="FootnoteReference"/>
          <w:sz w:val="18"/>
        </w:rPr>
        <w:footnoteRef/>
      </w:r>
      <w:r>
        <w:rPr>
          <w:sz w:val="18"/>
        </w:rPr>
        <w:t xml:space="preserve"> Y compris quatre décis</w:t>
      </w:r>
      <w:r>
        <w:rPr>
          <w:sz w:val="18"/>
        </w:rPr>
        <w:t>ions de mobilisation en 2014 dont le paiement est intervenu en 2015.</w:t>
      </w:r>
    </w:p>
  </w:footnote>
  <w:footnote w:id="25">
    <w:p w:rsidR="00D55D6F" w:rsidRDefault="007472BE">
      <w:pPr>
        <w:pStyle w:val="FootnoteText"/>
        <w:rPr>
          <w:sz w:val="18"/>
          <w:szCs w:val="18"/>
        </w:rPr>
      </w:pPr>
      <w:r>
        <w:rPr>
          <w:rStyle w:val="FootnoteReference"/>
        </w:rPr>
        <w:footnoteRef/>
      </w:r>
      <w:r>
        <w:rPr>
          <w:sz w:val="18"/>
        </w:rPr>
        <w:t xml:space="preserve"> http://ec.europa.eu/egf – disponible dans l’ensemble des 23 langues de l’UE, y compris en gaélique. </w:t>
      </w:r>
    </w:p>
    <w:p w:rsidR="00D55D6F" w:rsidRDefault="00D55D6F">
      <w:pPr>
        <w:pStyle w:val="FootnoteText"/>
      </w:pPr>
    </w:p>
  </w:footnote>
  <w:footnote w:id="26">
    <w:p w:rsidR="00D55D6F" w:rsidRDefault="007472BE">
      <w:pPr>
        <w:pStyle w:val="FootnoteText"/>
        <w:rPr>
          <w:sz w:val="18"/>
          <w:szCs w:val="18"/>
        </w:rPr>
      </w:pPr>
      <w:r>
        <w:rPr>
          <w:rStyle w:val="FootnoteReference"/>
        </w:rPr>
        <w:footnoteRef/>
      </w:r>
      <w:r>
        <w:rPr>
          <w:rStyle w:val="FootnoteReference"/>
        </w:rPr>
        <w:t xml:space="preserve"> </w:t>
      </w:r>
      <w:r>
        <w:rPr>
          <w:sz w:val="18"/>
        </w:rPr>
        <w:t>Ce chiffre atteint 166 si l’on tient compte des 19 dossiers retirés ou rejetés. L</w:t>
      </w:r>
      <w:r>
        <w:rPr>
          <w:sz w:val="18"/>
        </w:rPr>
        <w:t xml:space="preserve">es dossiers retirés et rejetés ne sont pas pris en considération dans les statistiques. </w:t>
      </w:r>
    </w:p>
  </w:footnote>
  <w:footnote w:id="27">
    <w:p w:rsidR="00D55D6F" w:rsidRDefault="007472BE">
      <w:pPr>
        <w:pStyle w:val="FootnoteText"/>
        <w:rPr>
          <w:sz w:val="18"/>
          <w:szCs w:val="18"/>
        </w:rPr>
      </w:pPr>
      <w:r>
        <w:rPr>
          <w:rStyle w:val="FootnoteReference"/>
        </w:rPr>
        <w:footnoteRef/>
      </w:r>
      <w:r>
        <w:rPr>
          <w:rStyle w:val="FootnoteReference"/>
        </w:rPr>
        <w:t xml:space="preserve"> </w:t>
      </w:r>
      <w:r>
        <w:rPr>
          <w:sz w:val="18"/>
        </w:rPr>
        <w:t xml:space="preserve">Estimation par les États membres du nombre de bénéficiaires visés. </w:t>
      </w:r>
    </w:p>
  </w:footnote>
  <w:footnote w:id="28">
    <w:p w:rsidR="00D55D6F" w:rsidRDefault="007472BE">
      <w:pPr>
        <w:pStyle w:val="FootnoteText"/>
        <w:rPr>
          <w:sz w:val="18"/>
          <w:szCs w:val="18"/>
        </w:rPr>
      </w:pPr>
      <w:r>
        <w:rPr>
          <w:rStyle w:val="FootnoteReference"/>
        </w:rPr>
        <w:footnoteRef/>
      </w:r>
      <w:r>
        <w:rPr>
          <w:rStyle w:val="FootnoteReference"/>
        </w:rPr>
        <w:t xml:space="preserve"> </w:t>
      </w:r>
      <w:r>
        <w:rPr>
          <w:sz w:val="18"/>
        </w:rPr>
        <w:t>En 2007, 2008, 2012 et 2013, seul le critère «commerce» était admissible.</w:t>
      </w:r>
    </w:p>
  </w:footnote>
  <w:footnote w:id="29">
    <w:p w:rsidR="00D55D6F" w:rsidRDefault="007472BE">
      <w:pPr>
        <w:pStyle w:val="FootnoteText"/>
      </w:pPr>
      <w:r>
        <w:rPr>
          <w:rStyle w:val="FootnoteReference"/>
        </w:rPr>
        <w:footnoteRef/>
      </w:r>
      <w:r>
        <w:t xml:space="preserve"> </w:t>
      </w:r>
      <w:r>
        <w:rPr>
          <w:sz w:val="18"/>
        </w:rPr>
        <w:t>La Bulgarie a intro</w:t>
      </w:r>
      <w:r>
        <w:rPr>
          <w:sz w:val="18"/>
        </w:rPr>
        <w:t>duit la demande EGF/2009/022 Kremikovtsi AD Basic metals, mais celle-ci a été rejetée.</w:t>
      </w:r>
      <w:r>
        <w:t xml:space="preserve"> </w:t>
      </w:r>
    </w:p>
  </w:footnote>
  <w:footnote w:id="30">
    <w:p w:rsidR="00D55D6F" w:rsidRDefault="007472BE">
      <w:pPr>
        <w:pStyle w:val="FootnoteText"/>
        <w:rPr>
          <w:sz w:val="18"/>
          <w:szCs w:val="18"/>
        </w:rPr>
      </w:pPr>
      <w:r>
        <w:rPr>
          <w:rStyle w:val="FootnoteReference"/>
        </w:rPr>
        <w:footnoteRef/>
      </w:r>
      <w:r>
        <w:rPr>
          <w:sz w:val="18"/>
        </w:rPr>
        <w:t xml:space="preserve"> La Bulgarie a sollicité 1 082 337 EUR qui n’ont jamais été versés, puisque la demande a été rejetée. Par conséquent, la contribution sollicitée par la Bulgarie n’est </w:t>
      </w:r>
      <w:r>
        <w:rPr>
          <w:sz w:val="18"/>
        </w:rPr>
        <w:t>pas comprise dans ce montant total.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D6F" w:rsidRDefault="00D55D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55E6"/>
    <w:multiLevelType w:val="hybridMultilevel"/>
    <w:tmpl w:val="36C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9415E0"/>
    <w:multiLevelType w:val="hybridMultilevel"/>
    <w:tmpl w:val="E39A47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D5703C"/>
    <w:multiLevelType w:val="hybridMultilevel"/>
    <w:tmpl w:val="1842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5B51E3"/>
    <w:multiLevelType w:val="hybridMultilevel"/>
    <w:tmpl w:val="6E1C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CB8204E"/>
    <w:multiLevelType w:val="hybridMultilevel"/>
    <w:tmpl w:val="0F14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14475EE"/>
    <w:multiLevelType w:val="hybridMultilevel"/>
    <w:tmpl w:val="02FA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5F9021B"/>
    <w:multiLevelType w:val="hybridMultilevel"/>
    <w:tmpl w:val="0DE68E32"/>
    <w:lvl w:ilvl="0" w:tplc="08090001">
      <w:start w:val="1"/>
      <w:numFmt w:val="bullet"/>
      <w:lvlText w:val=""/>
      <w:lvlJc w:val="left"/>
      <w:pPr>
        <w:ind w:left="912" w:hanging="360"/>
      </w:pPr>
      <w:rPr>
        <w:rFonts w:ascii="Symbol" w:hAnsi="Symbol" w:hint="default"/>
      </w:rPr>
    </w:lvl>
    <w:lvl w:ilvl="1" w:tplc="08090003">
      <w:start w:val="1"/>
      <w:numFmt w:val="bullet"/>
      <w:lvlText w:val="o"/>
      <w:lvlJc w:val="left"/>
      <w:pPr>
        <w:ind w:left="1632" w:hanging="360"/>
      </w:pPr>
      <w:rPr>
        <w:rFonts w:ascii="Courier New" w:hAnsi="Courier New" w:cs="Times New Roman" w:hint="default"/>
      </w:rPr>
    </w:lvl>
    <w:lvl w:ilvl="2" w:tplc="08090005">
      <w:start w:val="1"/>
      <w:numFmt w:val="bullet"/>
      <w:lvlText w:val=""/>
      <w:lvlJc w:val="left"/>
      <w:pPr>
        <w:ind w:left="2352" w:hanging="360"/>
      </w:pPr>
      <w:rPr>
        <w:rFonts w:ascii="Wingdings" w:hAnsi="Wingdings" w:hint="default"/>
      </w:rPr>
    </w:lvl>
    <w:lvl w:ilvl="3" w:tplc="08090001">
      <w:start w:val="1"/>
      <w:numFmt w:val="bullet"/>
      <w:lvlText w:val=""/>
      <w:lvlJc w:val="left"/>
      <w:pPr>
        <w:ind w:left="3072" w:hanging="360"/>
      </w:pPr>
      <w:rPr>
        <w:rFonts w:ascii="Symbol" w:hAnsi="Symbol" w:hint="default"/>
      </w:rPr>
    </w:lvl>
    <w:lvl w:ilvl="4" w:tplc="08090003">
      <w:start w:val="1"/>
      <w:numFmt w:val="bullet"/>
      <w:lvlText w:val="o"/>
      <w:lvlJc w:val="left"/>
      <w:pPr>
        <w:ind w:left="3792" w:hanging="360"/>
      </w:pPr>
      <w:rPr>
        <w:rFonts w:ascii="Courier New" w:hAnsi="Courier New" w:cs="Times New Roman" w:hint="default"/>
      </w:rPr>
    </w:lvl>
    <w:lvl w:ilvl="5" w:tplc="08090005">
      <w:start w:val="1"/>
      <w:numFmt w:val="bullet"/>
      <w:lvlText w:val=""/>
      <w:lvlJc w:val="left"/>
      <w:pPr>
        <w:ind w:left="4512" w:hanging="360"/>
      </w:pPr>
      <w:rPr>
        <w:rFonts w:ascii="Wingdings" w:hAnsi="Wingdings" w:hint="default"/>
      </w:rPr>
    </w:lvl>
    <w:lvl w:ilvl="6" w:tplc="08090001">
      <w:start w:val="1"/>
      <w:numFmt w:val="bullet"/>
      <w:lvlText w:val=""/>
      <w:lvlJc w:val="left"/>
      <w:pPr>
        <w:ind w:left="5232" w:hanging="360"/>
      </w:pPr>
      <w:rPr>
        <w:rFonts w:ascii="Symbol" w:hAnsi="Symbol" w:hint="default"/>
      </w:rPr>
    </w:lvl>
    <w:lvl w:ilvl="7" w:tplc="08090003">
      <w:start w:val="1"/>
      <w:numFmt w:val="bullet"/>
      <w:lvlText w:val="o"/>
      <w:lvlJc w:val="left"/>
      <w:pPr>
        <w:ind w:left="5952" w:hanging="360"/>
      </w:pPr>
      <w:rPr>
        <w:rFonts w:ascii="Courier New" w:hAnsi="Courier New" w:cs="Times New Roman" w:hint="default"/>
      </w:rPr>
    </w:lvl>
    <w:lvl w:ilvl="8" w:tplc="08090005">
      <w:start w:val="1"/>
      <w:numFmt w:val="bullet"/>
      <w:lvlText w:val=""/>
      <w:lvlJc w:val="left"/>
      <w:pPr>
        <w:ind w:left="6672" w:hanging="360"/>
      </w:pPr>
      <w:rPr>
        <w:rFonts w:ascii="Wingdings" w:hAnsi="Wingdings" w:hint="default"/>
      </w:rPr>
    </w:lvl>
  </w:abstractNum>
  <w:abstractNum w:abstractNumId="7">
    <w:nsid w:val="5FA8089B"/>
    <w:multiLevelType w:val="hybridMultilevel"/>
    <w:tmpl w:val="A81A69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766139F"/>
    <w:multiLevelType w:val="hybridMultilevel"/>
    <w:tmpl w:val="F5AA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066A71"/>
    <w:multiLevelType w:val="hybridMultilevel"/>
    <w:tmpl w:val="A300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0067F4"/>
    <w:multiLevelType w:val="hybridMultilevel"/>
    <w:tmpl w:val="A844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674005A"/>
    <w:multiLevelType w:val="hybridMultilevel"/>
    <w:tmpl w:val="5F50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3"/>
  </w:num>
  <w:num w:numId="5">
    <w:abstractNumId w:val="2"/>
  </w:num>
  <w:num w:numId="6">
    <w:abstractNumId w:val="4"/>
  </w:num>
  <w:num w:numId="7">
    <w:abstractNumId w:val="10"/>
  </w:num>
  <w:num w:numId="8">
    <w:abstractNumId w:val="8"/>
  </w:num>
  <w:num w:numId="9">
    <w:abstractNumId w:val="6"/>
  </w:num>
  <w:num w:numId="10">
    <w:abstractNumId w:val="0"/>
  </w:num>
  <w:num w:numId="11">
    <w:abstractNumId w:val="1"/>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5F0EF550FFBE46B6B04849D33672463A"/>
    <w:docVar w:name="LW_CROSSREFERENCE" w:val="&lt;UNUSED&gt;"/>
    <w:docVar w:name="LW_DocType" w:val="NORMAL"/>
    <w:docVar w:name="LW_EMISSION" w:val="31.10.2017"/>
    <w:docVar w:name="LW_EMISSION_ISODATE" w:val="2017-10-31"/>
    <w:docVar w:name="LW_EMISSION_LOCATION" w:val="BRX"/>
    <w:docVar w:name="LW_EMISSION_PREFIX" w:val="Bruxelles, le "/>
    <w:docVar w:name="LW_EMISSION_SUFFIX" w:val=" "/>
    <w:docVar w:name="LW_ID_DOCTYPE_NONLW" w:val="CP-006"/>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7) 636"/>
    <w:docVar w:name="LW_REF.INTERNE" w:val="&lt;UNUSED&gt;"/>
    <w:docVar w:name="LW_SOUS.TITRE.OBJ.CP" w:val="&lt;UNUSED&gt;"/>
    <w:docVar w:name="LW_SUPERTITRE" w:val="&lt;UNUSED&gt;"/>
    <w:docVar w:name="LW_TITRE.OBJ.CP" w:val="concernant les activités du Fonds européen d\u8217?ajustement à la mondialisation en 2015 et 2016"/>
    <w:docVar w:name="LW_TYPE.DOC.CP" w:val="RAPPORT DE LA COMMISSION AU PARLEMENT EUROPÉEN ET AU CONSEIL"/>
  </w:docVars>
  <w:rsids>
    <w:rsidRoot w:val="00D55D6F"/>
    <w:rsid w:val="007472BE"/>
    <w:rsid w:val="00AB67B7"/>
    <w:rsid w:val="00D55D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600" w:line="240" w:lineRule="auto"/>
      <w:jc w:val="both"/>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pPr>
      <w:keepNext/>
      <w:keepLines/>
      <w:spacing w:before="240" w:after="24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600" w:after="120"/>
      <w:ind w:left="720"/>
      <w:outlineLvl w:val="2"/>
    </w:pPr>
    <w:rPr>
      <w:rFonts w:ascii="Times New Roman" w:eastAsiaTheme="majorEastAsia" w:hAnsi="Times New Roman" w:cs="Times New Roman"/>
      <w:bCs/>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fr-FR"/>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fr-FR"/>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lang w:val="fr-FR"/>
    </w:rPr>
  </w:style>
  <w:style w:type="character" w:customStyle="1" w:styleId="FooterCoverPageChar">
    <w:name w:val="Footer Cover Page Char"/>
    <w:basedOn w:val="TypedudocumentChar"/>
    <w:link w:val="FooterCoverPage"/>
    <w:rPr>
      <w:rFonts w:ascii="Times New Roman" w:hAnsi="Times New Roman" w:cs="Times New Roman"/>
      <w:b w:val="0"/>
      <w:sz w:val="24"/>
      <w:lang w:val="fr-F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lang w:val="fr-FR"/>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000000" w:themeColor="text1"/>
      <w:sz w:val="28"/>
      <w:szCs w:val="24"/>
      <w:lang w:val="fr-FR"/>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000000" w:themeColor="text1"/>
      <w:sz w:val="26"/>
      <w:szCs w:val="26"/>
      <w:lang w:val="fr-FR"/>
    </w:rPr>
  </w:style>
  <w:style w:type="character" w:customStyle="1" w:styleId="Heading3Char">
    <w:name w:val="Heading 3 Char"/>
    <w:basedOn w:val="DefaultParagraphFont"/>
    <w:link w:val="Heading3"/>
    <w:uiPriority w:val="9"/>
    <w:rPr>
      <w:rFonts w:ascii="Times New Roman" w:eastAsiaTheme="majorEastAsia" w:hAnsi="Times New Roman" w:cs="Times New Roman"/>
      <w:bCs/>
      <w:i/>
      <w:color w:val="000000" w:themeColor="text1"/>
      <w:sz w:val="24"/>
      <w:lang w:val="fr-FR"/>
    </w:rPr>
  </w:style>
  <w:style w:type="numbering" w:customStyle="1" w:styleId="NoList1">
    <w:name w:val="No List1"/>
    <w:next w:val="No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paragraph" w:styleId="TOCHeading">
    <w:name w:val="TOC Heading"/>
    <w:basedOn w:val="Heading1"/>
    <w:next w:val="Normal"/>
    <w:uiPriority w:val="39"/>
    <w:unhideWhenUsed/>
    <w:qFormat/>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pPr>
      <w:spacing w:after="100"/>
    </w:pPr>
    <w:rPr>
      <w:rFonts w:ascii="Times New Roman" w:hAnsi="Times New Roman"/>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qFormat/>
    <w:pPr>
      <w:spacing w:after="100"/>
      <w:ind w:left="220"/>
    </w:pPr>
    <w:rPr>
      <w:rFonts w:ascii="Times New Roman" w:eastAsiaTheme="minorEastAsia" w:hAnsi="Times New Roman"/>
    </w:rPr>
  </w:style>
  <w:style w:type="paragraph" w:styleId="TOC3">
    <w:name w:val="toc 3"/>
    <w:basedOn w:val="Normal"/>
    <w:next w:val="Normal"/>
    <w:autoRedefine/>
    <w:uiPriority w:val="39"/>
    <w:unhideWhenUsed/>
    <w:qFormat/>
    <w:pPr>
      <w:spacing w:after="100"/>
      <w:ind w:left="720"/>
    </w:pPr>
    <w:rPr>
      <w:rFonts w:ascii="Times New Roman" w:eastAsiaTheme="minorEastAsia" w:hAnsi="Times New Roman"/>
    </w:rPr>
  </w:style>
  <w:style w:type="paragraph" w:styleId="ListParagraph">
    <w:name w:val="List Paragraph"/>
    <w:basedOn w:val="Normal"/>
    <w:uiPriority w:val="34"/>
    <w:qFormat/>
    <w:pPr>
      <w:ind w:left="720"/>
      <w:contextualSpacing/>
    </w:pPr>
    <w:rPr>
      <w:rFonts w:ascii="Times New Roman" w:hAnsi="Times New Roman"/>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Pr>
      <w:rFonts w:ascii="Times New Roman" w:hAnsi="Times New Roman"/>
      <w:sz w:val="20"/>
      <w:szCs w:val="20"/>
      <w:lang w:val="fr-FR"/>
    </w:rPr>
  </w:style>
  <w:style w:type="character" w:styleId="FootnoteReference">
    <w:name w:val="footnote reference"/>
    <w:basedOn w:val="DefaultParagraphFont"/>
    <w:uiPriority w:val="99"/>
    <w:semiHidden/>
    <w:unhideWhenUsed/>
    <w:rPr>
      <w:vertAlign w:val="superscript"/>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EndnoteText">
    <w:name w:val="endnote text"/>
    <w:basedOn w:val="Normal"/>
    <w:link w:val="EndnoteTextChar"/>
    <w:uiPriority w:val="99"/>
    <w:semiHidden/>
    <w:unhideWhenUsed/>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lang w:val="fr-FR"/>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fr-FR"/>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600" w:after="600" w:line="240" w:lineRule="auto"/>
      <w:jc w:val="both"/>
      <w:outlineLvl w:val="0"/>
    </w:pPr>
    <w:rPr>
      <w:rFonts w:ascii="Times New Roman" w:eastAsiaTheme="majorEastAsia" w:hAnsi="Times New Roman" w:cs="Times New Roman"/>
      <w:b/>
      <w:bCs/>
      <w:color w:val="000000" w:themeColor="text1"/>
      <w:sz w:val="28"/>
      <w:szCs w:val="24"/>
    </w:rPr>
  </w:style>
  <w:style w:type="paragraph" w:styleId="Heading2">
    <w:name w:val="heading 2"/>
    <w:basedOn w:val="Normal"/>
    <w:next w:val="Normal"/>
    <w:link w:val="Heading2Char"/>
    <w:uiPriority w:val="9"/>
    <w:unhideWhenUsed/>
    <w:qFormat/>
    <w:pPr>
      <w:keepNext/>
      <w:keepLines/>
      <w:spacing w:before="240" w:after="240"/>
      <w:outlineLvl w:val="1"/>
    </w:pPr>
    <w:rPr>
      <w:rFonts w:ascii="Times New Roman" w:eastAsiaTheme="majorEastAsia" w:hAnsi="Times New Roman" w:cs="Times New Roman"/>
      <w:b/>
      <w:bCs/>
      <w:color w:val="000000" w:themeColor="text1"/>
      <w:sz w:val="26"/>
      <w:szCs w:val="26"/>
    </w:rPr>
  </w:style>
  <w:style w:type="paragraph" w:styleId="Heading3">
    <w:name w:val="heading 3"/>
    <w:basedOn w:val="Normal"/>
    <w:next w:val="Normal"/>
    <w:link w:val="Heading3Char"/>
    <w:uiPriority w:val="9"/>
    <w:unhideWhenUsed/>
    <w:qFormat/>
    <w:pPr>
      <w:keepNext/>
      <w:keepLines/>
      <w:spacing w:before="600" w:after="120"/>
      <w:ind w:left="720"/>
      <w:outlineLvl w:val="2"/>
    </w:pPr>
    <w:rPr>
      <w:rFonts w:ascii="Times New Roman" w:eastAsiaTheme="majorEastAsia" w:hAnsi="Times New Roman" w:cs="Times New Roman"/>
      <w:bCs/>
      <w: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fr-FR"/>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fr-FR"/>
    </w:rPr>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lang w:val="fr-FR"/>
    </w:rPr>
  </w:style>
  <w:style w:type="character" w:customStyle="1" w:styleId="FooterCoverPageChar">
    <w:name w:val="Footer Cover Page Char"/>
    <w:basedOn w:val="TypedudocumentChar"/>
    <w:link w:val="FooterCoverPage"/>
    <w:rPr>
      <w:rFonts w:ascii="Times New Roman" w:hAnsi="Times New Roman" w:cs="Times New Roman"/>
      <w:b w:val="0"/>
      <w:sz w:val="24"/>
      <w:lang w:val="fr-FR"/>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lang w:val="fr-FR"/>
    </w:rPr>
  </w:style>
  <w:style w:type="character" w:customStyle="1" w:styleId="Heading1Char">
    <w:name w:val="Heading 1 Char"/>
    <w:basedOn w:val="DefaultParagraphFont"/>
    <w:link w:val="Heading1"/>
    <w:uiPriority w:val="9"/>
    <w:rPr>
      <w:rFonts w:ascii="Times New Roman" w:eastAsiaTheme="majorEastAsia" w:hAnsi="Times New Roman" w:cs="Times New Roman"/>
      <w:b/>
      <w:bCs/>
      <w:color w:val="000000" w:themeColor="text1"/>
      <w:sz w:val="28"/>
      <w:szCs w:val="24"/>
      <w:lang w:val="fr-FR"/>
    </w:rPr>
  </w:style>
  <w:style w:type="character" w:customStyle="1" w:styleId="Heading2Char">
    <w:name w:val="Heading 2 Char"/>
    <w:basedOn w:val="DefaultParagraphFont"/>
    <w:link w:val="Heading2"/>
    <w:uiPriority w:val="9"/>
    <w:rPr>
      <w:rFonts w:ascii="Times New Roman" w:eastAsiaTheme="majorEastAsia" w:hAnsi="Times New Roman" w:cs="Times New Roman"/>
      <w:b/>
      <w:bCs/>
      <w:color w:val="000000" w:themeColor="text1"/>
      <w:sz w:val="26"/>
      <w:szCs w:val="26"/>
      <w:lang w:val="fr-FR"/>
    </w:rPr>
  </w:style>
  <w:style w:type="character" w:customStyle="1" w:styleId="Heading3Char">
    <w:name w:val="Heading 3 Char"/>
    <w:basedOn w:val="DefaultParagraphFont"/>
    <w:link w:val="Heading3"/>
    <w:uiPriority w:val="9"/>
    <w:rPr>
      <w:rFonts w:ascii="Times New Roman" w:eastAsiaTheme="majorEastAsia" w:hAnsi="Times New Roman" w:cs="Times New Roman"/>
      <w:bCs/>
      <w:i/>
      <w:color w:val="000000" w:themeColor="text1"/>
      <w:sz w:val="24"/>
      <w:lang w:val="fr-FR"/>
    </w:rPr>
  </w:style>
  <w:style w:type="numbering" w:customStyle="1" w:styleId="NoList1">
    <w:name w:val="No List1"/>
    <w:next w:val="No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fr-FR"/>
    </w:rPr>
  </w:style>
  <w:style w:type="paragraph" w:styleId="TOCHeading">
    <w:name w:val="TOC Heading"/>
    <w:basedOn w:val="Heading1"/>
    <w:next w:val="Normal"/>
    <w:uiPriority w:val="39"/>
    <w:unhideWhenUsed/>
    <w:qFormat/>
    <w:pPr>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pPr>
      <w:spacing w:after="100"/>
    </w:pPr>
    <w:rPr>
      <w:rFonts w:ascii="Times New Roman" w:hAnsi="Times New Roman"/>
    </w:rPr>
  </w:style>
  <w:style w:type="character" w:styleId="Hyperlink">
    <w:name w:val="Hyperlink"/>
    <w:basedOn w:val="DefaultParagraphFont"/>
    <w:uiPriority w:val="99"/>
    <w:unhideWhenUsed/>
    <w:rPr>
      <w:color w:val="0000FF" w:themeColor="hyperlink"/>
      <w:u w:val="single"/>
    </w:rPr>
  </w:style>
  <w:style w:type="paragraph" w:styleId="TOC2">
    <w:name w:val="toc 2"/>
    <w:basedOn w:val="Normal"/>
    <w:next w:val="Normal"/>
    <w:autoRedefine/>
    <w:uiPriority w:val="39"/>
    <w:unhideWhenUsed/>
    <w:qFormat/>
    <w:pPr>
      <w:spacing w:after="100"/>
      <w:ind w:left="220"/>
    </w:pPr>
    <w:rPr>
      <w:rFonts w:ascii="Times New Roman" w:eastAsiaTheme="minorEastAsia" w:hAnsi="Times New Roman"/>
    </w:rPr>
  </w:style>
  <w:style w:type="paragraph" w:styleId="TOC3">
    <w:name w:val="toc 3"/>
    <w:basedOn w:val="Normal"/>
    <w:next w:val="Normal"/>
    <w:autoRedefine/>
    <w:uiPriority w:val="39"/>
    <w:unhideWhenUsed/>
    <w:qFormat/>
    <w:pPr>
      <w:spacing w:after="100"/>
      <w:ind w:left="720"/>
    </w:pPr>
    <w:rPr>
      <w:rFonts w:ascii="Times New Roman" w:eastAsiaTheme="minorEastAsia" w:hAnsi="Times New Roman"/>
    </w:rPr>
  </w:style>
  <w:style w:type="paragraph" w:styleId="ListParagraph">
    <w:name w:val="List Paragraph"/>
    <w:basedOn w:val="Normal"/>
    <w:uiPriority w:val="34"/>
    <w:qFormat/>
    <w:pPr>
      <w:ind w:left="720"/>
      <w:contextualSpacing/>
    </w:pPr>
    <w:rPr>
      <w:rFonts w:ascii="Times New Roman" w:hAnsi="Times New Roman"/>
    </w:rPr>
  </w:style>
  <w:style w:type="paragraph" w:styleId="FootnoteText">
    <w:name w:val="footnote text"/>
    <w:basedOn w:val="Normal"/>
    <w:link w:val="FootnoteTextChar"/>
    <w:uiPriority w:val="99"/>
    <w:unhideWhenUsed/>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Pr>
      <w:rFonts w:ascii="Times New Roman" w:hAnsi="Times New Roman"/>
      <w:sz w:val="20"/>
      <w:szCs w:val="20"/>
      <w:lang w:val="fr-FR"/>
    </w:rPr>
  </w:style>
  <w:style w:type="character" w:styleId="FootnoteReference">
    <w:name w:val="footnote reference"/>
    <w:basedOn w:val="DefaultParagraphFont"/>
    <w:uiPriority w:val="99"/>
    <w:semiHidden/>
    <w:unhideWhenUsed/>
    <w:rPr>
      <w:vertAlign w:val="superscript"/>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styleId="EndnoteText">
    <w:name w:val="endnote text"/>
    <w:basedOn w:val="Normal"/>
    <w:link w:val="EndnoteTextChar"/>
    <w:uiPriority w:val="99"/>
    <w:semiHidden/>
    <w:unhideWhenUsed/>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Pr>
      <w:rFonts w:ascii="Times New Roman" w:hAnsi="Times New Roman"/>
      <w:sz w:val="20"/>
      <w:szCs w:val="20"/>
      <w:lang w:val="fr-FR"/>
    </w:rPr>
  </w:style>
  <w:style w:type="character" w:styleId="EndnoteReference">
    <w:name w:val="endnote reference"/>
    <w:basedOn w:val="DefaultParagraphFont"/>
    <w:uiPriority w:val="99"/>
    <w:semiHidden/>
    <w:unhideWhenUsed/>
    <w:rPr>
      <w:vertAlign w:val="superscript"/>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lang w:val="fr-FR"/>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szCs w:val="24"/>
    </w:rPr>
  </w:style>
  <w:style w:type="paragraph" w:styleId="Revision">
    <w:name w:val="Revision"/>
    <w:hidden/>
    <w:uiPriority w:val="99"/>
    <w:semiHidden/>
    <w:pPr>
      <w:spacing w:after="0" w:line="240" w:lineRule="auto"/>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82616">
      <w:bodyDiv w:val="1"/>
      <w:marLeft w:val="0"/>
      <w:marRight w:val="0"/>
      <w:marTop w:val="0"/>
      <w:marBottom w:val="0"/>
      <w:divBdr>
        <w:top w:val="none" w:sz="0" w:space="0" w:color="auto"/>
        <w:left w:val="none" w:sz="0" w:space="0" w:color="auto"/>
        <w:bottom w:val="none" w:sz="0" w:space="0" w:color="auto"/>
        <w:right w:val="none" w:sz="0" w:space="0" w:color="auto"/>
      </w:divBdr>
    </w:div>
    <w:div w:id="132334785">
      <w:bodyDiv w:val="1"/>
      <w:marLeft w:val="0"/>
      <w:marRight w:val="0"/>
      <w:marTop w:val="0"/>
      <w:marBottom w:val="0"/>
      <w:divBdr>
        <w:top w:val="none" w:sz="0" w:space="0" w:color="auto"/>
        <w:left w:val="none" w:sz="0" w:space="0" w:color="auto"/>
        <w:bottom w:val="none" w:sz="0" w:space="0" w:color="auto"/>
        <w:right w:val="none" w:sz="0" w:space="0" w:color="auto"/>
      </w:divBdr>
    </w:div>
    <w:div w:id="147670809">
      <w:bodyDiv w:val="1"/>
      <w:marLeft w:val="0"/>
      <w:marRight w:val="0"/>
      <w:marTop w:val="0"/>
      <w:marBottom w:val="0"/>
      <w:divBdr>
        <w:top w:val="none" w:sz="0" w:space="0" w:color="auto"/>
        <w:left w:val="none" w:sz="0" w:space="0" w:color="auto"/>
        <w:bottom w:val="none" w:sz="0" w:space="0" w:color="auto"/>
        <w:right w:val="none" w:sz="0" w:space="0" w:color="auto"/>
      </w:divBdr>
    </w:div>
    <w:div w:id="150408134">
      <w:bodyDiv w:val="1"/>
      <w:marLeft w:val="0"/>
      <w:marRight w:val="0"/>
      <w:marTop w:val="0"/>
      <w:marBottom w:val="0"/>
      <w:divBdr>
        <w:top w:val="none" w:sz="0" w:space="0" w:color="auto"/>
        <w:left w:val="none" w:sz="0" w:space="0" w:color="auto"/>
        <w:bottom w:val="none" w:sz="0" w:space="0" w:color="auto"/>
        <w:right w:val="none" w:sz="0" w:space="0" w:color="auto"/>
      </w:divBdr>
    </w:div>
    <w:div w:id="236062788">
      <w:bodyDiv w:val="1"/>
      <w:marLeft w:val="0"/>
      <w:marRight w:val="0"/>
      <w:marTop w:val="0"/>
      <w:marBottom w:val="0"/>
      <w:divBdr>
        <w:top w:val="none" w:sz="0" w:space="0" w:color="auto"/>
        <w:left w:val="none" w:sz="0" w:space="0" w:color="auto"/>
        <w:bottom w:val="none" w:sz="0" w:space="0" w:color="auto"/>
        <w:right w:val="none" w:sz="0" w:space="0" w:color="auto"/>
      </w:divBdr>
    </w:div>
    <w:div w:id="287668843">
      <w:bodyDiv w:val="1"/>
      <w:marLeft w:val="0"/>
      <w:marRight w:val="0"/>
      <w:marTop w:val="0"/>
      <w:marBottom w:val="0"/>
      <w:divBdr>
        <w:top w:val="none" w:sz="0" w:space="0" w:color="auto"/>
        <w:left w:val="none" w:sz="0" w:space="0" w:color="auto"/>
        <w:bottom w:val="none" w:sz="0" w:space="0" w:color="auto"/>
        <w:right w:val="none" w:sz="0" w:space="0" w:color="auto"/>
      </w:divBdr>
    </w:div>
    <w:div w:id="527111329">
      <w:bodyDiv w:val="1"/>
      <w:marLeft w:val="0"/>
      <w:marRight w:val="0"/>
      <w:marTop w:val="0"/>
      <w:marBottom w:val="0"/>
      <w:divBdr>
        <w:top w:val="none" w:sz="0" w:space="0" w:color="auto"/>
        <w:left w:val="none" w:sz="0" w:space="0" w:color="auto"/>
        <w:bottom w:val="none" w:sz="0" w:space="0" w:color="auto"/>
        <w:right w:val="none" w:sz="0" w:space="0" w:color="auto"/>
      </w:divBdr>
    </w:div>
    <w:div w:id="574239743">
      <w:bodyDiv w:val="1"/>
      <w:marLeft w:val="0"/>
      <w:marRight w:val="0"/>
      <w:marTop w:val="0"/>
      <w:marBottom w:val="0"/>
      <w:divBdr>
        <w:top w:val="none" w:sz="0" w:space="0" w:color="auto"/>
        <w:left w:val="none" w:sz="0" w:space="0" w:color="auto"/>
        <w:bottom w:val="none" w:sz="0" w:space="0" w:color="auto"/>
        <w:right w:val="none" w:sz="0" w:space="0" w:color="auto"/>
      </w:divBdr>
    </w:div>
    <w:div w:id="611592543">
      <w:bodyDiv w:val="1"/>
      <w:marLeft w:val="0"/>
      <w:marRight w:val="0"/>
      <w:marTop w:val="0"/>
      <w:marBottom w:val="0"/>
      <w:divBdr>
        <w:top w:val="none" w:sz="0" w:space="0" w:color="auto"/>
        <w:left w:val="none" w:sz="0" w:space="0" w:color="auto"/>
        <w:bottom w:val="none" w:sz="0" w:space="0" w:color="auto"/>
        <w:right w:val="none" w:sz="0" w:space="0" w:color="auto"/>
      </w:divBdr>
    </w:div>
    <w:div w:id="647898903">
      <w:bodyDiv w:val="1"/>
      <w:marLeft w:val="0"/>
      <w:marRight w:val="0"/>
      <w:marTop w:val="0"/>
      <w:marBottom w:val="0"/>
      <w:divBdr>
        <w:top w:val="none" w:sz="0" w:space="0" w:color="auto"/>
        <w:left w:val="none" w:sz="0" w:space="0" w:color="auto"/>
        <w:bottom w:val="none" w:sz="0" w:space="0" w:color="auto"/>
        <w:right w:val="none" w:sz="0" w:space="0" w:color="auto"/>
      </w:divBdr>
    </w:div>
    <w:div w:id="730688892">
      <w:bodyDiv w:val="1"/>
      <w:marLeft w:val="0"/>
      <w:marRight w:val="0"/>
      <w:marTop w:val="0"/>
      <w:marBottom w:val="0"/>
      <w:divBdr>
        <w:top w:val="none" w:sz="0" w:space="0" w:color="auto"/>
        <w:left w:val="none" w:sz="0" w:space="0" w:color="auto"/>
        <w:bottom w:val="none" w:sz="0" w:space="0" w:color="auto"/>
        <w:right w:val="none" w:sz="0" w:space="0" w:color="auto"/>
      </w:divBdr>
    </w:div>
    <w:div w:id="770392620">
      <w:bodyDiv w:val="1"/>
      <w:marLeft w:val="0"/>
      <w:marRight w:val="0"/>
      <w:marTop w:val="0"/>
      <w:marBottom w:val="0"/>
      <w:divBdr>
        <w:top w:val="none" w:sz="0" w:space="0" w:color="auto"/>
        <w:left w:val="none" w:sz="0" w:space="0" w:color="auto"/>
        <w:bottom w:val="none" w:sz="0" w:space="0" w:color="auto"/>
        <w:right w:val="none" w:sz="0" w:space="0" w:color="auto"/>
      </w:divBdr>
    </w:div>
    <w:div w:id="845940971">
      <w:bodyDiv w:val="1"/>
      <w:marLeft w:val="0"/>
      <w:marRight w:val="0"/>
      <w:marTop w:val="0"/>
      <w:marBottom w:val="0"/>
      <w:divBdr>
        <w:top w:val="none" w:sz="0" w:space="0" w:color="auto"/>
        <w:left w:val="none" w:sz="0" w:space="0" w:color="auto"/>
        <w:bottom w:val="none" w:sz="0" w:space="0" w:color="auto"/>
        <w:right w:val="none" w:sz="0" w:space="0" w:color="auto"/>
      </w:divBdr>
    </w:div>
    <w:div w:id="871914435">
      <w:bodyDiv w:val="1"/>
      <w:marLeft w:val="0"/>
      <w:marRight w:val="0"/>
      <w:marTop w:val="0"/>
      <w:marBottom w:val="0"/>
      <w:divBdr>
        <w:top w:val="none" w:sz="0" w:space="0" w:color="auto"/>
        <w:left w:val="none" w:sz="0" w:space="0" w:color="auto"/>
        <w:bottom w:val="none" w:sz="0" w:space="0" w:color="auto"/>
        <w:right w:val="none" w:sz="0" w:space="0" w:color="auto"/>
      </w:divBdr>
    </w:div>
    <w:div w:id="925531292">
      <w:bodyDiv w:val="1"/>
      <w:marLeft w:val="0"/>
      <w:marRight w:val="0"/>
      <w:marTop w:val="0"/>
      <w:marBottom w:val="0"/>
      <w:divBdr>
        <w:top w:val="none" w:sz="0" w:space="0" w:color="auto"/>
        <w:left w:val="none" w:sz="0" w:space="0" w:color="auto"/>
        <w:bottom w:val="none" w:sz="0" w:space="0" w:color="auto"/>
        <w:right w:val="none" w:sz="0" w:space="0" w:color="auto"/>
      </w:divBdr>
    </w:div>
    <w:div w:id="979462407">
      <w:bodyDiv w:val="1"/>
      <w:marLeft w:val="0"/>
      <w:marRight w:val="0"/>
      <w:marTop w:val="0"/>
      <w:marBottom w:val="0"/>
      <w:divBdr>
        <w:top w:val="none" w:sz="0" w:space="0" w:color="auto"/>
        <w:left w:val="none" w:sz="0" w:space="0" w:color="auto"/>
        <w:bottom w:val="none" w:sz="0" w:space="0" w:color="auto"/>
        <w:right w:val="none" w:sz="0" w:space="0" w:color="auto"/>
      </w:divBdr>
    </w:div>
    <w:div w:id="1001353710">
      <w:bodyDiv w:val="1"/>
      <w:marLeft w:val="0"/>
      <w:marRight w:val="0"/>
      <w:marTop w:val="0"/>
      <w:marBottom w:val="0"/>
      <w:divBdr>
        <w:top w:val="none" w:sz="0" w:space="0" w:color="auto"/>
        <w:left w:val="none" w:sz="0" w:space="0" w:color="auto"/>
        <w:bottom w:val="none" w:sz="0" w:space="0" w:color="auto"/>
        <w:right w:val="none" w:sz="0" w:space="0" w:color="auto"/>
      </w:divBdr>
    </w:div>
    <w:div w:id="1094280798">
      <w:bodyDiv w:val="1"/>
      <w:marLeft w:val="0"/>
      <w:marRight w:val="0"/>
      <w:marTop w:val="0"/>
      <w:marBottom w:val="0"/>
      <w:divBdr>
        <w:top w:val="none" w:sz="0" w:space="0" w:color="auto"/>
        <w:left w:val="none" w:sz="0" w:space="0" w:color="auto"/>
        <w:bottom w:val="none" w:sz="0" w:space="0" w:color="auto"/>
        <w:right w:val="none" w:sz="0" w:space="0" w:color="auto"/>
      </w:divBdr>
    </w:div>
    <w:div w:id="1145002456">
      <w:bodyDiv w:val="1"/>
      <w:marLeft w:val="0"/>
      <w:marRight w:val="0"/>
      <w:marTop w:val="0"/>
      <w:marBottom w:val="0"/>
      <w:divBdr>
        <w:top w:val="none" w:sz="0" w:space="0" w:color="auto"/>
        <w:left w:val="none" w:sz="0" w:space="0" w:color="auto"/>
        <w:bottom w:val="none" w:sz="0" w:space="0" w:color="auto"/>
        <w:right w:val="none" w:sz="0" w:space="0" w:color="auto"/>
      </w:divBdr>
    </w:div>
    <w:div w:id="1154443877">
      <w:bodyDiv w:val="1"/>
      <w:marLeft w:val="0"/>
      <w:marRight w:val="0"/>
      <w:marTop w:val="0"/>
      <w:marBottom w:val="0"/>
      <w:divBdr>
        <w:top w:val="none" w:sz="0" w:space="0" w:color="auto"/>
        <w:left w:val="none" w:sz="0" w:space="0" w:color="auto"/>
        <w:bottom w:val="none" w:sz="0" w:space="0" w:color="auto"/>
        <w:right w:val="none" w:sz="0" w:space="0" w:color="auto"/>
      </w:divBdr>
    </w:div>
    <w:div w:id="1164004477">
      <w:bodyDiv w:val="1"/>
      <w:marLeft w:val="0"/>
      <w:marRight w:val="0"/>
      <w:marTop w:val="0"/>
      <w:marBottom w:val="0"/>
      <w:divBdr>
        <w:top w:val="none" w:sz="0" w:space="0" w:color="auto"/>
        <w:left w:val="none" w:sz="0" w:space="0" w:color="auto"/>
        <w:bottom w:val="none" w:sz="0" w:space="0" w:color="auto"/>
        <w:right w:val="none" w:sz="0" w:space="0" w:color="auto"/>
      </w:divBdr>
    </w:div>
    <w:div w:id="1168130343">
      <w:bodyDiv w:val="1"/>
      <w:marLeft w:val="0"/>
      <w:marRight w:val="0"/>
      <w:marTop w:val="0"/>
      <w:marBottom w:val="0"/>
      <w:divBdr>
        <w:top w:val="none" w:sz="0" w:space="0" w:color="auto"/>
        <w:left w:val="none" w:sz="0" w:space="0" w:color="auto"/>
        <w:bottom w:val="none" w:sz="0" w:space="0" w:color="auto"/>
        <w:right w:val="none" w:sz="0" w:space="0" w:color="auto"/>
      </w:divBdr>
    </w:div>
    <w:div w:id="1176575850">
      <w:bodyDiv w:val="1"/>
      <w:marLeft w:val="0"/>
      <w:marRight w:val="0"/>
      <w:marTop w:val="0"/>
      <w:marBottom w:val="0"/>
      <w:divBdr>
        <w:top w:val="none" w:sz="0" w:space="0" w:color="auto"/>
        <w:left w:val="none" w:sz="0" w:space="0" w:color="auto"/>
        <w:bottom w:val="none" w:sz="0" w:space="0" w:color="auto"/>
        <w:right w:val="none" w:sz="0" w:space="0" w:color="auto"/>
      </w:divBdr>
    </w:div>
    <w:div w:id="1214536968">
      <w:bodyDiv w:val="1"/>
      <w:marLeft w:val="0"/>
      <w:marRight w:val="0"/>
      <w:marTop w:val="0"/>
      <w:marBottom w:val="0"/>
      <w:divBdr>
        <w:top w:val="none" w:sz="0" w:space="0" w:color="auto"/>
        <w:left w:val="none" w:sz="0" w:space="0" w:color="auto"/>
        <w:bottom w:val="none" w:sz="0" w:space="0" w:color="auto"/>
        <w:right w:val="none" w:sz="0" w:space="0" w:color="auto"/>
      </w:divBdr>
    </w:div>
    <w:div w:id="1241599514">
      <w:bodyDiv w:val="1"/>
      <w:marLeft w:val="0"/>
      <w:marRight w:val="0"/>
      <w:marTop w:val="0"/>
      <w:marBottom w:val="0"/>
      <w:divBdr>
        <w:top w:val="none" w:sz="0" w:space="0" w:color="auto"/>
        <w:left w:val="none" w:sz="0" w:space="0" w:color="auto"/>
        <w:bottom w:val="none" w:sz="0" w:space="0" w:color="auto"/>
        <w:right w:val="none" w:sz="0" w:space="0" w:color="auto"/>
      </w:divBdr>
    </w:div>
    <w:div w:id="1271158709">
      <w:bodyDiv w:val="1"/>
      <w:marLeft w:val="0"/>
      <w:marRight w:val="0"/>
      <w:marTop w:val="0"/>
      <w:marBottom w:val="0"/>
      <w:divBdr>
        <w:top w:val="none" w:sz="0" w:space="0" w:color="auto"/>
        <w:left w:val="none" w:sz="0" w:space="0" w:color="auto"/>
        <w:bottom w:val="none" w:sz="0" w:space="0" w:color="auto"/>
        <w:right w:val="none" w:sz="0" w:space="0" w:color="auto"/>
      </w:divBdr>
    </w:div>
    <w:div w:id="1534346214">
      <w:bodyDiv w:val="1"/>
      <w:marLeft w:val="0"/>
      <w:marRight w:val="0"/>
      <w:marTop w:val="0"/>
      <w:marBottom w:val="0"/>
      <w:divBdr>
        <w:top w:val="none" w:sz="0" w:space="0" w:color="auto"/>
        <w:left w:val="none" w:sz="0" w:space="0" w:color="auto"/>
        <w:bottom w:val="none" w:sz="0" w:space="0" w:color="auto"/>
        <w:right w:val="none" w:sz="0" w:space="0" w:color="auto"/>
      </w:divBdr>
    </w:div>
    <w:div w:id="1600022958">
      <w:bodyDiv w:val="1"/>
      <w:marLeft w:val="0"/>
      <w:marRight w:val="0"/>
      <w:marTop w:val="0"/>
      <w:marBottom w:val="0"/>
      <w:divBdr>
        <w:top w:val="none" w:sz="0" w:space="0" w:color="auto"/>
        <w:left w:val="none" w:sz="0" w:space="0" w:color="auto"/>
        <w:bottom w:val="none" w:sz="0" w:space="0" w:color="auto"/>
        <w:right w:val="none" w:sz="0" w:space="0" w:color="auto"/>
      </w:divBdr>
    </w:div>
    <w:div w:id="1757633172">
      <w:bodyDiv w:val="1"/>
      <w:marLeft w:val="0"/>
      <w:marRight w:val="0"/>
      <w:marTop w:val="0"/>
      <w:marBottom w:val="0"/>
      <w:divBdr>
        <w:top w:val="none" w:sz="0" w:space="0" w:color="auto"/>
        <w:left w:val="none" w:sz="0" w:space="0" w:color="auto"/>
        <w:bottom w:val="none" w:sz="0" w:space="0" w:color="auto"/>
        <w:right w:val="none" w:sz="0" w:space="0" w:color="auto"/>
      </w:divBdr>
    </w:div>
    <w:div w:id="1772822251">
      <w:bodyDiv w:val="1"/>
      <w:marLeft w:val="0"/>
      <w:marRight w:val="0"/>
      <w:marTop w:val="0"/>
      <w:marBottom w:val="0"/>
      <w:divBdr>
        <w:top w:val="none" w:sz="0" w:space="0" w:color="auto"/>
        <w:left w:val="none" w:sz="0" w:space="0" w:color="auto"/>
        <w:bottom w:val="none" w:sz="0" w:space="0" w:color="auto"/>
        <w:right w:val="none" w:sz="0" w:space="0" w:color="auto"/>
      </w:divBdr>
    </w:div>
    <w:div w:id="1831676910">
      <w:bodyDiv w:val="1"/>
      <w:marLeft w:val="0"/>
      <w:marRight w:val="0"/>
      <w:marTop w:val="0"/>
      <w:marBottom w:val="0"/>
      <w:divBdr>
        <w:top w:val="none" w:sz="0" w:space="0" w:color="auto"/>
        <w:left w:val="none" w:sz="0" w:space="0" w:color="auto"/>
        <w:bottom w:val="none" w:sz="0" w:space="0" w:color="auto"/>
        <w:right w:val="none" w:sz="0" w:space="0" w:color="auto"/>
      </w:divBdr>
    </w:div>
    <w:div w:id="196079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image" Target="media/image5.emf"/><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header" Target="header17.xml"/><Relationship Id="rId55" Type="http://schemas.openxmlformats.org/officeDocument/2006/relationships/image" Target="media/image8.emf"/><Relationship Id="rId63" Type="http://schemas.openxmlformats.org/officeDocument/2006/relationships/image" Target="media/image10.emf"/><Relationship Id="rId68" Type="http://schemas.openxmlformats.org/officeDocument/2006/relationships/image" Target="media/image15.emf"/><Relationship Id="rId76" Type="http://schemas.openxmlformats.org/officeDocument/2006/relationships/footer" Target="footer24.xml"/><Relationship Id="rId7" Type="http://schemas.openxmlformats.org/officeDocument/2006/relationships/footnotes" Target="footnotes.xml"/><Relationship Id="rId71"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3.emf"/><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4.emf"/><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header" Target="header18.xml"/><Relationship Id="rId58" Type="http://schemas.openxmlformats.org/officeDocument/2006/relationships/header" Target="header20.xml"/><Relationship Id="rId66" Type="http://schemas.openxmlformats.org/officeDocument/2006/relationships/image" Target="media/image13.png"/><Relationship Id="rId74" Type="http://schemas.openxmlformats.org/officeDocument/2006/relationships/footer" Target="footer2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2.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0.xml"/><Relationship Id="rId65" Type="http://schemas.openxmlformats.org/officeDocument/2006/relationships/image" Target="media/image12.emf"/><Relationship Id="rId73" Type="http://schemas.openxmlformats.org/officeDocument/2006/relationships/footer" Target="footer22.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chart" Target="charts/chart1.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image" Target="media/image7.emf"/><Relationship Id="rId56" Type="http://schemas.openxmlformats.org/officeDocument/2006/relationships/image" Target="media/image9.emf"/><Relationship Id="rId64" Type="http://schemas.openxmlformats.org/officeDocument/2006/relationships/image" Target="media/image11.emf"/><Relationship Id="rId69" Type="http://schemas.openxmlformats.org/officeDocument/2006/relationships/image" Target="media/image16.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chart" Target="charts/chart3.xml"/><Relationship Id="rId38" Type="http://schemas.openxmlformats.org/officeDocument/2006/relationships/footer" Target="footer11.xml"/><Relationship Id="rId46" Type="http://schemas.openxmlformats.org/officeDocument/2006/relationships/header" Target="header15.xml"/><Relationship Id="rId59" Type="http://schemas.openxmlformats.org/officeDocument/2006/relationships/footer" Target="footer19.xml"/><Relationship Id="rId67" Type="http://schemas.openxmlformats.org/officeDocument/2006/relationships/image" Target="media/image14.png"/><Relationship Id="rId20" Type="http://schemas.openxmlformats.org/officeDocument/2006/relationships/footer" Target="footer5.xml"/><Relationship Id="rId41" Type="http://schemas.openxmlformats.org/officeDocument/2006/relationships/image" Target="media/image6.emf"/><Relationship Id="rId54" Type="http://schemas.openxmlformats.org/officeDocument/2006/relationships/footer" Target="footer18.xml"/><Relationship Id="rId62" Type="http://schemas.openxmlformats.org/officeDocument/2006/relationships/footer" Target="footer21.xml"/><Relationship Id="rId70" Type="http://schemas.openxmlformats.org/officeDocument/2006/relationships/image" Target="media/image17.png"/><Relationship Id="rId75"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EMPL\F\F2\1.10.11.10%20EGF\08%20Annual%20Reports\2017%20Biennial%20Report\Biennial%20Report_Excel%20tables\Biennial%20Report_1516_Tables_inclusing%20average%20lines_240217_%202nd%20version.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showLeaderLines val="0"/>
              </c:ext>
            </c:extLst>
          </c:dLbls>
          <c:cat>
            <c:strRef>
              <c:f>'2 - CALC. 2015-2016'!$I$3:$I$13</c:f>
              <c:strCache>
                <c:ptCount val="11"/>
                <c:pt idx="0">
                  <c:v>FI</c:v>
                </c:pt>
                <c:pt idx="1">
                  <c:v>BE</c:v>
                </c:pt>
                <c:pt idx="2">
                  <c:v>DE</c:v>
                </c:pt>
                <c:pt idx="3">
                  <c:v>EL</c:v>
                </c:pt>
                <c:pt idx="4">
                  <c:v>SE</c:v>
                </c:pt>
                <c:pt idx="5">
                  <c:v>FR</c:v>
                </c:pt>
                <c:pt idx="6">
                  <c:v>NL</c:v>
                </c:pt>
                <c:pt idx="7">
                  <c:v>IT</c:v>
                </c:pt>
                <c:pt idx="8">
                  <c:v>EE</c:v>
                </c:pt>
                <c:pt idx="9">
                  <c:v>ES</c:v>
                </c:pt>
                <c:pt idx="10">
                  <c:v>IE</c:v>
                </c:pt>
              </c:strCache>
            </c:strRef>
          </c:cat>
          <c:val>
            <c:numRef>
              <c:f>'2 - CALC. 2015-2016'!$J$3:$J$13</c:f>
              <c:numCache>
                <c:formatCode>#,##0</c:formatCode>
                <c:ptCount val="11"/>
                <c:pt idx="0">
                  <c:v>11994000</c:v>
                </c:pt>
                <c:pt idx="1">
                  <c:v>9188149</c:v>
                </c:pt>
                <c:pt idx="2">
                  <c:v>6958623</c:v>
                </c:pt>
                <c:pt idx="3">
                  <c:v>6468000</c:v>
                </c:pt>
                <c:pt idx="4">
                  <c:v>5751628</c:v>
                </c:pt>
                <c:pt idx="5">
                  <c:v>5146800</c:v>
                </c:pt>
                <c:pt idx="6">
                  <c:v>1818750</c:v>
                </c:pt>
                <c:pt idx="7">
                  <c:v>1414848</c:v>
                </c:pt>
                <c:pt idx="8">
                  <c:v>1131358</c:v>
                </c:pt>
                <c:pt idx="9">
                  <c:v>856800</c:v>
                </c:pt>
                <c:pt idx="10">
                  <c:v>442293</c:v>
                </c:pt>
              </c:numCache>
            </c:numRef>
          </c:val>
        </c:ser>
        <c:dLbls>
          <c:showLegendKey val="0"/>
          <c:showVal val="0"/>
          <c:showCatName val="0"/>
          <c:showSerName val="0"/>
          <c:showPercent val="0"/>
          <c:showBubbleSize val="0"/>
        </c:dLbls>
        <c:gapWidth val="150"/>
        <c:axId val="471610880"/>
        <c:axId val="471612416"/>
      </c:barChart>
      <c:lineChart>
        <c:grouping val="standard"/>
        <c:varyColors val="0"/>
        <c:ser>
          <c:idx val="1"/>
          <c:order val="1"/>
          <c:spPr>
            <a:ln w="41275"/>
          </c:spPr>
          <c:marker>
            <c:symbol val="none"/>
          </c:marker>
          <c:cat>
            <c:strRef>
              <c:f>'2 - CALC. 2015-2016'!$I$3:$I$13</c:f>
              <c:strCache>
                <c:ptCount val="11"/>
                <c:pt idx="0">
                  <c:v>FI</c:v>
                </c:pt>
                <c:pt idx="1">
                  <c:v>BE</c:v>
                </c:pt>
                <c:pt idx="2">
                  <c:v>DE</c:v>
                </c:pt>
                <c:pt idx="3">
                  <c:v>EL</c:v>
                </c:pt>
                <c:pt idx="4">
                  <c:v>SE</c:v>
                </c:pt>
                <c:pt idx="5">
                  <c:v>FR</c:v>
                </c:pt>
                <c:pt idx="6">
                  <c:v>NL</c:v>
                </c:pt>
                <c:pt idx="7">
                  <c:v>IT</c:v>
                </c:pt>
                <c:pt idx="8">
                  <c:v>EE</c:v>
                </c:pt>
                <c:pt idx="9">
                  <c:v>ES</c:v>
                </c:pt>
                <c:pt idx="10">
                  <c:v>IE</c:v>
                </c:pt>
              </c:strCache>
            </c:strRef>
          </c:cat>
          <c:val>
            <c:numRef>
              <c:f>'2 - CALC. 2015-2016'!$K$3:$K$13</c:f>
              <c:numCache>
                <c:formatCode>#,##0</c:formatCode>
                <c:ptCount val="11"/>
                <c:pt idx="0">
                  <c:v>4651931.7272727275</c:v>
                </c:pt>
                <c:pt idx="1">
                  <c:v>4651931.7272727275</c:v>
                </c:pt>
                <c:pt idx="2">
                  <c:v>4651931.7272727275</c:v>
                </c:pt>
                <c:pt idx="3">
                  <c:v>4651931.7272727275</c:v>
                </c:pt>
                <c:pt idx="4">
                  <c:v>4651931.7272727275</c:v>
                </c:pt>
                <c:pt idx="5">
                  <c:v>4651931.7272727275</c:v>
                </c:pt>
                <c:pt idx="6">
                  <c:v>4651931.7272727275</c:v>
                </c:pt>
                <c:pt idx="7">
                  <c:v>4651931.7272727275</c:v>
                </c:pt>
                <c:pt idx="8">
                  <c:v>4651931.7272727275</c:v>
                </c:pt>
                <c:pt idx="9">
                  <c:v>4651931.7272727275</c:v>
                </c:pt>
                <c:pt idx="10">
                  <c:v>4651931.7272727275</c:v>
                </c:pt>
              </c:numCache>
            </c:numRef>
          </c:val>
          <c:smooth val="0"/>
        </c:ser>
        <c:dLbls>
          <c:showLegendKey val="0"/>
          <c:showVal val="0"/>
          <c:showCatName val="0"/>
          <c:showSerName val="0"/>
          <c:showPercent val="0"/>
          <c:showBubbleSize val="0"/>
        </c:dLbls>
        <c:marker val="1"/>
        <c:smooth val="0"/>
        <c:axId val="471610880"/>
        <c:axId val="471612416"/>
      </c:lineChart>
      <c:catAx>
        <c:axId val="471610880"/>
        <c:scaling>
          <c:orientation val="minMax"/>
        </c:scaling>
        <c:delete val="0"/>
        <c:axPos val="b"/>
        <c:numFmt formatCode="General" sourceLinked="0"/>
        <c:majorTickMark val="out"/>
        <c:minorTickMark val="none"/>
        <c:tickLblPos val="nextTo"/>
        <c:crossAx val="471612416"/>
        <c:crosses val="autoZero"/>
        <c:auto val="1"/>
        <c:lblAlgn val="ctr"/>
        <c:lblOffset val="100"/>
        <c:noMultiLvlLbl val="0"/>
      </c:catAx>
      <c:valAx>
        <c:axId val="471612416"/>
        <c:scaling>
          <c:orientation val="minMax"/>
        </c:scaling>
        <c:delete val="0"/>
        <c:axPos val="l"/>
        <c:majorGridlines/>
        <c:numFmt formatCode="#,##0" sourceLinked="1"/>
        <c:majorTickMark val="out"/>
        <c:minorTickMark val="none"/>
        <c:tickLblPos val="nextTo"/>
        <c:txPr>
          <a:bodyPr/>
          <a:lstStyle/>
          <a:p>
            <a:pPr>
              <a:defRPr sz="1200"/>
            </a:pPr>
            <a:endParaRPr lang="en-US"/>
          </a:p>
        </c:txPr>
        <c:crossAx val="4716108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0"/>
                  <c:y val="2.17470097861544E-2"/>
                </c:manualLayout>
              </c:layout>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ext>
              </c:extLst>
            </c:dLbl>
            <c:dLbl>
              <c:idx val="4"/>
              <c:layout>
                <c:manualLayout>
                  <c:x val="4.1541398616755055E-3"/>
                  <c:y val="-5.7041185359851407E-2"/>
                </c:manualLayout>
              </c:layout>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ext>
              </c:extLst>
            </c:dLbl>
            <c:dLbl>
              <c:idx val="5"/>
              <c:layout>
                <c:manualLayout>
                  <c:x val="0"/>
                  <c:y val="-3.5650623885917915E-2"/>
                </c:manualLayout>
              </c:layout>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ext>
              </c:extLst>
            </c:dLbl>
            <c:dLbl>
              <c:idx val="6"/>
              <c:layout>
                <c:manualLayout>
                  <c:x val="0"/>
                  <c:y val="-2.3767082590611915E-2"/>
                </c:manualLayout>
              </c:layout>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ext>
              </c:extLst>
            </c:dLbl>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c:ext xmlns:c15="http://schemas.microsoft.com/office/drawing/2012/chart" uri="{CE6537A1-D6FC-4f65-9D91-7224C49458BB}">
                <c15:layout/>
                <c15:showLeaderLines val="0"/>
              </c:ext>
            </c:extLst>
          </c:dLbls>
          <c:cat>
            <c:strRef>
              <c:f>'3 - CALC - 2015-2016'!$H$5:$H$15</c:f>
              <c:strCache>
                <c:ptCount val="11"/>
                <c:pt idx="0">
                  <c:v>BE</c:v>
                </c:pt>
                <c:pt idx="1">
                  <c:v>FI</c:v>
                </c:pt>
                <c:pt idx="2">
                  <c:v>DE</c:v>
                </c:pt>
                <c:pt idx="3">
                  <c:v>FR</c:v>
                </c:pt>
                <c:pt idx="4">
                  <c:v>SE</c:v>
                </c:pt>
                <c:pt idx="5">
                  <c:v>EE</c:v>
                </c:pt>
                <c:pt idx="6">
                  <c:v>NL</c:v>
                </c:pt>
                <c:pt idx="7">
                  <c:v>EL</c:v>
                </c:pt>
                <c:pt idx="8">
                  <c:v>ES</c:v>
                </c:pt>
                <c:pt idx="9">
                  <c:v>IT</c:v>
                </c:pt>
                <c:pt idx="10">
                  <c:v>IE</c:v>
                </c:pt>
              </c:strCache>
            </c:strRef>
          </c:cat>
          <c:val>
            <c:numRef>
              <c:f>'3 - CALC - 2015-2016'!$I$5:$I$15</c:f>
              <c:numCache>
                <c:formatCode>#,##0</c:formatCode>
                <c:ptCount val="11"/>
                <c:pt idx="0">
                  <c:v>5400</c:v>
                </c:pt>
                <c:pt idx="1">
                  <c:v>3962</c:v>
                </c:pt>
                <c:pt idx="2">
                  <c:v>2692</c:v>
                </c:pt>
                <c:pt idx="3">
                  <c:v>2132</c:v>
                </c:pt>
                <c:pt idx="4">
                  <c:v>1418</c:v>
                </c:pt>
                <c:pt idx="5">
                  <c:v>800</c:v>
                </c:pt>
                <c:pt idx="6">
                  <c:v>800</c:v>
                </c:pt>
                <c:pt idx="7">
                  <c:v>557</c:v>
                </c:pt>
                <c:pt idx="8">
                  <c:v>250</c:v>
                </c:pt>
                <c:pt idx="9">
                  <c:v>184</c:v>
                </c:pt>
                <c:pt idx="10">
                  <c:v>108</c:v>
                </c:pt>
              </c:numCache>
            </c:numRef>
          </c:val>
        </c:ser>
        <c:dLbls>
          <c:showLegendKey val="0"/>
          <c:showVal val="0"/>
          <c:showCatName val="0"/>
          <c:showSerName val="0"/>
          <c:showPercent val="0"/>
          <c:showBubbleSize val="0"/>
        </c:dLbls>
        <c:gapWidth val="150"/>
        <c:axId val="365206528"/>
        <c:axId val="365208320"/>
      </c:barChart>
      <c:lineChart>
        <c:grouping val="standard"/>
        <c:varyColors val="0"/>
        <c:ser>
          <c:idx val="1"/>
          <c:order val="1"/>
          <c:spPr>
            <a:ln w="41275"/>
          </c:spPr>
          <c:marker>
            <c:symbol val="none"/>
          </c:marker>
          <c:cat>
            <c:strRef>
              <c:f>'3 - CALC - 2015-2016'!$H$5:$H$15</c:f>
              <c:strCache>
                <c:ptCount val="11"/>
                <c:pt idx="0">
                  <c:v>BE</c:v>
                </c:pt>
                <c:pt idx="1">
                  <c:v>FI</c:v>
                </c:pt>
                <c:pt idx="2">
                  <c:v>DE</c:v>
                </c:pt>
                <c:pt idx="3">
                  <c:v>FR</c:v>
                </c:pt>
                <c:pt idx="4">
                  <c:v>SE</c:v>
                </c:pt>
                <c:pt idx="5">
                  <c:v>EE</c:v>
                </c:pt>
                <c:pt idx="6">
                  <c:v>NL</c:v>
                </c:pt>
                <c:pt idx="7">
                  <c:v>EL</c:v>
                </c:pt>
                <c:pt idx="8">
                  <c:v>ES</c:v>
                </c:pt>
                <c:pt idx="9">
                  <c:v>IT</c:v>
                </c:pt>
                <c:pt idx="10">
                  <c:v>IE</c:v>
                </c:pt>
              </c:strCache>
            </c:strRef>
          </c:cat>
          <c:val>
            <c:numRef>
              <c:f>'3 - CALC - 2015-2016'!$J$5:$J$15</c:f>
              <c:numCache>
                <c:formatCode>#,##0</c:formatCode>
                <c:ptCount val="11"/>
                <c:pt idx="0">
                  <c:v>1663.909090909091</c:v>
                </c:pt>
                <c:pt idx="1">
                  <c:v>1663.909090909091</c:v>
                </c:pt>
                <c:pt idx="2">
                  <c:v>1663.909090909091</c:v>
                </c:pt>
                <c:pt idx="3">
                  <c:v>1663.909090909091</c:v>
                </c:pt>
                <c:pt idx="4">
                  <c:v>1663.909090909091</c:v>
                </c:pt>
                <c:pt idx="5">
                  <c:v>1663.909090909091</c:v>
                </c:pt>
                <c:pt idx="6">
                  <c:v>1663.909090909091</c:v>
                </c:pt>
                <c:pt idx="7">
                  <c:v>1663.909090909091</c:v>
                </c:pt>
                <c:pt idx="8">
                  <c:v>1663.909090909091</c:v>
                </c:pt>
                <c:pt idx="9">
                  <c:v>1663.909090909091</c:v>
                </c:pt>
                <c:pt idx="10">
                  <c:v>1663.909090909091</c:v>
                </c:pt>
              </c:numCache>
            </c:numRef>
          </c:val>
          <c:smooth val="0"/>
        </c:ser>
        <c:dLbls>
          <c:showLegendKey val="0"/>
          <c:showVal val="0"/>
          <c:showCatName val="0"/>
          <c:showSerName val="0"/>
          <c:showPercent val="0"/>
          <c:showBubbleSize val="0"/>
        </c:dLbls>
        <c:marker val="1"/>
        <c:smooth val="0"/>
        <c:axId val="365206528"/>
        <c:axId val="365208320"/>
      </c:lineChart>
      <c:catAx>
        <c:axId val="365206528"/>
        <c:scaling>
          <c:orientation val="minMax"/>
        </c:scaling>
        <c:delete val="0"/>
        <c:axPos val="b"/>
        <c:numFmt formatCode="General" sourceLinked="0"/>
        <c:majorTickMark val="out"/>
        <c:minorTickMark val="none"/>
        <c:tickLblPos val="nextTo"/>
        <c:crossAx val="365208320"/>
        <c:crosses val="autoZero"/>
        <c:auto val="1"/>
        <c:lblAlgn val="ctr"/>
        <c:lblOffset val="100"/>
        <c:noMultiLvlLbl val="0"/>
      </c:catAx>
      <c:valAx>
        <c:axId val="365208320"/>
        <c:scaling>
          <c:orientation val="minMax"/>
        </c:scaling>
        <c:delete val="0"/>
        <c:axPos val="l"/>
        <c:majorGridlines/>
        <c:numFmt formatCode="#,##0" sourceLinked="1"/>
        <c:majorTickMark val="out"/>
        <c:minorTickMark val="none"/>
        <c:tickLblPos val="nextTo"/>
        <c:crossAx val="3652065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98232023554534E-2"/>
          <c:y val="4.217544537459101E-2"/>
          <c:w val="0.92405195050809374"/>
          <c:h val="0.87400819021674114"/>
        </c:manualLayout>
      </c:layout>
      <c:barChart>
        <c:barDir val="col"/>
        <c:grouping val="clustered"/>
        <c:varyColors val="0"/>
        <c:ser>
          <c:idx val="0"/>
          <c:order val="0"/>
          <c:tx>
            <c:strRef>
              <c:f>'6 - CALC 2015-2016'!$L$4</c:f>
              <c:strCache>
                <c:ptCount val="1"/>
                <c:pt idx="0">
                  <c:v>REQUESTED AMOUNT PER WORKER</c:v>
                </c:pt>
              </c:strCache>
            </c:strRef>
          </c:tx>
          <c:invertIfNegative val="0"/>
          <c:dLbls>
            <c:dLbl>
              <c:idx val="0"/>
              <c:layout>
                <c:manualLayout>
                  <c:x val="0"/>
                  <c:y val="-1.0454544955640899E-2"/>
                </c:manualLayout>
              </c:layout>
              <c:showLegendKey val="0"/>
              <c:showVal val="1"/>
              <c:showCatName val="0"/>
              <c:showSerName val="0"/>
              <c:showPercent val="0"/>
              <c:showBubbleSize val="0"/>
            </c:dLbl>
            <c:dLbl>
              <c:idx val="2"/>
              <c:layout>
                <c:manualLayout>
                  <c:x val="0"/>
                  <c:y val="6.9696966370939332E-3"/>
                </c:manualLayout>
              </c:layout>
              <c:tx>
                <c:rich>
                  <a:bodyPr/>
                  <a:lstStyle/>
                  <a:p>
                    <a:r>
                      <a:rPr lang="en-US"/>
                      <a:t>4.311</a:t>
                    </a:r>
                  </a:p>
                </c:rich>
              </c:tx>
              <c:showLegendKey val="0"/>
              <c:showVal val="1"/>
              <c:showCatName val="0"/>
              <c:showSerName val="0"/>
              <c:showPercent val="0"/>
              <c:showBubbleSize val="0"/>
            </c:dLbl>
            <c:dLbl>
              <c:idx val="3"/>
              <c:layout>
                <c:manualLayout>
                  <c:x val="1.531801588031974E-3"/>
                  <c:y val="-3.8333331504016632E-2"/>
                </c:manualLayout>
              </c:layout>
              <c:showLegendKey val="0"/>
              <c:showVal val="1"/>
              <c:showCatName val="0"/>
              <c:showSerName val="0"/>
              <c:showPercent val="0"/>
              <c:showBubbleSize val="0"/>
            </c:dLbl>
            <c:dLbl>
              <c:idx val="4"/>
              <c:layout>
                <c:manualLayout>
                  <c:x val="-9.1908095281917866E-3"/>
                  <c:y val="0"/>
                </c:manualLayout>
              </c:layout>
              <c:showLegendKey val="0"/>
              <c:showVal val="1"/>
              <c:showCatName val="0"/>
              <c:showSerName val="0"/>
              <c:showPercent val="0"/>
              <c:showBubbleSize val="0"/>
            </c:dLbl>
            <c:dLbl>
              <c:idx val="5"/>
              <c:layout>
                <c:manualLayout>
                  <c:x val="4.5954047640959219E-3"/>
                  <c:y val="-2.4393938229828764E-2"/>
                </c:manualLayout>
              </c:layout>
              <c:showLegendKey val="0"/>
              <c:showVal val="1"/>
              <c:showCatName val="0"/>
              <c:showSerName val="0"/>
              <c:showPercent val="0"/>
              <c:showBubbleSize val="0"/>
            </c:dLbl>
            <c:dLbl>
              <c:idx val="6"/>
              <c:layout>
                <c:manualLayout>
                  <c:x val="1.531801588031974E-3"/>
                  <c:y val="-4.1818179822563598E-2"/>
                </c:manualLayout>
              </c:layout>
              <c:showLegendKey val="0"/>
              <c:showVal val="1"/>
              <c:showCatName val="0"/>
              <c:showSerName val="0"/>
              <c:showPercent val="0"/>
              <c:showBubbleSize val="0"/>
            </c:dLbl>
            <c:dLbl>
              <c:idx val="7"/>
              <c:layout>
                <c:manualLayout>
                  <c:x val="1.531801588031974E-3"/>
                  <c:y val="-5.9242421415298431E-2"/>
                </c:manualLayout>
              </c:layout>
              <c:showLegendKey val="0"/>
              <c:showVal val="1"/>
              <c:showCatName val="0"/>
              <c:showSerName val="0"/>
              <c:showPercent val="0"/>
              <c:showBubbleSize val="0"/>
            </c:dLbl>
            <c:dLbl>
              <c:idx val="8"/>
              <c:layout>
                <c:manualLayout>
                  <c:x val="-1.531801588031974E-3"/>
                  <c:y val="-7.666666300803332E-2"/>
                </c:manualLayout>
              </c:layout>
              <c:showLegendKey val="0"/>
              <c:showVal val="1"/>
              <c:showCatName val="0"/>
              <c:showSerName val="0"/>
              <c:showPercent val="0"/>
              <c:showBubbleSize val="0"/>
            </c:dLbl>
            <c:dLbl>
              <c:idx val="9"/>
              <c:layout>
                <c:manualLayout>
                  <c:x val="0"/>
                  <c:y val="-0.12196969114914376"/>
                </c:manualLayout>
              </c:layout>
              <c:showLegendKey val="0"/>
              <c:showVal val="1"/>
              <c:showCatName val="0"/>
              <c:showSerName val="0"/>
              <c:showPercent val="0"/>
              <c:showBubbleSize val="0"/>
            </c:dLbl>
            <c:dLbl>
              <c:idx val="10"/>
              <c:layout>
                <c:manualLayout>
                  <c:x val="-3.063603176063948E-3"/>
                  <c:y val="-0.12893938778623776"/>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'6 - CALC 2015-2016'!$K$5:$K$15</c:f>
              <c:strCache>
                <c:ptCount val="11"/>
                <c:pt idx="0">
                  <c:v>IT</c:v>
                </c:pt>
                <c:pt idx="1">
                  <c:v>EL</c:v>
                </c:pt>
                <c:pt idx="2">
                  <c:v>SE</c:v>
                </c:pt>
                <c:pt idx="3">
                  <c:v>ES</c:v>
                </c:pt>
                <c:pt idx="4">
                  <c:v>FI</c:v>
                </c:pt>
                <c:pt idx="5">
                  <c:v>DE</c:v>
                </c:pt>
                <c:pt idx="6">
                  <c:v>FR</c:v>
                </c:pt>
                <c:pt idx="7">
                  <c:v>NL</c:v>
                </c:pt>
                <c:pt idx="8">
                  <c:v>IE</c:v>
                </c:pt>
                <c:pt idx="9">
                  <c:v>BE</c:v>
                </c:pt>
                <c:pt idx="10">
                  <c:v>EE</c:v>
                </c:pt>
              </c:strCache>
            </c:strRef>
          </c:cat>
          <c:val>
            <c:numRef>
              <c:f>'6 - CALC 2015-2016'!$L$5:$L$15</c:f>
              <c:numCache>
                <c:formatCode>#,##0</c:formatCode>
                <c:ptCount val="11"/>
                <c:pt idx="0">
                  <c:v>7689.391304347826</c:v>
                </c:pt>
                <c:pt idx="1">
                  <c:v>5880</c:v>
                </c:pt>
                <c:pt idx="2">
                  <c:v>4056.1551480959097</c:v>
                </c:pt>
                <c:pt idx="3">
                  <c:v>3427.2</c:v>
                </c:pt>
                <c:pt idx="4">
                  <c:v>3027.2589601211507</c:v>
                </c:pt>
                <c:pt idx="5">
                  <c:v>2584.9268202080239</c:v>
                </c:pt>
                <c:pt idx="6">
                  <c:v>2414.0712945590994</c:v>
                </c:pt>
                <c:pt idx="7">
                  <c:v>2273.4375</c:v>
                </c:pt>
                <c:pt idx="8">
                  <c:v>2048</c:v>
                </c:pt>
                <c:pt idx="9">
                  <c:v>1584.1636206896551</c:v>
                </c:pt>
                <c:pt idx="10">
                  <c:v>1414.1975</c:v>
                </c:pt>
              </c:numCache>
            </c:numRef>
          </c:val>
        </c:ser>
        <c:dLbls>
          <c:showLegendKey val="0"/>
          <c:showVal val="0"/>
          <c:showCatName val="0"/>
          <c:showSerName val="0"/>
          <c:showPercent val="0"/>
          <c:showBubbleSize val="0"/>
        </c:dLbls>
        <c:gapWidth val="150"/>
        <c:axId val="365438464"/>
        <c:axId val="365440000"/>
      </c:barChart>
      <c:lineChart>
        <c:grouping val="standard"/>
        <c:varyColors val="0"/>
        <c:ser>
          <c:idx val="1"/>
          <c:order val="1"/>
          <c:tx>
            <c:strRef>
              <c:f>'6 - CALC 2015-2016'!$M$4</c:f>
              <c:strCache>
                <c:ptCount val="1"/>
                <c:pt idx="0">
                  <c:v>AVERAGE</c:v>
                </c:pt>
              </c:strCache>
            </c:strRef>
          </c:tx>
          <c:spPr>
            <a:ln w="34925"/>
          </c:spPr>
          <c:marker>
            <c:symbol val="none"/>
          </c:marker>
          <c:cat>
            <c:strRef>
              <c:f>'6 - CALC 2015-2016'!$K$5:$K$15</c:f>
              <c:strCache>
                <c:ptCount val="11"/>
                <c:pt idx="0">
                  <c:v>IT</c:v>
                </c:pt>
                <c:pt idx="1">
                  <c:v>EL</c:v>
                </c:pt>
                <c:pt idx="2">
                  <c:v>SE</c:v>
                </c:pt>
                <c:pt idx="3">
                  <c:v>ES</c:v>
                </c:pt>
                <c:pt idx="4">
                  <c:v>FI</c:v>
                </c:pt>
                <c:pt idx="5">
                  <c:v>DE</c:v>
                </c:pt>
                <c:pt idx="6">
                  <c:v>FR</c:v>
                </c:pt>
                <c:pt idx="7">
                  <c:v>NL</c:v>
                </c:pt>
                <c:pt idx="8">
                  <c:v>IE</c:v>
                </c:pt>
                <c:pt idx="9">
                  <c:v>BE</c:v>
                </c:pt>
                <c:pt idx="10">
                  <c:v>EE</c:v>
                </c:pt>
              </c:strCache>
            </c:strRef>
          </c:cat>
          <c:val>
            <c:numRef>
              <c:f>'6 - CALC 2015-2016'!$M$5:$M$15</c:f>
              <c:numCache>
                <c:formatCode>#,##0</c:formatCode>
                <c:ptCount val="11"/>
                <c:pt idx="0">
                  <c:v>2644</c:v>
                </c:pt>
                <c:pt idx="1">
                  <c:v>2644</c:v>
                </c:pt>
                <c:pt idx="2">
                  <c:v>2644</c:v>
                </c:pt>
                <c:pt idx="3">
                  <c:v>2644</c:v>
                </c:pt>
                <c:pt idx="4">
                  <c:v>2644</c:v>
                </c:pt>
                <c:pt idx="5">
                  <c:v>2644</c:v>
                </c:pt>
                <c:pt idx="6">
                  <c:v>2644</c:v>
                </c:pt>
                <c:pt idx="7">
                  <c:v>2644</c:v>
                </c:pt>
                <c:pt idx="8">
                  <c:v>2644</c:v>
                </c:pt>
                <c:pt idx="9">
                  <c:v>2644</c:v>
                </c:pt>
                <c:pt idx="10">
                  <c:v>2644</c:v>
                </c:pt>
              </c:numCache>
            </c:numRef>
          </c:val>
          <c:smooth val="0"/>
        </c:ser>
        <c:dLbls>
          <c:showLegendKey val="0"/>
          <c:showVal val="0"/>
          <c:showCatName val="0"/>
          <c:showSerName val="0"/>
          <c:showPercent val="0"/>
          <c:showBubbleSize val="0"/>
        </c:dLbls>
        <c:marker val="1"/>
        <c:smooth val="0"/>
        <c:axId val="365438464"/>
        <c:axId val="365440000"/>
      </c:lineChart>
      <c:catAx>
        <c:axId val="365438464"/>
        <c:scaling>
          <c:orientation val="minMax"/>
        </c:scaling>
        <c:delete val="0"/>
        <c:axPos val="b"/>
        <c:majorTickMark val="out"/>
        <c:minorTickMark val="none"/>
        <c:tickLblPos val="nextTo"/>
        <c:crossAx val="365440000"/>
        <c:crosses val="autoZero"/>
        <c:auto val="1"/>
        <c:lblAlgn val="ctr"/>
        <c:lblOffset val="100"/>
        <c:noMultiLvlLbl val="0"/>
      </c:catAx>
      <c:valAx>
        <c:axId val="365440000"/>
        <c:scaling>
          <c:orientation val="minMax"/>
        </c:scaling>
        <c:delete val="0"/>
        <c:axPos val="l"/>
        <c:majorGridlines/>
        <c:numFmt formatCode="#,##0" sourceLinked="1"/>
        <c:majorTickMark val="out"/>
        <c:minorTickMark val="none"/>
        <c:tickLblPos val="nextTo"/>
        <c:crossAx val="3654384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2926E-CB13-4117-A224-6D669A14F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33</Pages>
  <Words>7507</Words>
  <Characters>42793</Characters>
  <Application>Microsoft Office Word</Application>
  <DocSecurity>0</DocSecurity>
  <Lines>356</Lines>
  <Paragraphs>100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25</cp:revision>
  <cp:lastPrinted>2017-07-10T16:47:00Z</cp:lastPrinted>
  <dcterms:created xsi:type="dcterms:W3CDTF">2017-08-24T07:54:00Z</dcterms:created>
  <dcterms:modified xsi:type="dcterms:W3CDTF">2017-10-24T07:28:00Z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