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C22DDDFD-627A-40D1-8EE9-C7F566BC9E94" style="width:450.35pt;height:307.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упражняването на делегирането, предоставено на Комисията с Регламент (ЕС) № 576/2013 относно движението с нетърговска цел на домашни любимци</w:t>
      </w:r>
    </w:p>
    <w:p>
      <w:pPr>
        <w:spacing w:before="120" w:after="120" w:line="240" w:lineRule="auto"/>
        <w:ind w:left="284" w:hanging="284"/>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Въведение и правно основание</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Съгласно 39, параграф 2 от Регламент (ЕС) № 576/2013 на Европейския парламент и на Съвета</w:t>
      </w:r>
      <w:r>
        <w:rPr>
          <w:noProof/>
          <w:vertAlign w:val="superscript"/>
        </w:rPr>
        <w:footnoteReference w:id="1"/>
      </w:r>
      <w:r>
        <w:rPr>
          <w:rFonts w:ascii="Times New Roman" w:hAnsi="Times New Roman"/>
          <w:noProof/>
          <w:sz w:val="24"/>
        </w:rPr>
        <w:t xml:space="preserve"> (наричан по-долу „Регламентът за домашните любимци“) от Комисията се изисква да представи на Европейския парламент и на Съвета доклад относно упражняването на делегирането, предоставено на Комисията с посочения регламент. Докладът следва да се изготви не по-късно от девет месеца преди изтичането на петгодишния срок на делегирането, започнал да тече на 28 юни 2013 г. Делегирането на правомощия следва да се подновява мълчаливо за периоди с еднаква продължителност, освен ако Европейският парламент или Съветът не възразят срещу подобно подновяване не по-късно от три месеца преди края на всеки период.</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Упражняване на делегирането</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Член 39, параграф 2 от Регламента за домашните любимци се прилага за правомощието за приемане на делегирани актове, предоставено на Комисията по силата на член 5, параграф 5, член 17, параграф 2, втората алинея, член 19, параграф 1, първата алинея и член 38 от посочения регламент.</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По-конкретно:</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По силата на член 5, параграф 5 от Регламента за домашните любимци Комисията се оправомощава да определя правила за максималния брой домашни любимци от видовете, посочени в част Б от приложение І, които могат да придружават собственика или упълномощено лице по време на едно-единствено движение с нетърговска цел, за да се предотврати измамното представяне на движение с търговска цел на домашни любимци от тези видове като движение с нетърговска цел. В това отношение е необходимо да се натрупа повече опит от практическото прилагане на новите правила, преди да се пристъпи към изготвянето на делегиран акт във връзка с броя домашни любимци от видовете, посочени в част Б.</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 xml:space="preserve">По силата на член 17, параграф 2, </w:t>
      </w:r>
      <w:r>
        <w:rPr>
          <w:rFonts w:ascii="Times New Roman" w:hAnsi="Times New Roman"/>
          <w:noProof/>
        </w:rPr>
        <w:t>втората алинея</w:t>
      </w:r>
      <w:r>
        <w:rPr>
          <w:rFonts w:ascii="Times New Roman" w:hAnsi="Times New Roman"/>
          <w:noProof/>
          <w:sz w:val="20"/>
        </w:rPr>
        <w:t xml:space="preserve"> </w:t>
      </w:r>
      <w:r>
        <w:rPr>
          <w:rFonts w:ascii="Times New Roman" w:hAnsi="Times New Roman"/>
          <w:noProof/>
          <w:sz w:val="24"/>
        </w:rPr>
        <w:t>от Регламента за домашните любимци Комисията се оправомощава да установи специфични за отделните видове изисквания за маркиране или описване на домашните любимци от видовете, посочени в част Б от приложение І, при отчитане на относимите национални изисквания. При все че към настоящия момент не е назряла необходимостта от определяне на такива изисквания в делегиран акт, Комисията има готовност да пристъпи към изготвянето на делегиран акт във връзка с маркирането или описването на домашните любимци от видовете, посочени в част Б, в съответствие с тази разпоредба, ако това е обосновано от научния или техническия прогрес или от натрупания опит във връзка с практическото прилагане на Регламента за домашните любимци.</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 xml:space="preserve">По силата на член 19, параграф 1 от Регламента за домашните любимци Комисията се оправомощава да приема превантивни здравни мерки за контрол на болестите или заразите, различни от бяс, които е възможно да се разпространят поради движението на домашните любимци. Въз основа на това правомощие Комисията изготви проект на делегиран регламент на Комисията за допълнение на Регламент (ЕС) № 576/2013 на Европейския парламент и на Съвета по отношение на превантивните здравни мерки за контрол на инфекцията </w:t>
      </w:r>
      <w:r>
        <w:rPr>
          <w:rFonts w:ascii="Times New Roman" w:hAnsi="Times New Roman"/>
          <w:i/>
          <w:noProof/>
          <w:sz w:val="24"/>
        </w:rPr>
        <w:t>Echinococcus multilocularis</w:t>
      </w:r>
      <w:r>
        <w:rPr>
          <w:rFonts w:ascii="Times New Roman" w:hAnsi="Times New Roman"/>
          <w:noProof/>
          <w:sz w:val="24"/>
        </w:rPr>
        <w:t xml:space="preserve"> при кучетата и за отмяна на Делегиран регламент (ЕС) № 1152/2011. С оглед на приемането му от Комисията и нотифицирането на Европейския парламент и Съвета за този проект в съответствие с член 39, параграф 4 от Регламента за домашните любимци проектът бе отворен за коментари в периода от 8 септември до 6 октомври 2017 г. в раздела за обществени консултации на уебсайта на Комисията</w:t>
      </w:r>
      <w:r>
        <w:rPr>
          <w:rStyle w:val="FootnoteReference"/>
          <w:rFonts w:ascii="Times New Roman" w:hAnsi="Times New Roman"/>
          <w:noProof/>
          <w:sz w:val="24"/>
        </w:rPr>
        <w:footnoteReference w:id="2"/>
      </w:r>
      <w:r>
        <w:rPr>
          <w:rFonts w:ascii="Times New Roman" w:hAnsi="Times New Roman"/>
          <w:noProof/>
          <w:sz w:val="24"/>
        </w:rPr>
        <w:t>.</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По силата на член 38 от Регламента за домашните любимци Комисията се оправомощава да изменя приложения II — IV към посочения регламент и по този начин да определя допълнителни подробности по различните технически аспекти, обхванати от тези приложения, с оглед отчитане на техническия прогрес, научните постижения и защитата на общественото здраве или на здравето на домашните любимци. Тъй като регламентът стана приложим едва от 29 декември 2014 г., необходимо е да се натрупа повече опит от практическото прилагане на новите правила, преди да се вземе решение за целесъобразното използване на това делегирано правомощие.</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Заключение</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 xml:space="preserve">Регламентът за домашните любимци се прилага от малко над две години и половина. </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 xml:space="preserve">До този момент Комисията подготви и започна обществена консултация по проекта на делегиран акт относно превантивните здравни мерки за контрол на инфекцията </w:t>
      </w:r>
      <w:r>
        <w:rPr>
          <w:rFonts w:ascii="Times New Roman" w:hAnsi="Times New Roman"/>
          <w:i/>
          <w:noProof/>
          <w:sz w:val="24"/>
        </w:rPr>
        <w:t>Echinococcus multilocularis</w:t>
      </w:r>
      <w:r>
        <w:rPr>
          <w:rFonts w:ascii="Times New Roman" w:hAnsi="Times New Roman"/>
          <w:noProof/>
          <w:sz w:val="24"/>
        </w:rPr>
        <w:t xml:space="preserve"> при кучета, въз основа на правомощието, предоставено ѝ по силата на член 19, параграф 1, първата алинея от посочения регламент. </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Засега Комисията не възнамерява да пристъпи към изготвянето на делегиран акт във връзка с някое от делегираните ѝ правомощия, посочени в член 5, параграф 5, член 17, параграф 2, втората алинея или член 38 от Регламента за домашните любимци.</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Комисията счита, че делегираните правомощия, предоставени ѝ с Регламента за домашните любимци, следва да останат в сила поради необходимостта да се натрупа повече опит от практическото прилагане на регламента, за да бъде в състояние да реагира на новите или нововъзникващите заплахи за здравето, свързани с движението на домашни любимци, и да се адаптира към техническия прогрес и научните достижения.</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4830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rPr>
          <w:rFonts w:ascii="Times New Roman" w:hAnsi="Times New Roman" w:cs="Times New Roman"/>
        </w:rPr>
      </w:pPr>
      <w:r>
        <w:rPr>
          <w:rStyle w:val="FootnoteReference"/>
          <w:rFonts w:ascii="Times New Roman" w:hAnsi="Times New Roman"/>
        </w:rPr>
        <w:footnoteRef/>
      </w:r>
      <w:r>
        <w:tab/>
      </w:r>
      <w:r>
        <w:rPr>
          <w:rFonts w:ascii="Times New Roman" w:hAnsi="Times New Roman"/>
          <w:sz w:val="16"/>
        </w:rPr>
        <w:t>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 (ОВ L 178, 28.6.2013 г., стр. 1).</w:t>
      </w:r>
    </w:p>
  </w:footnote>
  <w:footnote w:id="2">
    <w:p>
      <w:pPr>
        <w:pStyle w:val="FootnoteText"/>
        <w:ind w:left="567" w:hanging="567"/>
      </w:pPr>
      <w:r>
        <w:rPr>
          <w:rStyle w:val="FootnoteReference"/>
        </w:rPr>
        <w:footnoteRef/>
      </w:r>
      <w:r>
        <w:tab/>
      </w:r>
      <w:hyperlink r:id="rId1" w:anchor="initiative-details">
        <w:r>
          <w:rPr>
            <w:rStyle w:val="Hyperlink"/>
            <w:rFonts w:ascii="Times New Roman" w:hAnsi="Times New Roman"/>
            <w:sz w:val="16"/>
          </w:rPr>
          <w:t>https://ec.europa.eu/info/law/better-regulation/initiatives/ares-2017-4396495_en#initiative-details</w:t>
        </w:r>
      </w:hyperlink>
      <w:r>
        <w:rPr>
          <w:rFonts w:ascii="Times New Roman" w:hAnsi="Times New Roman"/>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2DDDFD-627A-40D1-8EE9-C7F566BC9E94"/>
    <w:docVar w:name="LW_COVERPAGE_TYPE" w:val="1"/>
    <w:docVar w:name="LW_CROSSREFERENCE" w:val="&lt;UNUSED&gt;"/>
    <w:docVar w:name="LW_DocType" w:val="NORMAL"/>
    <w:docVar w:name="LW_EMISSION" w:val="31.10.2017"/>
    <w:docVar w:name="LW_EMISSION_ISODATE" w:val="2017-10-3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91?\u1087?\u1088?\u1072?\u1078?\u1085?\u1103?\u1074?\u1072?\u1085?\u1077?\u1090?\u1086? \u1085?\u1072? \u1076?\u1077?\u1083?\u1077?\u1075?\u1080?\u1088?\u1072?\u1085?\u1077?\u1090?\u1086?, \u1087?\u1088?\u1077?\u1076?\u1086?\u1089?\u1090?\u1072?\u1074?\u1077?\u1085?\u1086? \u1085?\u1072? \u1050?\u1086?\u1084?\u1080?\u1089?\u1080?\u1103?\u1090?\u1072? \u1089? \u1056?\u1077?\u1075?\u1083?\u1072?\u1084?\u1077?\u1085?\u1090? (\u1045?\u1057?) \u8470? 576/2013 \u1086?\u1090?\u1085?\u1086?\u1089?\u1085?\u1086? \u1076?\u1074?\u1080?\u1078?\u1077?\u1085?\u1080?\u1077?\u1090?\u1086? \u1089? \u1085?\u1077?\u1090?\u1098?\u1088?\u1075?\u1086?\u1074?\u1089?\u1082?\u1072? \u1094?\u1077?\u1083? \u1085?\u1072? \u1076?\u1086?\u1084?\u1072?\u1096?\u1085?\u1080? \u1083?\u1102?\u1073?\u1080?\u1084?\u1094?\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initiatives/ares-2017-4396495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394C-310D-4BA5-B833-FDD40ACD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808</Words>
  <Characters>4496</Characters>
  <Application>Microsoft Office Word</Application>
  <DocSecurity>0</DocSecurity>
  <Lines>80</Lines>
  <Paragraphs>18</Paragraphs>
  <ScaleCrop>false</ScaleCrop>
  <HeadingPairs>
    <vt:vector size="2" baseType="variant">
      <vt:variant>
        <vt:lpstr>Title</vt:lpstr>
      </vt:variant>
      <vt:variant>
        <vt:i4>1</vt:i4>
      </vt:variant>
    </vt:vector>
  </HeadingPairs>
  <TitlesOfParts>
    <vt:vector size="1" baseType="lpstr">
      <vt:lpstr>SANTE/7080/2017-EN</vt:lpstr>
    </vt:vector>
  </TitlesOfParts>
  <Manager/>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SANTE/7080/2017-EN</dc:title>
  <dc:subject>Report</dc:subject>
  <dc:creator/>
  <cp:keywords>7080</cp:keywords>
  <dc:description>OUTLOOK - 9.10.2017</dc:description>
  <cp:lastModifiedBy>DIGIT/A3</cp:lastModifiedBy>
  <cp:revision>22</cp:revision>
  <cp:lastPrinted>2017-09-12T08:56:00Z</cp:lastPrinted>
  <dcterms:created xsi:type="dcterms:W3CDTF">2017-10-09T12:08:00Z</dcterms:created>
  <dcterms:modified xsi:type="dcterms:W3CDTF">2017-10-30T10:52:00Z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