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913365A-DC4F-45AA-A07C-2D14C2A285D4" style="width:450.75pt;height:43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Съвместния комитет на министрите и Съвместния комитет за сътрудничество, създадени със Споразумението за стратегическо партньорство между Европейския съюз и неговите държави членки, от една страна, и Канада, от друга страна, във връзка с предвиденото приемане на процедурния правилник на Съвместния комитет на министрите, процедурните правила на Съвместния комитет за сътрудничество и процедурните правила на подкомитетите, създадени от Съвместния комитет за сътрудничество. </w:t>
      </w:r>
    </w:p>
    <w:p>
      <w:pPr>
        <w:pStyle w:val="ManualHeading1"/>
        <w:rPr>
          <w:rFonts w:eastAsia="Arial Unicode MS"/>
          <w:noProof/>
        </w:rPr>
      </w:pPr>
      <w:r>
        <w:rPr>
          <w:noProof/>
        </w:rPr>
        <w:t>2.</w:t>
      </w:r>
      <w:r>
        <w:rPr>
          <w:noProof/>
        </w:rPr>
        <w:tab/>
        <w:t>КОНТЕКСТ НА ПРЕДЛОЖЕНИЕТО</w:t>
      </w:r>
    </w:p>
    <w:p>
      <w:pPr>
        <w:pStyle w:val="ManualHeading2"/>
        <w:rPr>
          <w:rFonts w:eastAsia="Arial Unicode MS"/>
          <w:noProof/>
        </w:rPr>
      </w:pPr>
      <w:r>
        <w:rPr>
          <w:noProof/>
        </w:rPr>
        <w:t>2.1.</w:t>
      </w:r>
      <w:r>
        <w:rPr>
          <w:noProof/>
        </w:rPr>
        <w:tab/>
        <w:t>Споразумението за стратегическо партньорство между ЕС и Канада</w:t>
      </w:r>
    </w:p>
    <w:p>
      <w:pPr>
        <w:pBdr>
          <w:top w:val="nil"/>
          <w:left w:val="nil"/>
          <w:bottom w:val="nil"/>
          <w:right w:val="nil"/>
          <w:between w:val="nil"/>
          <w:bar w:val="nil"/>
        </w:pBdr>
        <w:spacing w:before="0" w:after="240"/>
        <w:rPr>
          <w:rFonts w:eastAsia="Arial Unicode MS"/>
          <w:noProof/>
        </w:rPr>
      </w:pPr>
      <w:r>
        <w:rPr>
          <w:noProof/>
        </w:rPr>
        <w:t>Споразумението за стратегическо партньорство между Европейския съюз и неговите държави членки, от една страна, и Канада, от друга страна (наричано по-нататък „Споразумението“), има за цел да актуализира стратегическите отношения между ЕС и Канада, като осигури цялостна рамка за сътрудничество по въпросите на външната политика и политиката на сигурност, както и в редица секторни области на политиката. Споразумението се основава на общите ценности и принципи на ЕС и Канада по отношение на демокрацията, правата на човека, мира и сигурността и върховенството на закона и също така е насочено към засилването и разширяването на политическия диалог и към разпространяването на тези ценности по света. За да бъдат постигнати посочените цели, Споразумението въвежда структурирани механизми за консултации.</w:t>
      </w:r>
    </w:p>
    <w:p>
      <w:pPr>
        <w:pBdr>
          <w:top w:val="nil"/>
          <w:left w:val="nil"/>
          <w:bottom w:val="nil"/>
          <w:right w:val="nil"/>
          <w:between w:val="nil"/>
          <w:bar w:val="nil"/>
        </w:pBdr>
        <w:spacing w:before="0" w:after="240"/>
        <w:rPr>
          <w:rFonts w:eastAsia="Arial Unicode MS"/>
          <w:noProof/>
        </w:rPr>
      </w:pPr>
      <w:r>
        <w:rPr>
          <w:noProof/>
        </w:rPr>
        <w:t>Споразумението се прилага временно от 1 април 2017 г.</w:t>
      </w:r>
    </w:p>
    <w:p>
      <w:pPr>
        <w:pStyle w:val="ManualHeading2"/>
        <w:rPr>
          <w:rFonts w:eastAsia="Times New Roman"/>
          <w:noProof/>
        </w:rPr>
      </w:pPr>
      <w:r>
        <w:rPr>
          <w:noProof/>
        </w:rPr>
        <w:t>2.2.</w:t>
      </w:r>
      <w:r>
        <w:rPr>
          <w:noProof/>
        </w:rPr>
        <w:tab/>
        <w:t>Съвместен комитет на министрите</w:t>
      </w:r>
    </w:p>
    <w:p>
      <w:pPr>
        <w:rPr>
          <w:rFonts w:eastAsia="Arial Unicode MS"/>
          <w:noProof/>
        </w:rPr>
      </w:pPr>
      <w:r>
        <w:rPr>
          <w:noProof/>
        </w:rPr>
        <w:t xml:space="preserve">Съвместният комитет на министрите (СКМ) е създаден с член 27, параграф 2 от Споразумението.  Основната му задача е да направи преглед на цялостното сътрудничество между ЕС и Канада и да даде стратегически насоки с цел да се улесни прилагането на Споразумението, да се осигури съгласуваност и да се разшири неговият обхват, когато това е възможно. </w:t>
      </w:r>
    </w:p>
    <w:p>
      <w:pPr>
        <w:rPr>
          <w:rFonts w:eastAsia="Arial Unicode MS"/>
          <w:noProof/>
        </w:rPr>
      </w:pPr>
      <w:r>
        <w:rPr>
          <w:noProof/>
        </w:rPr>
        <w:t>По-специално СКМ ще направи равносметка на сътрудничеството въз основа на годишен доклад, изготвен от Съвместния комитет за сътрудничество. В доклада ще бъдат отправени препоръки за работата на Съвместния комитет за сътрудничество, включително във връзка с нови области за бъдещо сътрудничество и с разрешаването на спорове, възникнали при прилагането на Споразумението, в съответствие с член 28 от него.</w:t>
      </w:r>
    </w:p>
    <w:p>
      <w:pPr>
        <w:spacing w:before="0" w:after="200" w:line="276" w:lineRule="auto"/>
        <w:rPr>
          <w:rFonts w:eastAsia="Arial Unicode MS"/>
          <w:noProof/>
        </w:rPr>
      </w:pPr>
      <w:r>
        <w:rPr>
          <w:noProof/>
        </w:rPr>
        <w:t>СКМ може да взема решения с оглед на постигането на целите на Споразумението. Решенията ще бъдат приети, след като страните по Споразумението приключат съответните си вътрешни процедури в съответствие със своите законови и подзаконови разпоредби.</w:t>
      </w:r>
    </w:p>
    <w:p>
      <w:pPr>
        <w:spacing w:before="0" w:after="200" w:line="276" w:lineRule="auto"/>
        <w:rPr>
          <w:rFonts w:eastAsia="Times New Roman"/>
          <w:noProof/>
        </w:rPr>
      </w:pPr>
      <w:r>
        <w:rPr>
          <w:noProof/>
        </w:rPr>
        <w:t xml:space="preserve">СКМ се състои от представители на страните и се председателства съвместно от министъра на външните работи на Канада и върховния представител на Съюза по въпросите на външните работи и политиката на сигурност. Той заседава ежегодно или </w:t>
      </w:r>
      <w:r>
        <w:rPr>
          <w:noProof/>
        </w:rPr>
        <w:lastRenderedPageBreak/>
        <w:t>по взаимно съгласие в зависимост от обстоятелствата. Съвместният комитет приема свой процедурен правилник.</w:t>
      </w:r>
    </w:p>
    <w:p>
      <w:pPr>
        <w:pStyle w:val="ManualHeading2"/>
        <w:rPr>
          <w:rFonts w:eastAsia="Times New Roman"/>
          <w:noProof/>
        </w:rPr>
      </w:pPr>
      <w:r>
        <w:rPr>
          <w:noProof/>
        </w:rPr>
        <w:t>2.3.</w:t>
      </w:r>
      <w:r>
        <w:rPr>
          <w:noProof/>
        </w:rPr>
        <w:tab/>
      </w:r>
      <w:r>
        <w:rPr>
          <w:noProof/>
          <w:u w:color="000000"/>
          <w:bdr w:val="nil"/>
        </w:rPr>
        <w:t>Съвместен комитет за сътрудничество</w:t>
      </w:r>
    </w:p>
    <w:p>
      <w:pPr>
        <w:rPr>
          <w:rFonts w:eastAsia="Arial Unicode MS"/>
          <w:noProof/>
        </w:rPr>
      </w:pPr>
      <w:r>
        <w:rPr>
          <w:noProof/>
        </w:rPr>
        <w:t xml:space="preserve">Съвместният комитет за сътрудничество (СКС) е създаден с член 27, параграф 3 от Споразумението. Основните му задачи са: </w:t>
      </w:r>
    </w:p>
    <w:p>
      <w:pPr>
        <w:rPr>
          <w:rFonts w:eastAsia="Arial Unicode MS"/>
          <w:noProof/>
        </w:rPr>
      </w:pPr>
      <w:r>
        <w:rPr>
          <w:noProof/>
        </w:rPr>
        <w:t xml:space="preserve">- да препоръчва приоритети по отношение на сътрудничеството между страните; </w:t>
      </w:r>
    </w:p>
    <w:p>
      <w:pPr>
        <w:rPr>
          <w:rFonts w:eastAsia="Arial Unicode MS"/>
          <w:noProof/>
        </w:rPr>
      </w:pPr>
      <w:r>
        <w:rPr>
          <w:noProof/>
        </w:rPr>
        <w:t xml:space="preserve">- да наблюдава развитието на стратегическите отношения между страните; </w:t>
      </w:r>
    </w:p>
    <w:p>
      <w:pPr>
        <w:rPr>
          <w:rFonts w:eastAsia="Arial Unicode MS"/>
          <w:noProof/>
        </w:rPr>
      </w:pPr>
      <w:r>
        <w:rPr>
          <w:noProof/>
        </w:rPr>
        <w:t xml:space="preserve">-  да обменя становища и да прави предложения по всички въпроси от общ интерес; </w:t>
      </w:r>
    </w:p>
    <w:p>
      <w:pPr>
        <w:rPr>
          <w:rFonts w:eastAsia="Arial Unicode MS"/>
          <w:noProof/>
        </w:rPr>
      </w:pPr>
      <w:r>
        <w:rPr>
          <w:noProof/>
        </w:rPr>
        <w:t xml:space="preserve">- да отправя препоръки за ефикасност, по-голяма ефективност и полезни взаимодействия между страните; </w:t>
      </w:r>
    </w:p>
    <w:p>
      <w:pPr>
        <w:rPr>
          <w:rFonts w:eastAsia="Arial Unicode MS"/>
          <w:noProof/>
        </w:rPr>
      </w:pPr>
      <w:r>
        <w:rPr>
          <w:noProof/>
        </w:rPr>
        <w:t xml:space="preserve">- да осигурява правилното действие на споразумението; </w:t>
      </w:r>
    </w:p>
    <w:p>
      <w:pPr>
        <w:rPr>
          <w:rFonts w:eastAsia="Arial Unicode MS"/>
          <w:noProof/>
        </w:rPr>
      </w:pPr>
      <w:r>
        <w:rPr>
          <w:noProof/>
        </w:rPr>
        <w:t>- да представя годишен доклад на СКМ относно състоянието на отношенията, както и</w:t>
      </w:r>
    </w:p>
    <w:p>
      <w:pPr>
        <w:rPr>
          <w:rFonts w:eastAsia="Arial Unicode MS"/>
          <w:noProof/>
        </w:rPr>
      </w:pPr>
      <w:r>
        <w:rPr>
          <w:noProof/>
        </w:rPr>
        <w:t xml:space="preserve">- да създава подкомитети, които да го подпомагат в изпълнението на неговите задължения. </w:t>
      </w:r>
    </w:p>
    <w:p>
      <w:pPr>
        <w:rPr>
          <w:rFonts w:eastAsia="Arial Unicode MS"/>
          <w:noProof/>
        </w:rPr>
      </w:pPr>
      <w:r>
        <w:rPr>
          <w:noProof/>
        </w:rPr>
        <w:t>СКС се състои от представители на двете страни и се председателства съвместно от висш служител от Съюза и висш служител от Канада.  Той заседава веднъж годишно последователно в Съюза и Канада. СКС приема свои процедурни правила. Той може да поиска комитети или сходни органи, създадени по силата на съществуващи двустранни споразумения между страните, да предоставят редовно на СКС актуална информация за дейностите си като част от текущ, цялостен преглед на отношенията между страните.</w:t>
      </w:r>
    </w:p>
    <w:p>
      <w:pPr>
        <w:pStyle w:val="ManualHeading2"/>
        <w:rPr>
          <w:rFonts w:eastAsia="Arial Unicode MS"/>
          <w:noProof/>
          <w:u w:color="000000"/>
          <w:bdr w:val="nil"/>
        </w:rPr>
      </w:pPr>
      <w:r>
        <w:rPr>
          <w:noProof/>
        </w:rPr>
        <w:t>2.4.</w:t>
      </w:r>
      <w:r>
        <w:rPr>
          <w:noProof/>
        </w:rPr>
        <w:tab/>
      </w:r>
      <w:r>
        <w:rPr>
          <w:noProof/>
          <w:u w:color="000000"/>
          <w:bdr w:val="nil"/>
        </w:rPr>
        <w:t>Предвиден акт на Съвместния комитет на министрите</w:t>
      </w:r>
    </w:p>
    <w:p>
      <w:pPr>
        <w:rPr>
          <w:rFonts w:eastAsia="Arial Unicode MS"/>
          <w:noProof/>
        </w:rPr>
      </w:pPr>
      <w:r>
        <w:rPr>
          <w:noProof/>
        </w:rPr>
        <w:t>СКМ трябва да приеме решение по отношение на приемането на процедурния правилник на СКМ („предвидения акт“).</w:t>
      </w:r>
    </w:p>
    <w:p>
      <w:pPr>
        <w:rPr>
          <w:rFonts w:eastAsia="Arial Unicode MS"/>
          <w:noProof/>
        </w:rPr>
      </w:pPr>
      <w:r>
        <w:rPr>
          <w:noProof/>
        </w:rPr>
        <w:t>Целта на предвидения акт е в съответствие с член 27, параграф 2, буква б), подточка iv) от Споразумението да се приеме процедурният правилник, уреждащ функционирането на СКМ, за да бъде възможно прилагането на Споразумението.</w:t>
      </w:r>
    </w:p>
    <w:p>
      <w:pPr>
        <w:pStyle w:val="ManualHeading2"/>
        <w:rPr>
          <w:rFonts w:eastAsia="Arial Unicode MS"/>
          <w:noProof/>
          <w:u w:color="000000"/>
          <w:bdr w:val="nil"/>
        </w:rPr>
      </w:pPr>
      <w:r>
        <w:rPr>
          <w:noProof/>
        </w:rPr>
        <w:t>2.5.</w:t>
      </w:r>
      <w:r>
        <w:rPr>
          <w:noProof/>
        </w:rPr>
        <w:tab/>
      </w:r>
      <w:r>
        <w:rPr>
          <w:noProof/>
          <w:u w:color="000000"/>
          <w:bdr w:val="nil"/>
        </w:rPr>
        <w:t>Предвидени актове на Съвместния комитет за сътрудничество</w:t>
      </w:r>
    </w:p>
    <w:p>
      <w:pPr>
        <w:rPr>
          <w:rFonts w:eastAsia="Arial Unicode MS"/>
          <w:noProof/>
        </w:rPr>
      </w:pPr>
      <w:r>
        <w:rPr>
          <w:noProof/>
        </w:rPr>
        <w:t>СКС трябва да приеме своите процедурни правила и процедурните правила на подкомитетите („предвидените актове“).</w:t>
      </w:r>
    </w:p>
    <w:p>
      <w:pPr>
        <w:rPr>
          <w:rFonts w:eastAsia="Arial Unicode MS"/>
          <w:noProof/>
        </w:rPr>
      </w:pPr>
      <w:r>
        <w:rPr>
          <w:noProof/>
        </w:rPr>
        <w:t>Целта на предвидените актове е в съответствие с член 27, параграф 3, буква в) и член 27, параграф 3, буква б), подточка viii) от Споразумението да се приемат процедурните правила за функционирането на СКС и процедурните правила за функционирането на подкомитетите, създадени от СКС, за да бъде възможно прилагането на Споразумението.</w:t>
      </w:r>
    </w:p>
    <w:p>
      <w:pPr>
        <w:pStyle w:val="ManualHeading1"/>
        <w:rPr>
          <w:rFonts w:eastAsia="Arial Unicode MS"/>
          <w:noProof/>
        </w:rPr>
      </w:pPr>
      <w:r>
        <w:rPr>
          <w:noProof/>
        </w:rPr>
        <w:t>3.</w:t>
      </w:r>
      <w:r>
        <w:rPr>
          <w:noProof/>
        </w:rPr>
        <w:tab/>
        <w:t>ПОЗИЦИЯ, КОЯТО ТРЯБВА ДА СЕ ЗАЕМЕ ОТ ИМЕТО НА СЪЮЗА</w:t>
      </w:r>
    </w:p>
    <w:p>
      <w:pPr>
        <w:rPr>
          <w:rFonts w:eastAsia="Times New Roman"/>
          <w:noProof/>
        </w:rPr>
      </w:pPr>
      <w:r>
        <w:rPr>
          <w:noProof/>
        </w:rPr>
        <w:t>Позицията, която трябва да се заеме от името на Съюза, следва да е насочена към приемането на процедурния правилник на СКМ, процедурните правила на СКС и процедурните правила на подкомитетите, създадени от СКС, както е предвидено в Споразумението.</w:t>
      </w:r>
    </w:p>
    <w:p>
      <w:pPr>
        <w:pStyle w:val="ManualHeading1"/>
        <w:rPr>
          <w:rFonts w:eastAsia="Arial Unicode MS"/>
          <w:noProof/>
        </w:rPr>
      </w:pPr>
      <w:r>
        <w:rPr>
          <w:noProof/>
        </w:rPr>
        <w:t>4.</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4.1.</w:t>
      </w:r>
      <w:r>
        <w:rPr>
          <w:noProof/>
        </w:rPr>
        <w:tab/>
      </w:r>
      <w:r>
        <w:rPr>
          <w:noProof/>
          <w:u w:color="000000"/>
          <w:bdr w:val="nil"/>
        </w:rPr>
        <w:t>Процесуалноправно основание</w:t>
      </w:r>
    </w:p>
    <w:p>
      <w:pPr>
        <w:pStyle w:val="ManualHeading3"/>
        <w:rPr>
          <w:rFonts w:eastAsia="Times New Roman"/>
          <w:noProof/>
        </w:rPr>
      </w:pPr>
      <w:r>
        <w:rPr>
          <w:noProof/>
        </w:rPr>
        <w:t>4.1.1.</w:t>
      </w:r>
      <w:r>
        <w:rPr>
          <w:noProof/>
        </w:rPr>
        <w:tab/>
        <w:t>Принципи</w:t>
      </w:r>
    </w:p>
    <w:p>
      <w:pPr>
        <w:rPr>
          <w:rFonts w:eastAsia="Times New Roman"/>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rFonts w:eastAsia="Times New Roman"/>
          <w:noProof/>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на които се подчинява съответният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r>
        <w:rPr>
          <w:noProof/>
        </w:rPr>
        <w:t>.</w:t>
      </w:r>
    </w:p>
    <w:p>
      <w:pPr>
        <w:pStyle w:val="ManualHeading3"/>
        <w:rPr>
          <w:rFonts w:eastAsia="Times New Roman"/>
          <w:noProof/>
        </w:rPr>
      </w:pPr>
      <w:r>
        <w:rPr>
          <w:noProof/>
        </w:rPr>
        <w:t>4.1.2.</w:t>
      </w:r>
      <w:r>
        <w:rPr>
          <w:noProof/>
        </w:rPr>
        <w:tab/>
        <w:t>Приложение в конкретния случай</w:t>
      </w:r>
    </w:p>
    <w:p>
      <w:pPr>
        <w:rPr>
          <w:rFonts w:eastAsia="Times New Roman"/>
          <w:noProof/>
        </w:rPr>
      </w:pPr>
      <w:r>
        <w:rPr>
          <w:noProof/>
        </w:rPr>
        <w:t>СКM и СКС и неговите подкомитети са органи, създадени със Споразумението за стратегическо партньорство между Европейския съюз и неговите държави членки, от една страна, и Канада, от друга страна.</w:t>
      </w:r>
    </w:p>
    <w:p>
      <w:pPr>
        <w:rPr>
          <w:rFonts w:eastAsia="Times New Roman"/>
          <w:noProof/>
        </w:rPr>
      </w:pPr>
      <w:r>
        <w:rPr>
          <w:noProof/>
        </w:rPr>
        <w:t>Актовете, изложени в приложенията към настоящото решение, които СКМ и СКС имат за задача да приемат, са обвързващи. Това се дължи на факта, че в съответствие с член 27, параграф 2, буква б), подточки iv) и v) от Споразумението СКМ приема свой процедурен правилник и взема решения с одобрението на двете страни, докато в съответствие с член 27, параграф 3, буква б), подточка viii) и член 27, параграф 3, буква в) СКС създава подкомитети и постига съгласие за свои собствени процедурни правила.</w:t>
      </w:r>
    </w:p>
    <w:p>
      <w:pPr>
        <w:rPr>
          <w:rFonts w:eastAsia="Times New Roman"/>
          <w:noProof/>
        </w:rPr>
      </w:pPr>
      <w:r>
        <w:rPr>
          <w:noProof/>
        </w:rPr>
        <w:t>Предвидените актове не допълват, нито изменят институционалната рамка на Споразумението.</w:t>
      </w:r>
    </w:p>
    <w:p>
      <w:pPr>
        <w:rPr>
          <w:rFonts w:eastAsia="Times New Roman"/>
          <w:noProof/>
        </w:rPr>
      </w:pPr>
      <w:r>
        <w:rPr>
          <w:noProof/>
        </w:rPr>
        <w:t>Поради това процесуалноправното основание за предложеното решение е член 218, параграф 9 от ДФЕС.</w:t>
      </w:r>
    </w:p>
    <w:p>
      <w:pPr>
        <w:pStyle w:val="ManualHeading2"/>
        <w:rPr>
          <w:rFonts w:eastAsia="Times New Roman"/>
          <w:noProof/>
        </w:rPr>
      </w:pPr>
      <w:r>
        <w:rPr>
          <w:noProof/>
        </w:rPr>
        <w:t>4.2.</w:t>
      </w:r>
      <w:r>
        <w:rPr>
          <w:noProof/>
        </w:rPr>
        <w:tab/>
        <w:t>Материалноправно основание</w:t>
      </w:r>
    </w:p>
    <w:p>
      <w:pPr>
        <w:pStyle w:val="ManualHeading3"/>
        <w:rPr>
          <w:rFonts w:eastAsia="Times New Roman"/>
          <w:noProof/>
        </w:rPr>
      </w:pPr>
      <w:r>
        <w:rPr>
          <w:noProof/>
        </w:rPr>
        <w:t>4.2.1.</w:t>
      </w:r>
      <w:r>
        <w:rPr>
          <w:noProof/>
        </w:rPr>
        <w:tab/>
        <w:t>Принципи</w:t>
      </w:r>
    </w:p>
    <w:p>
      <w:pPr>
        <w:rPr>
          <w:rFonts w:eastAsia="Times New Roman"/>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rFonts w:eastAsia="Times New Roman"/>
          <w:noProof/>
        </w:rPr>
      </w:pPr>
      <w:r>
        <w:rPr>
          <w:noProof/>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на решение съгласно член 218, параграф 9 от ДФЕС ще трябва, по изключение, да включва съответните различни правни основания.</w:t>
      </w:r>
    </w:p>
    <w:p>
      <w:pPr>
        <w:pStyle w:val="ManualHeading3"/>
        <w:rPr>
          <w:rFonts w:eastAsia="Times New Roman"/>
          <w:noProof/>
        </w:rPr>
      </w:pPr>
      <w:r>
        <w:rPr>
          <w:noProof/>
        </w:rPr>
        <w:t>4.2.2.</w:t>
      </w:r>
      <w:r>
        <w:rPr>
          <w:noProof/>
        </w:rPr>
        <w:tab/>
        <w:t>Приложение в конкретния случай</w:t>
      </w:r>
    </w:p>
    <w:p>
      <w:pPr>
        <w:rPr>
          <w:rFonts w:eastAsia="Times New Roman"/>
          <w:noProof/>
        </w:rPr>
      </w:pPr>
      <w:r>
        <w:rPr>
          <w:noProof/>
        </w:rPr>
        <w:t>Основната цел и съдържание на предвидените актове са свързани с прилагането на Споразумението.</w:t>
      </w:r>
    </w:p>
    <w:p>
      <w:pPr>
        <w:rPr>
          <w:rFonts w:eastAsia="Times New Roman"/>
          <w:noProof/>
        </w:rPr>
      </w:pPr>
      <w:r>
        <w:rPr>
          <w:noProof/>
        </w:rPr>
        <w:t xml:space="preserve">Споразумението преследва цели и съдържа части, отнасящи се до областите на общата външна политика и политика на сигурност и на техническото сътрудничество с развитите държави. Тези аспекти на Споразумението са неразривно свързани, без никой от тях да е акцесорен по отношение на другия. Подписването на Споразумението и временното му прилагане се основават на член 37 от Договора за Европейския съюз (ДЕС) и член 212, параграф 1 от Договора за функционирането на Европейския съюз (ДФЕС). </w:t>
      </w:r>
    </w:p>
    <w:p>
      <w:pPr>
        <w:rPr>
          <w:rFonts w:eastAsia="Times New Roman"/>
          <w:noProof/>
        </w:rPr>
      </w:pPr>
      <w:r>
        <w:rPr>
          <w:noProof/>
        </w:rPr>
        <w:t>Поради това предвидените актове следва да се основават на едни и същи материалноправни основания.</w:t>
      </w:r>
    </w:p>
    <w:p>
      <w:pPr>
        <w:pStyle w:val="ManualHeading1"/>
        <w:rPr>
          <w:rFonts w:eastAsia="Arial Unicode MS"/>
          <w:noProof/>
        </w:rPr>
      </w:pPr>
      <w:r>
        <w:rPr>
          <w:noProof/>
        </w:rPr>
        <w:t>5.</w:t>
      </w:r>
      <w:r>
        <w:rPr>
          <w:noProof/>
        </w:rPr>
        <w:tab/>
        <w:t>ЗАКЛЮЧЕНИЕ</w:t>
      </w:r>
    </w:p>
    <w:p>
      <w:pPr>
        <w:rPr>
          <w:noProof/>
        </w:rPr>
      </w:pPr>
      <w:r>
        <w:rPr>
          <w:noProof/>
        </w:rPr>
        <w:t xml:space="preserve">С оглед на изложеното по-горе правното основание за предложеното решение следва да бъде член 37 от ДЕС и член 212, параграф 1 от ДФЕС във връзка с член 218, параграф 9 от ДФЕС.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2017/0279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Съюза в рамките на Съвместния комитет на министрите и Съвместния комитет за сътрудничество, създадени със Споразумението за стратегическо партньорство между Европейския съюз и неговите държави членки, от една страна, и Канада, от друга страна, във връзка с приемането на процедурния правилник на Съвместния комитет на министрите, процедурните правила на Съвместния комитет за сътрудничество и процедурните правила на подкомитетите, създадени от Съвместния комитет за сътрудничество </w:t>
      </w:r>
    </w:p>
    <w:p>
      <w:pPr>
        <w:keepNext/>
        <w:spacing w:before="600"/>
        <w:rPr>
          <w:rFonts w:eastAsia="Times New Roman"/>
          <w:noProof/>
        </w:rPr>
      </w:pPr>
      <w:r>
        <w:rPr>
          <w:noProof/>
        </w:rPr>
        <w:t>СЪВЕТЪТ НА ЕВРОПЕЙСКИЯ СЪЮЗ,</w:t>
      </w:r>
    </w:p>
    <w:p>
      <w:pPr>
        <w:rPr>
          <w:rFonts w:eastAsia="Times New Roman"/>
          <w:noProof/>
        </w:rPr>
      </w:pPr>
      <w:r>
        <w:rPr>
          <w:noProof/>
        </w:rPr>
        <w:t>като взе предвид Договора за Европейския съюз, и по-специално член 37 от него,</w:t>
      </w:r>
    </w:p>
    <w:p>
      <w:pPr>
        <w:rPr>
          <w:rFonts w:eastAsia="Times New Roman"/>
          <w:noProof/>
        </w:rPr>
      </w:pPr>
      <w:r>
        <w:rPr>
          <w:noProof/>
        </w:rPr>
        <w:t>като взе предвид Договора за функционирането на Европейския съюз, и по-специално член 212, параграф 1 във връзка с член 218, параграф 9 от него,</w:t>
      </w:r>
    </w:p>
    <w:p>
      <w:pPr>
        <w:rPr>
          <w:rFonts w:eastAsia="Times New Roman"/>
          <w:noProof/>
        </w:rPr>
      </w:pPr>
      <w:r>
        <w:rPr>
          <w:noProof/>
        </w:rPr>
        <w:t>като взе предвид предложението на Европейската комисия и на Върховния представител на Съюза по въпросите на външните работи и политиката на сигурност,</w:t>
      </w:r>
    </w:p>
    <w:p>
      <w:pPr>
        <w:rPr>
          <w:rFonts w:eastAsia="Times New Roman"/>
          <w:noProof/>
        </w:rPr>
      </w:pPr>
      <w:r>
        <w:rPr>
          <w:noProof/>
        </w:rPr>
        <w:t>като има предвид, че:</w:t>
      </w:r>
    </w:p>
    <w:p>
      <w:pPr>
        <w:ind w:left="709" w:hanging="709"/>
        <w:rPr>
          <w:rFonts w:eastAsia="Times New Roman"/>
          <w:noProof/>
        </w:rPr>
      </w:pPr>
      <w:r>
        <w:rPr>
          <w:noProof/>
        </w:rPr>
        <w:t>(1)</w:t>
      </w:r>
      <w:r>
        <w:rPr>
          <w:noProof/>
        </w:rPr>
        <w:tab/>
        <w:t xml:space="preserve">Споразумението за стратегическо партньорство между Европейския съюз и неговите държави членки, от една страна, и Канада, от друга страна (наричано по-нататък „Споразумението“), беше подписано в Брюксел на 30 октомври 2016 г. и се прилага временно от 1 април 2017 г. </w:t>
      </w:r>
    </w:p>
    <w:p>
      <w:pPr>
        <w:ind w:left="709" w:hanging="709"/>
        <w:rPr>
          <w:rFonts w:eastAsia="Times New Roman"/>
          <w:noProof/>
        </w:rPr>
      </w:pPr>
      <w:r>
        <w:rPr>
          <w:noProof/>
        </w:rPr>
        <w:t>(2)</w:t>
      </w:r>
      <w:r>
        <w:rPr>
          <w:noProof/>
        </w:rPr>
        <w:tab/>
        <w:t>С член 27, параграфи 2 и 3 от Споразумението се създават Съвместен комитет на министрите и Съвместен комитет за сътрудничество с цел да се улесни прилагането на Споразумението.</w:t>
      </w:r>
    </w:p>
    <w:p>
      <w:pPr>
        <w:ind w:left="709" w:hanging="709"/>
        <w:rPr>
          <w:rFonts w:eastAsia="Times New Roman"/>
          <w:noProof/>
        </w:rPr>
      </w:pPr>
      <w:r>
        <w:rPr>
          <w:noProof/>
        </w:rPr>
        <w:t xml:space="preserve">(3) </w:t>
      </w:r>
      <w:r>
        <w:rPr>
          <w:noProof/>
        </w:rPr>
        <w:tab/>
        <w:t>В член 27, параграф 2, буква б), подточка iv) от Споразумението се предвижда, че Съвместният комитет на министрите трябва да приеме свои правила и процедури, а в член 27, параграф 3, буква в) от Споразумението се предвижда, че Съвместният комитет за сътрудничество трябва да постигне съгласие за свои собствени процедурни правила. В член 27, параграф 3, буква б), подточка viii) се предвижда, че Съвместният комитет за сътрудничество трябва да създаде подкомитети, които да го подпомагат в изпълнението на неговите задължения.</w:t>
      </w:r>
    </w:p>
    <w:p>
      <w:pPr>
        <w:ind w:left="709" w:hanging="709"/>
        <w:rPr>
          <w:rFonts w:eastAsia="Times New Roman"/>
          <w:noProof/>
        </w:rPr>
      </w:pPr>
      <w:r>
        <w:rPr>
          <w:noProof/>
        </w:rPr>
        <w:t>(4)</w:t>
      </w:r>
      <w:r>
        <w:rPr>
          <w:noProof/>
        </w:rPr>
        <w:tab/>
        <w:t>В член 27, параграф 2, буква б), подточка ii) от Споразумението се предвижда министърът на външните работи на Канада и върховният представител на Съюза по въпросите на външните работи и политиката на сигурност съвместно да председателстват Съвместния комитет на министрите. В член 27, параграф 3, буква в) се предвижда Съвместният комитет за сътрудничество да се председателства съвместно от висш служител от Канада и висш служител от Съюза.</w:t>
      </w:r>
    </w:p>
    <w:p>
      <w:pPr>
        <w:ind w:left="709" w:hanging="709"/>
        <w:rPr>
          <w:rFonts w:eastAsia="Times New Roman"/>
          <w:noProof/>
        </w:rPr>
      </w:pPr>
      <w:r>
        <w:rPr>
          <w:noProof/>
        </w:rPr>
        <w:t xml:space="preserve">(5) </w:t>
      </w:r>
      <w:r>
        <w:rPr>
          <w:noProof/>
        </w:rPr>
        <w:tab/>
        <w:t>За да се гарантира ефективното прилагане на Споразумението, следва да бъдат приети процедурният правилник на Съвместния комитет на министрите и процедурните правила на Съвместния комитет за сътрудничество и на неговите подкомитети.</w:t>
      </w:r>
    </w:p>
    <w:p>
      <w:pPr>
        <w:ind w:left="709" w:hanging="709"/>
        <w:rPr>
          <w:rFonts w:eastAsia="Times New Roman"/>
          <w:noProof/>
        </w:rPr>
      </w:pPr>
      <w:r>
        <w:rPr>
          <w:noProof/>
        </w:rPr>
        <w:t xml:space="preserve">(6) </w:t>
      </w:r>
      <w:r>
        <w:rPr>
          <w:noProof/>
        </w:rPr>
        <w:tab/>
        <w:t xml:space="preserve">Поради това позицията на Съюза в Съвместния комитет на министрите и Съвместния комитет за сътрудничество следва да се основава на приложените проекти на текст за процедурния правилник на Съвместния комитет на министрите и процедурните правила на Съвместния комитет за сътрудничество и на неговите подкомитети, </w:t>
      </w:r>
    </w:p>
    <w:p>
      <w:pPr>
        <w:ind w:left="709" w:hanging="709"/>
        <w:rPr>
          <w:rFonts w:eastAsia="Times New Roman"/>
          <w:noProof/>
        </w:rPr>
      </w:pPr>
    </w:p>
    <w:p>
      <w:pPr>
        <w:keepNext/>
        <w:ind w:left="283"/>
        <w:rPr>
          <w:rFonts w:eastAsia="Times New Roman"/>
          <w:noProof/>
        </w:rPr>
      </w:pPr>
      <w:r>
        <w:rPr>
          <w:noProof/>
        </w:rPr>
        <w:t>ПРИЕ НАСТОЯЩОТО РЕШЕНИЕ:</w:t>
      </w:r>
    </w:p>
    <w:p>
      <w:pPr>
        <w:ind w:left="709" w:hanging="709"/>
        <w:jc w:val="center"/>
        <w:rPr>
          <w:rFonts w:eastAsia="Times New Roman"/>
          <w:i/>
          <w:noProof/>
        </w:rPr>
      </w:pPr>
      <w:r>
        <w:rPr>
          <w:i/>
          <w:noProof/>
        </w:rPr>
        <w:t>Член 1</w:t>
      </w:r>
    </w:p>
    <w:p>
      <w:pPr>
        <w:tabs>
          <w:tab w:val="num" w:pos="709"/>
        </w:tabs>
        <w:ind w:left="709" w:hanging="709"/>
        <w:rPr>
          <w:rFonts w:eastAsia="Times New Roman"/>
          <w:noProof/>
        </w:rPr>
      </w:pPr>
      <w:r>
        <w:rPr>
          <w:noProof/>
        </w:rPr>
        <w:t>1.</w:t>
      </w:r>
      <w:r>
        <w:rPr>
          <w:noProof/>
        </w:rPr>
        <w:tab/>
        <w:t>Позицията, която трябва да се заеме от името на Съюза в рамките на Съвместния комитет на министрите ЕС—Канада, се основава на текста на процедурния правилник на Съвместния комитет на министрите, приложен към настоящото решение.</w:t>
      </w:r>
    </w:p>
    <w:p>
      <w:pPr>
        <w:tabs>
          <w:tab w:val="num" w:pos="709"/>
        </w:tabs>
        <w:ind w:left="709" w:hanging="709"/>
        <w:rPr>
          <w:rFonts w:eastAsia="Times New Roman"/>
          <w:noProof/>
        </w:rPr>
      </w:pPr>
      <w:r>
        <w:rPr>
          <w:noProof/>
        </w:rPr>
        <w:t>2.</w:t>
      </w:r>
      <w:r>
        <w:rPr>
          <w:noProof/>
        </w:rPr>
        <w:tab/>
        <w:t xml:space="preserve">Позицията, която трябва да се заеме от името на Съюза в рамките на Съвместния комитет за сътрудничество ЕС—Канада, се основава на текста на процедурните правила на Съвместния комитет за сътрудничество и текста на процедурните правила на подкомитетите, приложени към настоящото решение. </w:t>
      </w:r>
    </w:p>
    <w:p>
      <w:pPr>
        <w:keepNext/>
        <w:spacing w:before="360"/>
        <w:jc w:val="center"/>
        <w:rPr>
          <w:rFonts w:eastAsia="Times New Roman"/>
          <w:i/>
          <w:noProof/>
        </w:rPr>
      </w:pPr>
      <w:r>
        <w:rPr>
          <w:i/>
          <w:noProof/>
        </w:rPr>
        <w:t>Член 2</w:t>
      </w:r>
    </w:p>
    <w:p>
      <w:pPr>
        <w:keepNext/>
        <w:spacing w:before="360"/>
        <w:rPr>
          <w:rFonts w:eastAsia="Times New Roman"/>
          <w:noProof/>
        </w:rPr>
      </w:pPr>
      <w:r>
        <w:rPr>
          <w:noProof/>
        </w:rPr>
        <w:t>Адресати на настоящото решение са Комисията и върховният представител на Съюза по въпросите на външните работи и политиката на сигурност.</w:t>
      </w:r>
    </w:p>
    <w:p>
      <w:pPr>
        <w:keepNext/>
        <w:spacing w:before="360"/>
        <w:rPr>
          <w:rFonts w:eastAsia="Times New Roman"/>
          <w:i/>
          <w:noProof/>
        </w:rPr>
      </w:pPr>
      <w:r>
        <w:rPr>
          <w:noProof/>
        </w:rPr>
        <w:t>Съставено в Брюксел на […] година.</w:t>
      </w:r>
    </w:p>
    <w:p>
      <w:pPr>
        <w:keepNext/>
        <w:tabs>
          <w:tab w:val="left" w:pos="4252"/>
        </w:tabs>
        <w:spacing w:before="720" w:after="0"/>
        <w:rPr>
          <w:rFonts w:eastAsia="Times New Roman"/>
          <w:i/>
          <w:noProof/>
        </w:rPr>
      </w:pPr>
      <w:r>
        <w:rPr>
          <w:noProof/>
        </w:rPr>
        <w:tab/>
      </w:r>
      <w:r>
        <w:rPr>
          <w:i/>
          <w:noProof/>
        </w:rPr>
        <w:t>За Съвета</w:t>
      </w:r>
    </w:p>
    <w:p>
      <w:pPr>
        <w:tabs>
          <w:tab w:val="left" w:pos="4252"/>
        </w:tabs>
        <w:spacing w:before="0" w:after="0"/>
        <w:jc w:val="left"/>
        <w:rPr>
          <w:noProof/>
        </w:rPr>
      </w:pPr>
      <w:r>
        <w:rPr>
          <w:noProof/>
        </w:rPr>
        <w:tab/>
      </w:r>
      <w:r>
        <w:rPr>
          <w:i/>
          <w:noProof/>
        </w:rPr>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Дело C-399/12 Германия/Съвет (OIV), ECLI:EU:C:2014:2258, т.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C6DB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2E21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4E93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B68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CC8E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7899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34ABEA"/>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612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1 11:04: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913365A-DC4F-45AA-A07C-2D14C2A285D4"/>
    <w:docVar w:name="LW_COVERPAGE_TYPE" w:val="1"/>
    <w:docVar w:name="LW_CROSSREFERENCE" w:val="&lt;UNUSED&gt;"/>
    <w:docVar w:name="LW_DocType" w:val="COM"/>
    <w:docVar w:name="LW_EMISSION" w:val="31.10.2017"/>
    <w:docVar w:name="LW_EMISSION_ISODATE" w:val="2017-10-31"/>
    <w:docVar w:name="LW_EMISSION_LOCATION" w:val="BRX"/>
    <w:docVar w:name="LW_EMISSION_PREFIX" w:val="\u1041?\u1088?\u1102?\u1082?\u1089?\u1077?\u1083?,"/>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279"/>
    <w:docVar w:name="LW_REF.II.NEW.CP_YEAR" w:val="2017"/>
    <w:docVar w:name="LW_REF.INST.NEW" w:val="JOIN"/>
    <w:docVar w:name="LW_REF.INST.NEW_ADOPTED" w:val="final"/>
    <w:docVar w:name="LW_REF.INST.NEW_TEXT" w:val="(2017)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7?\u1098?\u1074?\u1084?\u1077?\u1089?\u1090?\u1085?\u1086? \u1087?\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84?\u1077?\u1089?\u1090?\u1085?\u1080?\u1103? \u1082?\u1086?\u1084?\u1080?\u1090?\u1077?\u1090? \u1085?\u1072? \u1084?\u1080?\u1085?\u1080?\u1089?\u1090?\u1088?\u1080?\u1090?\u1077? \u1080? \u1057?\u1098?\u1074?\u1084?\u1077?\u1089?\u1090?\u1085?\u1080?\u1103? \u1082?\u1086?\u1084?\u1080?\u1090?\u1077?\u1090? \u1079?\u1072? \u1089?\u1098?\u1090?\u1088?\u1091?\u1076?\u1085?\u1080?\u1095?\u1077?\u1089?\u1090?\u1074?\u1086?, \u1089?\u1098?\u1079?\u1076?\u1072?\u1076?\u1077?\u1085?\u1080? \u1089?\u1098?\u1089?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72?\u1085?\u1072?\u1076?\u1072?,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85?\u1072? \u1057?\u1098?\u1074?\u1084?\u1077?\u1089?\u1090?\u1085?\u1080?\u1103? \u1082?\u1086?\u1084?\u1080?\u1090?\u1077?\u1090? \u1085?\u1072? \u1084?\u1080?\u1085?\u1080?\u1089?\u1090?\u1088?\u1080?\u1090?\u1077?, \u1087?\u1088?\u1086?\u1094?\u1077?\u1076?\u1091?\u1088?\u1085?\u1080?\u1090?\u1077? \u1087?\u1088?\u1072?\u1074?\u1080?\u1083?\u1072? \u1085?\u1072? \u1057?\u1098?\u1074?\u1084?\u1077?\u1089?\u1090?\u1085?\u1080?\u1103? \u1082?\u1086?\u1084?\u1080?\u1090?\u1077?\u1090? \u1079?\u1072? \u1089?\u1098?\u1090?\u1088?\u1091?\u1076?\u1085?\u1080?\u1095?\u1077?\u1089?\u1090?\u1074?\u1086? \u1080? \u1087?\u1088?\u1086?\u1094?\u1077?\u1076?\u1091?\u1088?\u1085?\u1080?\u1090?\u1077? \u1087?\u1088?\u1072?\u1074?\u1080?\u1083?\u1072? \u1085?\u1072? \u1087?\u1086?\u1076?\u1082?\u1086?\u1084?\u1080?\u1090?\u1077?\u1090?\u1080?\u1090?\u1077?, \u1089?\u1098?\u1079?\u1076?\u1072?\u1076?\u1077?\u1085?\u1080? \u1086?\u1090? \u1057?\u1098?\u1074?\u1084?\u1077?\u1089?\u1090?\u1085?\u1080?\u1103? \u1082?\u1086?\u1084?\u1080?\u1090?\u1077?\u1090? \u1079?\u1072? \u1089?\u1098?\u1090?\u1088?\u1091?\u1076?\u1085?\u1080?\u1095?\u1077?\u1089?\u1090?\u1074?\u1086?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FD07-93C4-4AE0-A05A-16780A38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1900</Words>
  <Characters>10931</Characters>
  <Application>Microsoft Office Word</Application>
  <DocSecurity>0</DocSecurity>
  <Lines>210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2017-10-12T08:23:00Z</cp:lastPrinted>
  <dcterms:created xsi:type="dcterms:W3CDTF">2017-10-30T11:35:00Z</dcterms:created>
  <dcterms:modified xsi:type="dcterms:W3CDTF">2017-10-31T10:04:00Z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SG-064</vt:lpwstr>
  </property>
  <property fmtid="{D5CDD505-2E9C-101B-9397-08002B2CF9AE}" pid="9" name="Level of sensitivity">
    <vt:lpwstr>Standard treatment</vt:lpwstr>
  </property>
  <property fmtid="{D5CDD505-2E9C-101B-9397-08002B2CF9AE}" pid="10" name="DQCStatus">
    <vt:lpwstr>Green (DQC version 03)</vt:lpwstr>
  </property>
</Properties>
</file>