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82" w:rsidRDefault="004F7F38" w:rsidP="004F7F3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7DBF5FA-7CD7-4F7A-915B-5FDD6175157D" style="width:450.45pt;height:307pt">
            <v:imagedata r:id="rId7" o:title=""/>
          </v:shape>
        </w:pict>
      </w:r>
    </w:p>
    <w:bookmarkEnd w:id="0"/>
    <w:p w:rsidR="00F05282" w:rsidRDefault="00F05282">
      <w:pPr>
        <w:rPr>
          <w:noProof/>
        </w:rPr>
        <w:sectPr w:rsidR="00F05282" w:rsidSect="004F7F38">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F05282" w:rsidRDefault="004F7F38">
      <w:pPr>
        <w:spacing w:after="0"/>
        <w:jc w:val="both"/>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 xml:space="preserve">Настоящият доклад относно мисия за засилено наблюдение, проведена в Румъния, се предава на Съвета в съответствие с член 11, параграф 4 от Регламент </w:t>
      </w:r>
      <w:r>
        <w:rPr>
          <w:rFonts w:ascii="Times New Roman" w:hAnsi="Times New Roman"/>
          <w:noProof/>
          <w:sz w:val="24"/>
        </w:rPr>
        <w:t>(ЕО) № 1466/97</w:t>
      </w:r>
      <w:r>
        <w:rPr>
          <w:rFonts w:ascii="Times New Roman" w:hAnsi="Times New Roman"/>
          <w:noProof/>
          <w:sz w:val="24"/>
          <w:vertAlign w:val="superscript"/>
        </w:rPr>
        <w:footnoteReference w:id="1"/>
      </w:r>
      <w:r>
        <w:rPr>
          <w:rFonts w:ascii="Times New Roman" w:hAnsi="Times New Roman"/>
          <w:noProof/>
          <w:sz w:val="24"/>
        </w:rPr>
        <w:t>. Както е предвидено в член 11, параграф 5 от Регламент (ЕО) № 1466/97, предварителните констатации от мисията бяха изпратени предварително на Румъния за коментар.</w:t>
      </w:r>
    </w:p>
    <w:p w:rsidR="00F05282" w:rsidRDefault="00F05282">
      <w:pPr>
        <w:spacing w:after="120"/>
        <w:jc w:val="both"/>
        <w:rPr>
          <w:rFonts w:ascii="Times New Roman" w:hAnsi="Times New Roman" w:cs="Times New Roman"/>
          <w:noProof/>
          <w:sz w:val="24"/>
          <w:szCs w:val="24"/>
        </w:rPr>
      </w:pPr>
    </w:p>
    <w:p w:rsidR="00F05282" w:rsidRDefault="004F7F38">
      <w:pPr>
        <w:spacing w:after="0" w:line="240" w:lineRule="auto"/>
        <w:jc w:val="center"/>
        <w:rPr>
          <w:rFonts w:ascii="Times New Roman" w:hAnsi="Times New Roman" w:cs="Times New Roman"/>
          <w:b/>
          <w:noProof/>
          <w:sz w:val="28"/>
          <w:szCs w:val="24"/>
        </w:rPr>
      </w:pPr>
      <w:r>
        <w:rPr>
          <w:rFonts w:ascii="Times New Roman" w:hAnsi="Times New Roman"/>
          <w:b/>
          <w:noProof/>
          <w:sz w:val="28"/>
        </w:rPr>
        <w:t>Румъния — Процедура при значително отклонение</w:t>
      </w:r>
    </w:p>
    <w:p w:rsidR="00F05282" w:rsidRDefault="004F7F38">
      <w:pPr>
        <w:spacing w:after="0" w:line="240" w:lineRule="auto"/>
        <w:jc w:val="center"/>
        <w:rPr>
          <w:rFonts w:ascii="Times New Roman" w:hAnsi="Times New Roman" w:cs="Times New Roman"/>
          <w:b/>
          <w:noProof/>
          <w:sz w:val="28"/>
          <w:szCs w:val="24"/>
        </w:rPr>
      </w:pPr>
      <w:r>
        <w:rPr>
          <w:rFonts w:ascii="Times New Roman" w:hAnsi="Times New Roman"/>
          <w:b/>
          <w:noProof/>
          <w:sz w:val="28"/>
        </w:rPr>
        <w:t xml:space="preserve">Мисия за засилено наблюдение, </w:t>
      </w:r>
      <w:r>
        <w:rPr>
          <w:rFonts w:ascii="Times New Roman" w:hAnsi="Times New Roman"/>
          <w:b/>
          <w:noProof/>
          <w:sz w:val="28"/>
        </w:rPr>
        <w:t>26—27 септември 2017 г.</w:t>
      </w:r>
    </w:p>
    <w:p w:rsidR="00F05282" w:rsidRDefault="004F7F38">
      <w:pPr>
        <w:spacing w:before="120" w:after="0" w:line="240" w:lineRule="auto"/>
        <w:jc w:val="center"/>
        <w:rPr>
          <w:rFonts w:ascii="Times New Roman" w:hAnsi="Times New Roman" w:cs="Times New Roman"/>
          <w:b/>
          <w:noProof/>
          <w:sz w:val="28"/>
          <w:szCs w:val="24"/>
        </w:rPr>
      </w:pPr>
      <w:r>
        <w:rPr>
          <w:rFonts w:ascii="Times New Roman" w:hAnsi="Times New Roman"/>
          <w:b/>
          <w:noProof/>
          <w:sz w:val="28"/>
        </w:rPr>
        <w:t>Доклад</w:t>
      </w:r>
    </w:p>
    <w:p w:rsidR="00F05282" w:rsidRDefault="00F05282">
      <w:pPr>
        <w:spacing w:after="0"/>
        <w:jc w:val="both"/>
        <w:rPr>
          <w:rFonts w:ascii="Times New Roman" w:hAnsi="Times New Roman" w:cs="Times New Roman"/>
          <w:noProof/>
          <w:sz w:val="24"/>
          <w:szCs w:val="24"/>
        </w:rPr>
      </w:pPr>
    </w:p>
    <w:p w:rsidR="00F05282" w:rsidRDefault="004F7F38">
      <w:pPr>
        <w:spacing w:before="240" w:after="120"/>
        <w:jc w:val="both"/>
        <w:rPr>
          <w:rFonts w:ascii="Times New Roman" w:hAnsi="Times New Roman" w:cs="Times New Roman"/>
          <w:b/>
          <w:noProof/>
          <w:sz w:val="24"/>
          <w:szCs w:val="24"/>
        </w:rPr>
      </w:pPr>
      <w:r>
        <w:rPr>
          <w:rFonts w:ascii="Times New Roman" w:hAnsi="Times New Roman"/>
          <w:b/>
          <w:noProof/>
          <w:sz w:val="24"/>
        </w:rPr>
        <w:t>1. Въведение</w:t>
      </w:r>
    </w:p>
    <w:p w:rsidR="00F05282" w:rsidRDefault="004F7F38">
      <w:pPr>
        <w:spacing w:after="120"/>
        <w:jc w:val="both"/>
        <w:rPr>
          <w:rFonts w:ascii="Times New Roman" w:hAnsi="Times New Roman" w:cs="Times New Roman"/>
          <w:noProof/>
          <w:sz w:val="24"/>
          <w:szCs w:val="24"/>
        </w:rPr>
      </w:pPr>
      <w:r>
        <w:rPr>
          <w:rFonts w:ascii="Times New Roman" w:hAnsi="Times New Roman"/>
          <w:b/>
          <w:noProof/>
          <w:sz w:val="24"/>
        </w:rPr>
        <w:t>Вследствие на значителното отклонение на Румъния от нейната средносрочна бюджетна цел (СБЦ) през 2016 г. през пролетта на 2017 г. по отношение на Румъния беше стартирана процедура при значително отклонение.</w:t>
      </w:r>
      <w:r>
        <w:rPr>
          <w:rFonts w:ascii="Times New Roman" w:hAnsi="Times New Roman"/>
          <w:noProof/>
          <w:sz w:val="24"/>
        </w:rPr>
        <w:t xml:space="preserve"> Структурният дефицит на тази държава членка нарасна от под 1 % през 2015 г. на 2,5 % от БВП през 2016 г. в резултат на значителни намаления на косвените данъци и увеличения на заплатите в публичния сектор. Вследствие на това на 22 май 2017 г. Комисията от</w:t>
      </w:r>
      <w:r>
        <w:rPr>
          <w:rFonts w:ascii="Times New Roman" w:hAnsi="Times New Roman"/>
          <w:noProof/>
          <w:sz w:val="24"/>
        </w:rPr>
        <w:t>прави предупреждение към Румъния и предложи на Съвета да стартира процедура при значително отклонение. В своята препоръка за стартиране на процедура при значително отклонение, одобрена на 16 юни 2017 г., Съветът прикани Румъния да предприеме мерки, за да г</w:t>
      </w:r>
      <w:r>
        <w:rPr>
          <w:rFonts w:ascii="Times New Roman" w:hAnsi="Times New Roman"/>
          <w:noProof/>
          <w:sz w:val="24"/>
        </w:rPr>
        <w:t>арантира, че през 2017 г. номиналният темп на растеж на нетните първични държавни разходи не надвишава 3,3 %. Това съответства на годишна структурна корекция от 0,5 % от БВП, което е минималната изисквана корекция съгласно предпазните мерки на Пакта за ста</w:t>
      </w:r>
      <w:r>
        <w:rPr>
          <w:rFonts w:ascii="Times New Roman" w:hAnsi="Times New Roman"/>
          <w:noProof/>
          <w:sz w:val="24"/>
        </w:rPr>
        <w:t>билност и растеж (ПСР). Тя съответства на нужда от корективни мерки в размер на 1,8 % от БВП през 2017 г. в сравнение с базовия сценарий в икономическата прогноза на Комисията от пролетта на 2017 г. Както беше поискано от нея, до 15 октомври 2017 г. Румъни</w:t>
      </w:r>
      <w:r>
        <w:rPr>
          <w:rFonts w:ascii="Times New Roman" w:hAnsi="Times New Roman"/>
          <w:noProof/>
          <w:sz w:val="24"/>
        </w:rPr>
        <w:t xml:space="preserve">я докладва на Съвета за действията, предприети в отговор на неговата препоръка. Понастоящем Комисията прави оценка на съдържанието на доклада на Румъния.  </w:t>
      </w:r>
    </w:p>
    <w:p w:rsidR="00F05282" w:rsidRDefault="004F7F38">
      <w:pPr>
        <w:spacing w:after="120"/>
        <w:jc w:val="both"/>
        <w:rPr>
          <w:rFonts w:ascii="Times New Roman" w:hAnsi="Times New Roman" w:cs="Times New Roman"/>
          <w:noProof/>
          <w:sz w:val="24"/>
          <w:szCs w:val="24"/>
        </w:rPr>
      </w:pPr>
      <w:r>
        <w:rPr>
          <w:rFonts w:ascii="Times New Roman" w:hAnsi="Times New Roman"/>
          <w:b/>
          <w:noProof/>
          <w:sz w:val="24"/>
        </w:rPr>
        <w:t>Мисията за засилено наблюдение на Комисията се проведе на 26—27 септември 2017 г.</w:t>
      </w:r>
      <w:r>
        <w:rPr>
          <w:rFonts w:ascii="Times New Roman" w:hAnsi="Times New Roman"/>
          <w:noProof/>
          <w:sz w:val="24"/>
        </w:rPr>
        <w:t xml:space="preserve"> Тя се състоя на ос</w:t>
      </w:r>
      <w:r>
        <w:rPr>
          <w:rFonts w:ascii="Times New Roman" w:hAnsi="Times New Roman"/>
          <w:noProof/>
          <w:sz w:val="24"/>
        </w:rPr>
        <w:t>новата на член 11, параграф 2 от Регламент (ЕО) № 1466/97. Участниците в мисията се срещнаха с министъра на финансите Ionuţ Mişa, с управителя на Националната банка на Румъния Mugur Isărescu, с членове на Фискалния съвет на Румъния, както и с членове на бю</w:t>
      </w:r>
      <w:r>
        <w:rPr>
          <w:rFonts w:ascii="Times New Roman" w:hAnsi="Times New Roman"/>
          <w:noProof/>
          <w:sz w:val="24"/>
        </w:rPr>
        <w:t>джетните комисии на румънския парламент. Целта на мисията беше да се запознае подробно с фискалните действия, планирани от румънските органи, да обърне внимание на фискалните рискове и да насърчи спазването на разпоредбите на ПСР. В рамките на мисията беше</w:t>
      </w:r>
      <w:r>
        <w:rPr>
          <w:rFonts w:ascii="Times New Roman" w:hAnsi="Times New Roman"/>
          <w:noProof/>
          <w:sz w:val="24"/>
        </w:rPr>
        <w:t xml:space="preserve"> направена оценка също и на промените във фискалната област и изпълнението на бюджета през 2017 г. </w:t>
      </w:r>
    </w:p>
    <w:p w:rsidR="00F05282" w:rsidRDefault="004F7F38">
      <w:pPr>
        <w:spacing w:before="360" w:after="120"/>
        <w:jc w:val="both"/>
        <w:rPr>
          <w:rFonts w:ascii="Times New Roman" w:hAnsi="Times New Roman" w:cs="Times New Roman"/>
          <w:b/>
          <w:noProof/>
          <w:sz w:val="24"/>
          <w:szCs w:val="24"/>
        </w:rPr>
      </w:pPr>
      <w:r>
        <w:rPr>
          <w:rFonts w:ascii="Times New Roman" w:hAnsi="Times New Roman"/>
          <w:b/>
          <w:noProof/>
          <w:sz w:val="24"/>
        </w:rPr>
        <w:lastRenderedPageBreak/>
        <w:t>2. Констатации от мисията</w:t>
      </w:r>
    </w:p>
    <w:p w:rsidR="00F05282" w:rsidRDefault="004F7F38">
      <w:pPr>
        <w:spacing w:after="120"/>
        <w:jc w:val="both"/>
        <w:rPr>
          <w:rFonts w:ascii="Times New Roman" w:hAnsi="Times New Roman" w:cs="Times New Roman"/>
          <w:noProof/>
          <w:sz w:val="24"/>
          <w:szCs w:val="24"/>
        </w:rPr>
      </w:pPr>
      <w:r>
        <w:rPr>
          <w:rFonts w:ascii="Times New Roman" w:hAnsi="Times New Roman"/>
          <w:b/>
          <w:noProof/>
          <w:sz w:val="24"/>
        </w:rPr>
        <w:t>Изглежда, че румънските</w:t>
      </w:r>
      <w:r>
        <w:rPr>
          <w:rFonts w:ascii="Times New Roman" w:hAnsi="Times New Roman"/>
          <w:noProof/>
          <w:sz w:val="24"/>
        </w:rPr>
        <w:t xml:space="preserve"> </w:t>
      </w:r>
      <w:r>
        <w:rPr>
          <w:rFonts w:ascii="Times New Roman" w:hAnsi="Times New Roman"/>
          <w:b/>
          <w:noProof/>
          <w:sz w:val="24"/>
        </w:rPr>
        <w:t>органи не възнамеряват да предприемат действия във връзка с препоръката за стартиране на процедура при зна</w:t>
      </w:r>
      <w:r>
        <w:rPr>
          <w:rFonts w:ascii="Times New Roman" w:hAnsi="Times New Roman"/>
          <w:b/>
          <w:noProof/>
          <w:sz w:val="24"/>
        </w:rPr>
        <w:t>чително отклонение.</w:t>
      </w:r>
      <w:r>
        <w:rPr>
          <w:rFonts w:ascii="Times New Roman" w:hAnsi="Times New Roman"/>
          <w:noProof/>
          <w:sz w:val="24"/>
        </w:rPr>
        <w:t xml:space="preserve"> Министърът на финансите потвърди, че целта за 2017 г. остава номинален дефицит от 3 % от БВП, като в същото време извършването на структурна корекция през 2017 г. не представлява приоритет. В корекцията на бюджета за 2017 г., приета от </w:t>
      </w:r>
      <w:r>
        <w:rPr>
          <w:rFonts w:ascii="Times New Roman" w:hAnsi="Times New Roman"/>
          <w:noProof/>
          <w:sz w:val="24"/>
        </w:rPr>
        <w:t>правителството в средата на септември 2017 г., целта за номиналния дефицит се запазва в размер на 2,96 % от БВП, докато заложената макроикономическа прогноза се е подобрила. Това показва влошаване на заложения структурен дефицит в сравнение с първоначалния</w:t>
      </w:r>
      <w:r>
        <w:rPr>
          <w:rFonts w:ascii="Times New Roman" w:hAnsi="Times New Roman"/>
          <w:noProof/>
          <w:sz w:val="24"/>
        </w:rPr>
        <w:t xml:space="preserve"> бюджет за 2017 г., в който вече беше планирана експанзионистична фискална позиция. Министърът на финансите твърди, че препоръката за стартиране на процедура при значително отклонение е направена в края на годината, поради което възможностите за изпълнение</w:t>
      </w:r>
      <w:r>
        <w:rPr>
          <w:rFonts w:ascii="Times New Roman" w:hAnsi="Times New Roman"/>
          <w:noProof/>
          <w:sz w:val="24"/>
        </w:rPr>
        <w:t xml:space="preserve"> на препоръчаната структурна корекция са били ограничени.</w:t>
      </w:r>
    </w:p>
    <w:p w:rsidR="00F05282" w:rsidRDefault="004F7F38">
      <w:pPr>
        <w:spacing w:after="120"/>
        <w:jc w:val="both"/>
        <w:rPr>
          <w:rFonts w:ascii="Times New Roman" w:hAnsi="Times New Roman" w:cs="Times New Roman"/>
          <w:noProof/>
          <w:sz w:val="24"/>
          <w:szCs w:val="24"/>
        </w:rPr>
      </w:pPr>
      <w:r>
        <w:rPr>
          <w:rFonts w:ascii="Times New Roman" w:hAnsi="Times New Roman"/>
          <w:b/>
          <w:noProof/>
          <w:sz w:val="24"/>
        </w:rPr>
        <w:t xml:space="preserve">Приетата неотдавна корекция на бюджета за 2017 г. също поражда загриженост по отношение на качеството на публичните финанси. </w:t>
      </w:r>
      <w:r>
        <w:rPr>
          <w:rFonts w:ascii="Times New Roman" w:hAnsi="Times New Roman"/>
          <w:noProof/>
          <w:sz w:val="24"/>
        </w:rPr>
        <w:t xml:space="preserve">Основните елементи на бюджетната корекция са следните: i) увеличаване на </w:t>
      </w:r>
      <w:r>
        <w:rPr>
          <w:rFonts w:ascii="Times New Roman" w:hAnsi="Times New Roman"/>
          <w:noProof/>
          <w:sz w:val="24"/>
        </w:rPr>
        <w:t>растежа на БВП от 5,2 % на 5,6 %; ii) запазване на целта за публичния дефицит (парични средства) на равнище 2,96 % от БВП; iii) по-ниски данъчни приходи (намаляване на ДДС и на данъка върху корпоративната печалба), iv) увеличаване на социалноосигурителните</w:t>
      </w:r>
      <w:r>
        <w:rPr>
          <w:rFonts w:ascii="Times New Roman" w:hAnsi="Times New Roman"/>
          <w:noProof/>
          <w:sz w:val="24"/>
        </w:rPr>
        <w:t xml:space="preserve"> вноски и неданъчните приходи (т.е. дивиденти от държавни предприятия). Увеличението на дивидентите от държавните предприятия се дължи отчасти на ново искане за дивиденти от неразпределените печалби през предходните години; v) по отношение на разходите кап</w:t>
      </w:r>
      <w:r>
        <w:rPr>
          <w:rFonts w:ascii="Times New Roman" w:hAnsi="Times New Roman"/>
          <w:noProof/>
          <w:sz w:val="24"/>
        </w:rPr>
        <w:t>италовите разходи бяха намалени с около една четвърт; vi) в същото време заплатите в публичния сектор и социалните плащания бяха увеличени. От гледна точка на състава на бюджета Румъния провежда политики, които водят до увеличение на потреблението в кратко</w:t>
      </w:r>
      <w:r>
        <w:rPr>
          <w:rFonts w:ascii="Times New Roman" w:hAnsi="Times New Roman"/>
          <w:noProof/>
          <w:sz w:val="24"/>
        </w:rPr>
        <w:t>срочен план (намаления на косвените данъци, увеличения на заплатите в публичния сектор) и които са трудно обратими, вместо политики, насочени към засилване на дългосрочния икономическия растеж, като например подобряване на усвояването на фондовете на ЕС ил</w:t>
      </w:r>
      <w:r>
        <w:rPr>
          <w:rFonts w:ascii="Times New Roman" w:hAnsi="Times New Roman"/>
          <w:noProof/>
          <w:sz w:val="24"/>
        </w:rPr>
        <w:t>и повишаване на качеството на публичните инвестиции.</w:t>
      </w:r>
    </w:p>
    <w:p w:rsidR="00F05282" w:rsidRDefault="004F7F38">
      <w:pPr>
        <w:spacing w:after="120"/>
        <w:jc w:val="both"/>
        <w:rPr>
          <w:rFonts w:ascii="Times New Roman" w:hAnsi="Times New Roman" w:cs="Times New Roman"/>
          <w:noProof/>
          <w:sz w:val="24"/>
          <w:szCs w:val="24"/>
        </w:rPr>
      </w:pPr>
      <w:r>
        <w:rPr>
          <w:rFonts w:ascii="Times New Roman" w:hAnsi="Times New Roman"/>
          <w:b/>
          <w:noProof/>
          <w:sz w:val="24"/>
        </w:rPr>
        <w:t xml:space="preserve">Органите имат за цел през 2018 г. номиналният дефицит да се запази в размер на 3 % от БВП. </w:t>
      </w:r>
      <w:r>
        <w:rPr>
          <w:rFonts w:ascii="Times New Roman" w:hAnsi="Times New Roman"/>
          <w:noProof/>
          <w:sz w:val="24"/>
        </w:rPr>
        <w:t>Министърът на финансите посочва две цели за 2018 г.: като главна цел — поддържане на номинален дефицит от 3 % от</w:t>
      </w:r>
      <w:r>
        <w:rPr>
          <w:rFonts w:ascii="Times New Roman" w:hAnsi="Times New Roman"/>
          <w:noProof/>
          <w:sz w:val="24"/>
        </w:rPr>
        <w:t xml:space="preserve"> БВП, и като второстепенна цел — намаляване на структурния дефицит с 0,5 % от БВП. Участниците в мисията отбелязват, че на фона на положителната и нарастващата разлика между фактическия и потенциалния БВП поддържането на номиналния дефицит в размер на 3 % </w:t>
      </w:r>
      <w:r>
        <w:rPr>
          <w:rFonts w:ascii="Times New Roman" w:hAnsi="Times New Roman"/>
          <w:noProof/>
          <w:sz w:val="24"/>
        </w:rPr>
        <w:t>от БВП през 2018 г. би довело до влошаване на структурната бюджетна позиция.</w:t>
      </w:r>
    </w:p>
    <w:p w:rsidR="00F05282" w:rsidRDefault="004F7F38">
      <w:pPr>
        <w:spacing w:after="120"/>
        <w:jc w:val="both"/>
        <w:rPr>
          <w:rFonts w:ascii="Times New Roman" w:hAnsi="Times New Roman" w:cs="Times New Roman"/>
          <w:noProof/>
          <w:sz w:val="24"/>
          <w:szCs w:val="24"/>
          <w:highlight w:val="yellow"/>
        </w:rPr>
      </w:pPr>
      <w:r>
        <w:rPr>
          <w:rFonts w:ascii="Times New Roman" w:hAnsi="Times New Roman"/>
          <w:b/>
          <w:noProof/>
          <w:sz w:val="24"/>
        </w:rPr>
        <w:t xml:space="preserve">Според прогнозите на Комисията, съгласно обичайния сценарий за липса за промяна в политиката през 2018 г. номиналният дефицит се очаква да нарасне много над 3 % от БВП в резултат </w:t>
      </w:r>
      <w:r>
        <w:rPr>
          <w:rFonts w:ascii="Times New Roman" w:hAnsi="Times New Roman"/>
          <w:b/>
          <w:noProof/>
          <w:sz w:val="24"/>
        </w:rPr>
        <w:t xml:space="preserve">на допълнителни съществени увеличения на заплатите в публичния сектор. </w:t>
      </w:r>
      <w:r>
        <w:rPr>
          <w:rFonts w:ascii="Times New Roman" w:hAnsi="Times New Roman"/>
          <w:noProof/>
          <w:sz w:val="24"/>
        </w:rPr>
        <w:t>През юни 2017 г. Румънският парламент прие Закон за уеднаквяване на заплатите. Този закон има за цел да бъдат хармонизирани настоящите нееднородни таблици за заплатите в публичния секто</w:t>
      </w:r>
      <w:r>
        <w:rPr>
          <w:rFonts w:ascii="Times New Roman" w:hAnsi="Times New Roman"/>
          <w:noProof/>
          <w:sz w:val="24"/>
        </w:rPr>
        <w:t xml:space="preserve">р и да се определи заплатата за всяка позиция в публичния сектор. Законът очертава пътя за постигането на тази цел и определя 2022 като годината за пълно прилагане на новата система на заплатите. Заплатите на всички държавни служители ще бъдат увеличени с </w:t>
      </w:r>
      <w:r>
        <w:rPr>
          <w:rFonts w:ascii="Times New Roman" w:hAnsi="Times New Roman"/>
          <w:noProof/>
          <w:sz w:val="24"/>
        </w:rPr>
        <w:t>25 % през януари 2018 г. За следващите години е предвидено годишно увеличение с 25 % от разликата между заплатата през януари 2018 г. и целевата заплата за 2022 г. Заплатите в секторите на здравеопазването и образованието ще нараснат допълнително през 2018</w:t>
      </w:r>
      <w:r>
        <w:rPr>
          <w:rFonts w:ascii="Times New Roman" w:hAnsi="Times New Roman"/>
          <w:noProof/>
          <w:sz w:val="24"/>
        </w:rPr>
        <w:t> г. — в допълнение към общото увеличение от 25 % през януари 2018 г. Вследствие на това въз основа на сценария за липса на промяна в провежданата политика номиналният дефицит се очаква да нарасне значително над 3 % от БВП, евентуално до малко над 4 % от БВ</w:t>
      </w:r>
      <w:r>
        <w:rPr>
          <w:rFonts w:ascii="Times New Roman" w:hAnsi="Times New Roman"/>
          <w:noProof/>
          <w:sz w:val="24"/>
        </w:rPr>
        <w:t>П (по-точна оценка ще бъде получена в хода на изготвянето на прогнозата от есента). Следователно, за да бъдат постигнати поставените цели за 2018 г., и още повече, за да бъдат спазени предпазните мерки на ПСР, органите трябва да предприемат допълнителни ме</w:t>
      </w:r>
      <w:r>
        <w:rPr>
          <w:rFonts w:ascii="Times New Roman" w:hAnsi="Times New Roman"/>
          <w:noProof/>
          <w:sz w:val="24"/>
        </w:rPr>
        <w:t>рки.</w:t>
      </w:r>
    </w:p>
    <w:p w:rsidR="00F05282" w:rsidRDefault="004F7F38">
      <w:pPr>
        <w:spacing w:after="120"/>
        <w:jc w:val="both"/>
        <w:rPr>
          <w:rFonts w:ascii="Times New Roman" w:hAnsi="Times New Roman" w:cs="Times New Roman"/>
          <w:noProof/>
          <w:sz w:val="24"/>
          <w:szCs w:val="24"/>
        </w:rPr>
      </w:pPr>
      <w:r>
        <w:rPr>
          <w:rFonts w:ascii="Times New Roman" w:hAnsi="Times New Roman"/>
          <w:b/>
          <w:noProof/>
          <w:sz w:val="24"/>
        </w:rPr>
        <w:t>Органите възнамеряват да изместят социалноосигурителните вноски изцяло върху работниците, за да се намали въздействието на Закона за уеднаквяване на заплатите върху бюджета.</w:t>
      </w:r>
      <w:r>
        <w:rPr>
          <w:rFonts w:ascii="Times New Roman" w:hAnsi="Times New Roman"/>
          <w:noProof/>
          <w:sz w:val="24"/>
        </w:rPr>
        <w:t xml:space="preserve"> Планира се процентът на социалноосигурителните вноски, плащани от работниците</w:t>
      </w:r>
      <w:r>
        <w:rPr>
          <w:rFonts w:ascii="Times New Roman" w:hAnsi="Times New Roman"/>
          <w:noProof/>
          <w:sz w:val="24"/>
        </w:rPr>
        <w:t xml:space="preserve"> върху тяхната брутна заплата, да нарасне. Правителството планира да придружи тази промяна с намаление на общата социалноосигурителна ставка от сегашните 22,75 % за работодателите и 16,5 % за работниците на 36 % за работниците, както и да намали ставката н</w:t>
      </w:r>
      <w:r>
        <w:rPr>
          <w:rFonts w:ascii="Times New Roman" w:hAnsi="Times New Roman"/>
          <w:noProof/>
          <w:sz w:val="24"/>
        </w:rPr>
        <w:t>а данъка върху доходите на физическите лица от 16 % на 12 % или 10 %. В допълнение правителството търси правно решение, което да гарантира, че работодателите от частния сектор ще увеличат брутните заплати на наетите от тях лица, така че разходите за промян</w:t>
      </w:r>
      <w:r>
        <w:rPr>
          <w:rFonts w:ascii="Times New Roman" w:hAnsi="Times New Roman"/>
          <w:noProof/>
          <w:sz w:val="24"/>
        </w:rPr>
        <w:t>ата на социалноосигурителните вноски да не са за сметка на нетните заплати.</w:t>
      </w:r>
    </w:p>
    <w:p w:rsidR="00F05282" w:rsidRDefault="004F7F38">
      <w:pPr>
        <w:spacing w:after="120"/>
        <w:jc w:val="both"/>
        <w:rPr>
          <w:rFonts w:ascii="Times New Roman" w:hAnsi="Times New Roman" w:cs="Times New Roman"/>
          <w:noProof/>
          <w:sz w:val="24"/>
          <w:szCs w:val="24"/>
        </w:rPr>
      </w:pPr>
      <w:r>
        <w:rPr>
          <w:rFonts w:ascii="Times New Roman" w:hAnsi="Times New Roman"/>
          <w:b/>
          <w:noProof/>
          <w:sz w:val="24"/>
        </w:rPr>
        <w:t>Правителството обмисля също и промяна на пенсионната реформа от 2008 г., с която беше въведен вторият стълб на пенсионната система.</w:t>
      </w:r>
      <w:r>
        <w:rPr>
          <w:rFonts w:ascii="Times New Roman" w:hAnsi="Times New Roman"/>
          <w:noProof/>
          <w:sz w:val="24"/>
        </w:rPr>
        <w:t xml:space="preserve"> Органите обмислят намаляване на трансфера на соц</w:t>
      </w:r>
      <w:r>
        <w:rPr>
          <w:rFonts w:ascii="Times New Roman" w:hAnsi="Times New Roman"/>
          <w:noProof/>
          <w:sz w:val="24"/>
        </w:rPr>
        <w:t xml:space="preserve">иалноосигурителни вноски към втория стълб на пенсионната система, който съгласно правилата на Европейската система от сметки се класифицира извън сектора на държавното управление. Тези трансфери възлизат на около 0,8 % от БВП годишно. Тази мярка ще доведе </w:t>
      </w:r>
      <w:r>
        <w:rPr>
          <w:rFonts w:ascii="Times New Roman" w:hAnsi="Times New Roman"/>
          <w:noProof/>
          <w:sz w:val="24"/>
        </w:rPr>
        <w:t>до намаление на бюджетния дефицит в краткосрочен план. Тази печалба за бюджета ще изчезне обаче в дългосрочен план, тъй като социалноосигурителните вноски, отклонени от втория стълб, ще бъдат придружени от задължение за плащане на пенсии за старост в бъдещ</w:t>
      </w:r>
      <w:r>
        <w:rPr>
          <w:rFonts w:ascii="Times New Roman" w:hAnsi="Times New Roman"/>
          <w:noProof/>
          <w:sz w:val="24"/>
        </w:rPr>
        <w:t xml:space="preserve">е. Освен това такава промяна би могла да има отрицателни последици за жизнеспособността на пенсионната система и за развитието на капиталовите пазари. Участниците в мисията отправиха предупреждение срещу прибързаното въвеждане на такива съществени промени </w:t>
      </w:r>
      <w:r>
        <w:rPr>
          <w:rFonts w:ascii="Times New Roman" w:hAnsi="Times New Roman"/>
          <w:noProof/>
          <w:sz w:val="24"/>
        </w:rPr>
        <w:t>в пенсионната система без извършване на подходящ анализ и които са продиктувани единствено от краткосрочни съображения за намаляване на дефицита. Национализацията на активите, натрупани в рамките на втория стълб, която съгласно правилата на Европейската си</w:t>
      </w:r>
      <w:r>
        <w:rPr>
          <w:rFonts w:ascii="Times New Roman" w:hAnsi="Times New Roman"/>
          <w:noProof/>
          <w:sz w:val="24"/>
        </w:rPr>
        <w:t>стема от сметки няма да повлияе на държавния дефицит, изглежда не се взема под внимание на този етап.</w:t>
      </w:r>
    </w:p>
    <w:p w:rsidR="00F05282" w:rsidRDefault="004F7F38">
      <w:pPr>
        <w:spacing w:after="120"/>
        <w:jc w:val="both"/>
        <w:rPr>
          <w:rFonts w:ascii="Times New Roman" w:hAnsi="Times New Roman" w:cs="Times New Roman"/>
          <w:noProof/>
          <w:sz w:val="24"/>
          <w:szCs w:val="24"/>
        </w:rPr>
      </w:pPr>
      <w:r>
        <w:rPr>
          <w:rFonts w:ascii="Times New Roman" w:hAnsi="Times New Roman"/>
          <w:b/>
          <w:noProof/>
          <w:sz w:val="24"/>
        </w:rPr>
        <w:t xml:space="preserve">Участниците в мисията обсъдиха също така наскоро приетия механизъм за разделно плащане на ДДС. </w:t>
      </w:r>
      <w:r>
        <w:rPr>
          <w:rFonts w:ascii="Times New Roman" w:hAnsi="Times New Roman"/>
          <w:noProof/>
          <w:sz w:val="24"/>
        </w:rPr>
        <w:t>В края на август 2017 г. правителството прие спешна наредба</w:t>
      </w:r>
      <w:r>
        <w:rPr>
          <w:rFonts w:ascii="Times New Roman" w:hAnsi="Times New Roman"/>
          <w:noProof/>
          <w:sz w:val="24"/>
        </w:rPr>
        <w:t xml:space="preserve"> за изменение на Данъчния кодекс. Наредбата, целяща подобряване на спазването на данъчното законодателство, задължава всички задължени по ДДС лица да използват от януари 2018 г. отделни сметки за целите на ДДС. Участниците в мисията подчертаха, че подобен </w:t>
      </w:r>
      <w:r>
        <w:rPr>
          <w:rFonts w:ascii="Times New Roman" w:hAnsi="Times New Roman"/>
          <w:noProof/>
          <w:sz w:val="24"/>
        </w:rPr>
        <w:t>задължителен механизъм може да наложи предварителна дерогация от Директивата за ДДС</w:t>
      </w:r>
      <w:r>
        <w:rPr>
          <w:rStyle w:val="FootnoteReference"/>
          <w:rFonts w:ascii="Times New Roman" w:hAnsi="Times New Roman"/>
          <w:noProof/>
          <w:sz w:val="24"/>
        </w:rPr>
        <w:footnoteReference w:id="2"/>
      </w:r>
      <w:r>
        <w:rPr>
          <w:rFonts w:ascii="Times New Roman" w:hAnsi="Times New Roman"/>
          <w:noProof/>
          <w:sz w:val="24"/>
        </w:rPr>
        <w:t xml:space="preserve">. Министерството на финансите оспорва необходимостта от дерогация и твърди, че информацията на Комисията за мярката е неточна. </w:t>
      </w:r>
    </w:p>
    <w:p w:rsidR="00F05282" w:rsidRDefault="004F7F38">
      <w:pPr>
        <w:spacing w:after="120"/>
        <w:jc w:val="both"/>
        <w:rPr>
          <w:rFonts w:ascii="Times New Roman" w:hAnsi="Times New Roman" w:cs="Times New Roman"/>
          <w:noProof/>
          <w:sz w:val="24"/>
          <w:szCs w:val="24"/>
        </w:rPr>
      </w:pPr>
      <w:r>
        <w:rPr>
          <w:rFonts w:ascii="Times New Roman" w:hAnsi="Times New Roman"/>
          <w:b/>
          <w:noProof/>
          <w:sz w:val="24"/>
        </w:rPr>
        <w:t>Националната банка на Румъния потвърди проци</w:t>
      </w:r>
      <w:r>
        <w:rPr>
          <w:rFonts w:ascii="Times New Roman" w:hAnsi="Times New Roman"/>
          <w:b/>
          <w:noProof/>
          <w:sz w:val="24"/>
        </w:rPr>
        <w:t xml:space="preserve">кличната фискална политика, с което допринесе за загрижеността на Комисията относно настоящата комбинация от политики. </w:t>
      </w:r>
      <w:r>
        <w:rPr>
          <w:rFonts w:ascii="Times New Roman" w:hAnsi="Times New Roman"/>
          <w:noProof/>
          <w:sz w:val="24"/>
        </w:rPr>
        <w:t>Румъния е в разгара на съществен икономически подем, което е идеалният момент да бъдат възстановени фискалните резерви за посрещане на ев</w:t>
      </w:r>
      <w:r>
        <w:rPr>
          <w:rFonts w:ascii="Times New Roman" w:hAnsi="Times New Roman"/>
          <w:noProof/>
          <w:sz w:val="24"/>
        </w:rPr>
        <w:t xml:space="preserve">ентуален бъдещ икономически спад. Въпреки това фискалната позиция на Румъния е силно експанзионистична. От тази гледна точка фискалната политика на Румъния изглежда неразумна и обуславя в голяма степен паричната политика. </w:t>
      </w:r>
    </w:p>
    <w:p w:rsidR="00F05282" w:rsidRDefault="004F7F38">
      <w:pPr>
        <w:spacing w:after="120"/>
        <w:jc w:val="both"/>
        <w:rPr>
          <w:rFonts w:ascii="Times New Roman" w:hAnsi="Times New Roman" w:cs="Times New Roman"/>
          <w:noProof/>
          <w:sz w:val="24"/>
          <w:szCs w:val="24"/>
        </w:rPr>
      </w:pPr>
      <w:r>
        <w:rPr>
          <w:rFonts w:ascii="Times New Roman" w:hAnsi="Times New Roman"/>
          <w:b/>
          <w:noProof/>
          <w:sz w:val="24"/>
        </w:rPr>
        <w:t>Членовете на мисията обмениха мне</w:t>
      </w:r>
      <w:r>
        <w:rPr>
          <w:rFonts w:ascii="Times New Roman" w:hAnsi="Times New Roman"/>
          <w:b/>
          <w:noProof/>
          <w:sz w:val="24"/>
        </w:rPr>
        <w:t xml:space="preserve">ния с членове на комисиите за бюджета и фискалната политика на румънския парламент. </w:t>
      </w:r>
      <w:r>
        <w:rPr>
          <w:rFonts w:ascii="Times New Roman" w:hAnsi="Times New Roman"/>
          <w:noProof/>
          <w:sz w:val="24"/>
        </w:rPr>
        <w:t xml:space="preserve">Членове както на управляващата коалиция, така и на опозицията споделиха своята загриженост по отношение на състава на бюджета, по-специално по отношение на намаляването на </w:t>
      </w:r>
      <w:r>
        <w:rPr>
          <w:rFonts w:ascii="Times New Roman" w:hAnsi="Times New Roman"/>
          <w:noProof/>
          <w:sz w:val="24"/>
        </w:rPr>
        <w:t>публичните инвестиции и въздействието на това намаление върху дългосрочния растеж. Председателят на съвместните комисии изглеждаше да е на мнение, че е необходима промяна в посоката на фискалната политика и че през 2018 г. трябва да започне изпълнението на</w:t>
      </w:r>
      <w:r>
        <w:rPr>
          <w:rFonts w:ascii="Times New Roman" w:hAnsi="Times New Roman"/>
          <w:noProof/>
          <w:sz w:val="24"/>
        </w:rPr>
        <w:t xml:space="preserve"> структурна корекция.</w:t>
      </w:r>
    </w:p>
    <w:p w:rsidR="00F05282" w:rsidRDefault="004F7F38">
      <w:pPr>
        <w:rPr>
          <w:noProof/>
        </w:rPr>
      </w:pPr>
      <w:r>
        <w:rPr>
          <w:rFonts w:ascii="Times New Roman" w:hAnsi="Times New Roman"/>
          <w:b/>
          <w:noProof/>
          <w:sz w:val="24"/>
        </w:rPr>
        <w:t xml:space="preserve">Фискалният съвет споделя загрижеността на Комисията относно фискалните перспективи. </w:t>
      </w:r>
      <w:r>
        <w:rPr>
          <w:rFonts w:ascii="Times New Roman" w:hAnsi="Times New Roman"/>
          <w:noProof/>
          <w:sz w:val="24"/>
        </w:rPr>
        <w:t xml:space="preserve">Според Фискалния съвет през 2018 г. структурният дефицит ще се влоши значително, а номиналният дефицит се очаква да надхвърли прага от 3 % от БВП при </w:t>
      </w:r>
      <w:r>
        <w:rPr>
          <w:rFonts w:ascii="Times New Roman" w:hAnsi="Times New Roman"/>
          <w:noProof/>
          <w:sz w:val="24"/>
        </w:rPr>
        <w:t>липсата на компенсиращи фискални мерки.</w:t>
      </w:r>
    </w:p>
    <w:p w:rsidR="00F05282" w:rsidRDefault="004F7F38">
      <w:pPr>
        <w:spacing w:after="0"/>
        <w:jc w:val="center"/>
        <w:rPr>
          <w:rFonts w:ascii="Times New Roman" w:hAnsi="Times New Roman" w:cs="Times New Roman"/>
          <w:b/>
          <w:noProof/>
          <w:sz w:val="24"/>
          <w:szCs w:val="24"/>
        </w:rPr>
      </w:pPr>
      <w:r>
        <w:rPr>
          <w:rFonts w:ascii="Times New Roman" w:hAnsi="Times New Roman"/>
          <w:b/>
          <w:noProof/>
          <w:sz w:val="24"/>
        </w:rPr>
        <w:t>СТАТИСТИЧЕСКО ПРИЛОЖЕНИЕ</w:t>
      </w:r>
    </w:p>
    <w:p w:rsidR="00F05282" w:rsidRDefault="004F7F38">
      <w:pPr>
        <w:jc w:val="center"/>
        <w:rPr>
          <w:noProof/>
        </w:rPr>
      </w:pPr>
      <w:r>
        <w:rPr>
          <w:rFonts w:ascii="Times New Roman" w:hAnsi="Times New Roman"/>
          <w:noProof/>
        </w:rPr>
        <w:t>(Прогнозни данни, основани на прогнозата на Европейската комисия от пролетта на 2017 г.)</w:t>
      </w:r>
      <w:r>
        <w:rPr>
          <w:rStyle w:val="FootnoteReference"/>
          <w:rFonts w:ascii="Times New Roman" w:hAnsi="Times New Roman"/>
          <w:noProof/>
          <w:sz w:val="24"/>
        </w:rPr>
        <w:footnoteReference w:id="3"/>
      </w:r>
    </w:p>
    <w:p w:rsidR="00F05282" w:rsidRPr="004F7F38" w:rsidRDefault="00F05282">
      <w:pPr>
        <w:spacing w:after="120"/>
        <w:jc w:val="both"/>
        <w:rPr>
          <w:rFonts w:ascii="Times New Roman" w:hAnsi="Times New Roman" w:cs="Times New Roman"/>
          <w:b/>
          <w:noProof/>
          <w:sz w:val="24"/>
          <w:szCs w:val="24"/>
        </w:rPr>
      </w:pPr>
    </w:p>
    <w:p w:rsidR="00F05282" w:rsidRPr="004F7F38" w:rsidRDefault="00F05282">
      <w:pPr>
        <w:spacing w:after="120"/>
        <w:jc w:val="both"/>
        <w:rPr>
          <w:rFonts w:ascii="Times New Roman" w:hAnsi="Times New Roman" w:cs="Times New Roman"/>
          <w:b/>
          <w:noProof/>
          <w:sz w:val="24"/>
          <w:szCs w:val="24"/>
        </w:rPr>
      </w:pPr>
    </w:p>
    <w:p w:rsidR="00F05282" w:rsidRDefault="004F7F38">
      <w:pPr>
        <w:spacing w:after="120"/>
        <w:jc w:val="both"/>
        <w:rPr>
          <w:rFonts w:ascii="Times New Roman" w:hAnsi="Times New Roman" w:cs="Times New Roman"/>
          <w:b/>
          <w:noProof/>
          <w:sz w:val="24"/>
          <w:szCs w:val="24"/>
        </w:rPr>
      </w:pPr>
      <w:r>
        <w:rPr>
          <w:rFonts w:ascii="Times New Roman" w:hAnsi="Times New Roman"/>
          <w:b/>
          <w:noProof/>
          <w:sz w:val="24"/>
        </w:rPr>
        <w:t>Таблица 1: Преглед на основните икономически показатели за периода 2009—2018 г.</w:t>
      </w:r>
    </w:p>
    <w:p w:rsidR="00F05282" w:rsidRDefault="004F7F38">
      <w:pPr>
        <w:spacing w:after="120"/>
        <w:jc w:val="both"/>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14:anchorId="5A6085DA" wp14:editId="43FBE372">
            <wp:extent cx="5757062" cy="424281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1.JPG"/>
                    <pic:cNvPicPr/>
                  </pic:nvPicPr>
                  <pic:blipFill>
                    <a:blip r:embed="rId14">
                      <a:extLst>
                        <a:ext uri="{28A0092B-C50C-407E-A947-70E740481C1C}">
                          <a14:useLocalDpi xmlns:a14="http://schemas.microsoft.com/office/drawing/2010/main" val="0"/>
                        </a:ext>
                      </a:extLst>
                    </a:blip>
                    <a:stretch>
                      <a:fillRect/>
                    </a:stretch>
                  </pic:blipFill>
                  <pic:spPr>
                    <a:xfrm>
                      <a:off x="0" y="0"/>
                      <a:ext cx="5760720" cy="4245512"/>
                    </a:xfrm>
                    <a:prstGeom prst="rect">
                      <a:avLst/>
                    </a:prstGeom>
                  </pic:spPr>
                </pic:pic>
              </a:graphicData>
            </a:graphic>
          </wp:inline>
        </w:drawing>
      </w:r>
    </w:p>
    <w:p w:rsidR="00F05282" w:rsidRDefault="00F05282">
      <w:pPr>
        <w:rPr>
          <w:noProof/>
        </w:rPr>
      </w:pPr>
    </w:p>
    <w:p w:rsidR="00F05282" w:rsidRDefault="00F05282">
      <w:pPr>
        <w:spacing w:after="120"/>
        <w:jc w:val="both"/>
        <w:rPr>
          <w:rFonts w:ascii="Times New Roman" w:hAnsi="Times New Roman" w:cs="Times New Roman"/>
          <w:b/>
          <w:noProof/>
          <w:sz w:val="24"/>
          <w:szCs w:val="24"/>
        </w:rPr>
      </w:pPr>
    </w:p>
    <w:p w:rsidR="00F05282" w:rsidRDefault="00F05282">
      <w:pPr>
        <w:spacing w:after="120"/>
        <w:jc w:val="both"/>
        <w:rPr>
          <w:rFonts w:ascii="Times New Roman" w:hAnsi="Times New Roman" w:cs="Times New Roman"/>
          <w:b/>
          <w:noProof/>
          <w:sz w:val="24"/>
          <w:szCs w:val="24"/>
        </w:rPr>
      </w:pPr>
    </w:p>
    <w:p w:rsidR="00F05282" w:rsidRDefault="00F05282">
      <w:pPr>
        <w:spacing w:after="120"/>
        <w:jc w:val="both"/>
        <w:rPr>
          <w:rFonts w:ascii="Times New Roman" w:hAnsi="Times New Roman" w:cs="Times New Roman"/>
          <w:b/>
          <w:noProof/>
          <w:sz w:val="24"/>
          <w:szCs w:val="24"/>
        </w:rPr>
      </w:pPr>
    </w:p>
    <w:p w:rsidR="00F05282" w:rsidRDefault="00F05282">
      <w:pPr>
        <w:spacing w:after="120"/>
        <w:jc w:val="both"/>
        <w:rPr>
          <w:rFonts w:ascii="Times New Roman" w:hAnsi="Times New Roman" w:cs="Times New Roman"/>
          <w:b/>
          <w:noProof/>
          <w:sz w:val="24"/>
          <w:szCs w:val="24"/>
        </w:rPr>
      </w:pPr>
    </w:p>
    <w:p w:rsidR="00F05282" w:rsidRDefault="00F05282">
      <w:pPr>
        <w:spacing w:after="120"/>
        <w:jc w:val="both"/>
        <w:rPr>
          <w:rFonts w:ascii="Times New Roman" w:hAnsi="Times New Roman" w:cs="Times New Roman"/>
          <w:b/>
          <w:noProof/>
          <w:sz w:val="24"/>
          <w:szCs w:val="24"/>
        </w:rPr>
      </w:pPr>
    </w:p>
    <w:p w:rsidR="00F05282" w:rsidRDefault="00F05282">
      <w:pPr>
        <w:spacing w:after="120"/>
        <w:jc w:val="both"/>
        <w:rPr>
          <w:rFonts w:ascii="Times New Roman" w:hAnsi="Times New Roman" w:cs="Times New Roman"/>
          <w:b/>
          <w:noProof/>
          <w:sz w:val="24"/>
          <w:szCs w:val="24"/>
        </w:rPr>
      </w:pPr>
    </w:p>
    <w:p w:rsidR="00F05282" w:rsidRDefault="00F05282">
      <w:pPr>
        <w:spacing w:after="120"/>
        <w:jc w:val="both"/>
        <w:rPr>
          <w:rFonts w:ascii="Times New Roman" w:hAnsi="Times New Roman" w:cs="Times New Roman"/>
          <w:b/>
          <w:noProof/>
          <w:sz w:val="24"/>
          <w:szCs w:val="24"/>
        </w:rPr>
      </w:pPr>
    </w:p>
    <w:p w:rsidR="00F05282" w:rsidRDefault="00F05282">
      <w:pPr>
        <w:spacing w:after="120"/>
        <w:jc w:val="both"/>
        <w:rPr>
          <w:rFonts w:ascii="Times New Roman" w:hAnsi="Times New Roman" w:cs="Times New Roman"/>
          <w:b/>
          <w:noProof/>
          <w:sz w:val="24"/>
          <w:szCs w:val="24"/>
        </w:rPr>
      </w:pPr>
    </w:p>
    <w:p w:rsidR="00F05282" w:rsidRDefault="00F05282">
      <w:pPr>
        <w:spacing w:after="120"/>
        <w:jc w:val="both"/>
        <w:rPr>
          <w:rFonts w:ascii="Times New Roman" w:hAnsi="Times New Roman" w:cs="Times New Roman"/>
          <w:b/>
          <w:noProof/>
          <w:sz w:val="24"/>
          <w:szCs w:val="24"/>
          <w:lang w:val="en-GB"/>
        </w:rPr>
      </w:pPr>
    </w:p>
    <w:p w:rsidR="00F05282" w:rsidRDefault="00F05282">
      <w:pPr>
        <w:spacing w:after="120"/>
        <w:jc w:val="both"/>
        <w:rPr>
          <w:rFonts w:ascii="Times New Roman" w:hAnsi="Times New Roman" w:cs="Times New Roman"/>
          <w:b/>
          <w:noProof/>
          <w:sz w:val="24"/>
          <w:szCs w:val="24"/>
          <w:lang w:val="en-GB"/>
        </w:rPr>
      </w:pPr>
    </w:p>
    <w:p w:rsidR="00F05282" w:rsidRDefault="00F05282">
      <w:pPr>
        <w:spacing w:after="120"/>
        <w:jc w:val="both"/>
        <w:rPr>
          <w:rFonts w:ascii="Times New Roman" w:hAnsi="Times New Roman" w:cs="Times New Roman"/>
          <w:b/>
          <w:noProof/>
          <w:sz w:val="24"/>
          <w:szCs w:val="24"/>
          <w:lang w:val="en-GB"/>
        </w:rPr>
      </w:pPr>
    </w:p>
    <w:p w:rsidR="00F05282" w:rsidRDefault="00F05282">
      <w:pPr>
        <w:spacing w:after="120"/>
        <w:jc w:val="both"/>
        <w:rPr>
          <w:rFonts w:ascii="Times New Roman" w:hAnsi="Times New Roman" w:cs="Times New Roman"/>
          <w:b/>
          <w:noProof/>
          <w:sz w:val="24"/>
          <w:szCs w:val="24"/>
          <w:lang w:val="en-GB"/>
        </w:rPr>
      </w:pPr>
    </w:p>
    <w:p w:rsidR="00F05282" w:rsidRDefault="004F7F38">
      <w:pPr>
        <w:spacing w:after="120"/>
        <w:jc w:val="both"/>
        <w:rPr>
          <w:rFonts w:ascii="Times New Roman" w:hAnsi="Times New Roman" w:cs="Times New Roman"/>
          <w:b/>
          <w:noProof/>
          <w:sz w:val="24"/>
          <w:szCs w:val="24"/>
        </w:rPr>
      </w:pPr>
      <w:r>
        <w:rPr>
          <w:rFonts w:ascii="Times New Roman" w:hAnsi="Times New Roman"/>
          <w:b/>
          <w:noProof/>
          <w:sz w:val="24"/>
        </w:rPr>
        <w:t>Таблица 2: Сметки на сектор „Държавно управление“ за периода 2015—2018 г.</w:t>
      </w:r>
    </w:p>
    <w:p w:rsidR="00F05282" w:rsidRDefault="004F7F38">
      <w:pPr>
        <w:spacing w:after="120"/>
        <w:jc w:val="both"/>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14:anchorId="315171CB" wp14:editId="1C87495F">
            <wp:extent cx="5757062" cy="41550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2.JPG"/>
                    <pic:cNvPicPr/>
                  </pic:nvPicPr>
                  <pic:blipFill>
                    <a:blip r:embed="rId15">
                      <a:extLst>
                        <a:ext uri="{28A0092B-C50C-407E-A947-70E740481C1C}">
                          <a14:useLocalDpi xmlns:a14="http://schemas.microsoft.com/office/drawing/2010/main" val="0"/>
                        </a:ext>
                      </a:extLst>
                    </a:blip>
                    <a:stretch>
                      <a:fillRect/>
                    </a:stretch>
                  </pic:blipFill>
                  <pic:spPr>
                    <a:xfrm>
                      <a:off x="0" y="0"/>
                      <a:ext cx="5760720" cy="4157674"/>
                    </a:xfrm>
                    <a:prstGeom prst="rect">
                      <a:avLst/>
                    </a:prstGeom>
                  </pic:spPr>
                </pic:pic>
              </a:graphicData>
            </a:graphic>
          </wp:inline>
        </w:drawing>
      </w:r>
    </w:p>
    <w:p w:rsidR="00F05282" w:rsidRDefault="00F05282">
      <w:pPr>
        <w:rPr>
          <w:noProof/>
        </w:rPr>
      </w:pPr>
    </w:p>
    <w:p w:rsidR="00F05282" w:rsidRDefault="004F7F38">
      <w:pPr>
        <w:spacing w:after="120"/>
        <w:jc w:val="both"/>
        <w:rPr>
          <w:rFonts w:ascii="Times New Roman" w:hAnsi="Times New Roman" w:cs="Times New Roman"/>
          <w:b/>
          <w:noProof/>
          <w:sz w:val="24"/>
          <w:szCs w:val="24"/>
        </w:rPr>
      </w:pPr>
      <w:r>
        <w:rPr>
          <w:rFonts w:ascii="Times New Roman" w:hAnsi="Times New Roman"/>
          <w:b/>
          <w:noProof/>
          <w:sz w:val="24"/>
        </w:rPr>
        <w:t xml:space="preserve">Таблица 3: Циклична корекция на салдото по консолидирания държавен бюджет </w:t>
      </w:r>
    </w:p>
    <w:p w:rsidR="00F05282" w:rsidRDefault="004F7F38">
      <w:pPr>
        <w:rPr>
          <w:noProof/>
        </w:rPr>
      </w:pPr>
      <w:r>
        <w:rPr>
          <w:noProof/>
          <w:lang w:val="en-GB" w:eastAsia="en-GB" w:bidi="ar-SA"/>
        </w:rPr>
        <w:drawing>
          <wp:inline distT="0" distB="0" distL="0" distR="0" wp14:anchorId="0D168613" wp14:editId="34224219">
            <wp:extent cx="5760720" cy="13963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3.JPG"/>
                    <pic:cNvPicPr/>
                  </pic:nvPicPr>
                  <pic:blipFill>
                    <a:blip r:embed="rId16">
                      <a:extLst>
                        <a:ext uri="{28A0092B-C50C-407E-A947-70E740481C1C}">
                          <a14:useLocalDpi xmlns:a14="http://schemas.microsoft.com/office/drawing/2010/main" val="0"/>
                        </a:ext>
                      </a:extLst>
                    </a:blip>
                    <a:stretch>
                      <a:fillRect/>
                    </a:stretch>
                  </pic:blipFill>
                  <pic:spPr>
                    <a:xfrm>
                      <a:off x="0" y="0"/>
                      <a:ext cx="5760720" cy="1396365"/>
                    </a:xfrm>
                    <a:prstGeom prst="rect">
                      <a:avLst/>
                    </a:prstGeom>
                  </pic:spPr>
                </pic:pic>
              </a:graphicData>
            </a:graphic>
          </wp:inline>
        </w:drawing>
      </w:r>
    </w:p>
    <w:p w:rsidR="00F05282" w:rsidRDefault="00F05282">
      <w:pPr>
        <w:rPr>
          <w:noProof/>
        </w:rPr>
      </w:pPr>
    </w:p>
    <w:p w:rsidR="00F05282" w:rsidRDefault="00F05282">
      <w:pPr>
        <w:rPr>
          <w:noProof/>
        </w:rPr>
      </w:pPr>
    </w:p>
    <w:sectPr w:rsidR="00F05282">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282" w:rsidRDefault="004F7F38">
      <w:pPr>
        <w:spacing w:after="0" w:line="240" w:lineRule="auto"/>
      </w:pPr>
      <w:r>
        <w:separator/>
      </w:r>
    </w:p>
  </w:endnote>
  <w:endnote w:type="continuationSeparator" w:id="0">
    <w:p w:rsidR="00F05282" w:rsidRDefault="004F7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38" w:rsidRPr="004F7F38" w:rsidRDefault="004F7F38" w:rsidP="004F7F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38" w:rsidRPr="004F7F38" w:rsidRDefault="004F7F38" w:rsidP="004F7F38">
    <w:pPr>
      <w:pStyle w:val="FooterCoverPage"/>
      <w:rPr>
        <w:rFonts w:ascii="Arial" w:hAnsi="Arial" w:cs="Arial"/>
        <w:b/>
        <w:sz w:val="48"/>
      </w:rPr>
    </w:pPr>
    <w:r w:rsidRPr="004F7F38">
      <w:rPr>
        <w:rFonts w:ascii="Arial" w:hAnsi="Arial" w:cs="Arial"/>
        <w:b/>
        <w:sz w:val="48"/>
      </w:rPr>
      <w:t>BG</w:t>
    </w:r>
    <w:r w:rsidRPr="004F7F38">
      <w:rPr>
        <w:rFonts w:ascii="Arial" w:hAnsi="Arial" w:cs="Arial"/>
        <w:b/>
        <w:sz w:val="48"/>
      </w:rPr>
      <w:tab/>
    </w:r>
    <w:r w:rsidRPr="004F7F38">
      <w:rPr>
        <w:rFonts w:ascii="Arial" w:hAnsi="Arial" w:cs="Arial"/>
        <w:b/>
        <w:sz w:val="48"/>
      </w:rPr>
      <w:tab/>
    </w:r>
    <w:r w:rsidRPr="004F7F38">
      <w:tab/>
    </w:r>
    <w:proofErr w:type="spellStart"/>
    <w:r w:rsidRPr="004F7F38">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38" w:rsidRPr="004F7F38" w:rsidRDefault="004F7F38" w:rsidP="004F7F3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82" w:rsidRDefault="00F0528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02851"/>
      <w:docPartObj>
        <w:docPartGallery w:val="Page Numbers (Bottom of Page)"/>
        <w:docPartUnique/>
      </w:docPartObj>
    </w:sdtPr>
    <w:sdtEndPr>
      <w:rPr>
        <w:noProof/>
      </w:rPr>
    </w:sdtEndPr>
    <w:sdtContent>
      <w:p w:rsidR="00F05282" w:rsidRDefault="004F7F38">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F05282" w:rsidRDefault="00F0528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82" w:rsidRDefault="00F05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282" w:rsidRDefault="004F7F38">
      <w:pPr>
        <w:spacing w:after="0" w:line="240" w:lineRule="auto"/>
      </w:pPr>
      <w:r>
        <w:separator/>
      </w:r>
    </w:p>
  </w:footnote>
  <w:footnote w:type="continuationSeparator" w:id="0">
    <w:p w:rsidR="00F05282" w:rsidRDefault="004F7F38">
      <w:pPr>
        <w:spacing w:after="0" w:line="240" w:lineRule="auto"/>
      </w:pPr>
      <w:r>
        <w:continuationSeparator/>
      </w:r>
    </w:p>
  </w:footnote>
  <w:footnote w:id="1">
    <w:p w:rsidR="00F05282" w:rsidRDefault="004F7F3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(ЕО) № 1466/97 на Съвета от 7 юли 1997 г. за зас</w:t>
      </w:r>
      <w:r>
        <w:rPr>
          <w:rFonts w:ascii="Times New Roman" w:hAnsi="Times New Roman"/>
        </w:rPr>
        <w:t>илване на надзора върху състоянието на бюджета и на надзора и координацията на икономическите политики (ОВ L 209, 2.8.1997 г., стр. 1).</w:t>
      </w:r>
    </w:p>
  </w:footnote>
  <w:footnote w:id="2">
    <w:p w:rsidR="00F05282" w:rsidRDefault="004F7F38">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2006/112/ЕО на Съвета от 28 ноември 2006 г. относно общата система на данъка върху добавената стойност (ОВ L 347, 11.12.2006 г., стр. 1).</w:t>
      </w:r>
    </w:p>
  </w:footnote>
  <w:footnote w:id="3">
    <w:p w:rsidR="00F05282" w:rsidRDefault="004F7F3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Прогнозата на Комисията ще бъде актуализирана през ноември 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38" w:rsidRPr="004F7F38" w:rsidRDefault="004F7F38" w:rsidP="004F7F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38" w:rsidRPr="004F7F38" w:rsidRDefault="004F7F38" w:rsidP="004F7F3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38" w:rsidRPr="004F7F38" w:rsidRDefault="004F7F38" w:rsidP="004F7F3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82" w:rsidRDefault="00F0528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82" w:rsidRDefault="00F0528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82" w:rsidRDefault="00F052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7DBF5FA-7CD7-4F7A-915B-5FDD6175157D"/>
    <w:docVar w:name="LW_COVERPAGE_TYPE" w:val="1"/>
    <w:docVar w:name="LW_CROSSREFERENCE" w:val="&lt;UNUSED&gt;"/>
    <w:docVar w:name="LW_DocType" w:val="NORMAL"/>
    <w:docVar w:name="LW_EMISSION" w:val="24.10.2017"/>
    <w:docVar w:name="LW_EMISSION_ISODATE" w:val="2017-10-24"/>
    <w:docVar w:name="LW_EMISSION_LOCATION" w:val="BRX"/>
    <w:docVar w:name="LW_EMISSION_PREFIX" w:val="\u1041?\u1088?\u1102?\u1082?\u1089?\u1077?\u1083?,"/>
    <w:docVar w:name="LW_EMISSION_SUFFIX" w:val=" \u1075?."/>
    <w:docVar w:name="LW_ID_DOCTYPE_NONLW" w:val="CP-00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44?\u1086?\u1082?\u1083?\u1072?\u1076? \u1085?\u1072? \u1050?\u1086?\u1084?\u1080?\u1089?\u1080?\u1103?\u1090?\u1072? \u1076?\u1086? \u1057?\u1098?\u1074?\u1077?\u1090?\u1072? \u1074? \u1089?\u1098?\u1086?\u1090?\u1074?\u1077?\u1090?\u1089?\u1090?\u1074?\u1080?\u1077? \u1089? \u1095?\u1083?\u1077?\u1085? 11, \u1087?\u1072?\u1088?\u1072?\u1075?\u1088?\u1072?\u1092? 2 \u1086?\u1090? \u1056?\u1077?\u1075?\u1083?\u1072?\u1084?\u1077?\u1085?\u1090? (\u1045?\u1054?) \u8470? 1466/97 \u1086?\u1090?\u1085?\u1086?\u1089?\u1085?\u1086? \u1084?\u1080?\u1089?\u1080?\u1103? \u1079?\u1072? \u1079?\u1072?\u1089?\u1080?\u1083?\u1077?\u1085?\u1086? \u1085?\u1072?\u1073?\u1083?\u1102?\u1076?\u1077?\u1085?\u1080?\u1077? \u1074? \u1056?\u1091?\u1084?\u1098?\u1085?\u1080?\u1103?"/>
    <w:docVar w:name="LW_TYPE.DOC.CP" w:val="\u1044?\u1054?\u1050?\u1051?\u1040?\u1044? \u1053?\u1040? \u1050?\u1054?\u1052?\u1048?\u1057?\u1048?\u1071?\u1058?\u1040? \u1044?\u1054? \u1057?\u1066?\u1042?\u1045?\u1058?\u1040?"/>
  </w:docVars>
  <w:rsids>
    <w:rsidRoot w:val="00F05282"/>
    <w:rsid w:val="004F7F38"/>
    <w:rsid w:val="00F05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E.."/>
    <w:link w:val="FootnotesymbolCarZchn"/>
    <w:uiPriority w:val="99"/>
    <w:unhideWhenUsed/>
    <w:qFormat/>
    <w:rPr>
      <w:vertAlign w:val="superscript"/>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nhideWhenUsed/>
    <w:qFormat/>
    <w:pPr>
      <w:spacing w:after="0" w:line="240" w:lineRule="auto"/>
    </w:pPr>
    <w:rPr>
      <w:rFonts w:eastAsiaTheme="minorEastAsia"/>
      <w:sz w:val="16"/>
      <w:szCs w:val="16"/>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rPr>
      <w:rFonts w:eastAsiaTheme="minorEastAsia"/>
      <w:sz w:val="16"/>
      <w:szCs w:val="16"/>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E.."/>
    <w:link w:val="FootnotesymbolCarZchn"/>
    <w:uiPriority w:val="99"/>
    <w:unhideWhenUsed/>
    <w:qFormat/>
    <w:rPr>
      <w:vertAlign w:val="superscript"/>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nhideWhenUsed/>
    <w:qFormat/>
    <w:pPr>
      <w:spacing w:after="0" w:line="240" w:lineRule="auto"/>
    </w:pPr>
    <w:rPr>
      <w:rFonts w:eastAsiaTheme="minorEastAsia"/>
      <w:sz w:val="16"/>
      <w:szCs w:val="16"/>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rPr>
      <w:rFonts w:eastAsiaTheme="minorEastAsia"/>
      <w:sz w:val="16"/>
      <w:szCs w:val="16"/>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image" Target="media/image4.JPG"/><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1705</Words>
  <Characters>9568</Characters>
  <Application>Microsoft Office Word</Application>
  <DocSecurity>0</DocSecurity>
  <Lines>178</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18</cp:revision>
  <cp:lastPrinted>2017-10-18T13:47:00Z</cp:lastPrinted>
  <dcterms:created xsi:type="dcterms:W3CDTF">2017-10-18T13:32:00Z</dcterms:created>
  <dcterms:modified xsi:type="dcterms:W3CDTF">2017-11-02T08:41:00Z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