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E5B1845D-944A-4C84-891A-DA78906A57C9"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Text1"/>
        <w:ind w:left="0"/>
        <w:rPr>
          <w:noProof/>
        </w:rPr>
      </w:pPr>
      <w:r>
        <w:rPr>
          <w:noProof/>
        </w:rPr>
        <w:t>Настоящото предложение се отнася до решение за определяне на позицията, която да бъде заета от името на Европейския съюз на Съвета на министрите, създаден съгласно Договора за създаване на транспортна общност („Договорът“) по отношение на предвиденото приемане на решение относно седалището на постоянния секретариат на транспортната общност („секретариатът“).</w:t>
      </w:r>
    </w:p>
    <w:p>
      <w:pPr>
        <w:pStyle w:val="ManualHeading1"/>
        <w:rPr>
          <w:noProof/>
        </w:rPr>
      </w:pPr>
      <w:r>
        <w:rPr>
          <w:noProof/>
        </w:rPr>
        <w:t>2.</w:t>
      </w:r>
      <w:r>
        <w:rPr>
          <w:noProof/>
        </w:rPr>
        <w:tab/>
        <w:t>КОНТЕКСТ НА ПРЕДЛОЖЕНИЕТО</w:t>
      </w:r>
    </w:p>
    <w:p>
      <w:pPr>
        <w:pStyle w:val="ManualHeading2"/>
        <w:rPr>
          <w:rFonts w:eastAsia="Arial Unicode MS"/>
          <w:noProof/>
        </w:rPr>
      </w:pPr>
      <w:r>
        <w:rPr>
          <w:noProof/>
          <w:color w:val="000000"/>
          <w:u w:color="000000"/>
          <w:bdr w:val="nil"/>
        </w:rPr>
        <w:t>2.1</w:t>
      </w:r>
      <w:r>
        <w:rPr>
          <w:noProof/>
        </w:rPr>
        <w:tab/>
        <w:t>Договорът за създаване на транспортна общност</w:t>
      </w:r>
    </w:p>
    <w:p>
      <w:pPr>
        <w:rPr>
          <w:bCs/>
          <w:noProof/>
          <w:szCs w:val="24"/>
        </w:rPr>
      </w:pPr>
      <w:r>
        <w:rPr>
          <w:noProof/>
        </w:rPr>
        <w:t>Английската езикова версия на Договора за създаване на транспортна общност със страните от Западните Балкани (Албания, Босна и Херцеговина, Косово</w:t>
      </w:r>
      <w:r>
        <w:rPr>
          <w:rStyle w:val="FootnoteReference"/>
          <w:noProof/>
        </w:rPr>
        <w:footnoteReference w:customMarkFollows="1" w:id="1"/>
        <w:t>*</w:t>
      </w:r>
      <w:r>
        <w:rPr>
          <w:noProof/>
        </w:rPr>
        <w:t xml:space="preserve"> (наричано Косово), бившата югославска република Македония, Черна гора и Сърбия) беше подписана от всички страни с изключение на Босна и Херцеговина в рамките на  срещата на високо равнище на Групата на шестте от Западните Балкани, която се проведе в Триест на 12 юли 2017 г., а Босна и Херцеговина подписа текста на 18 септември 2017 г. в Брюксел. Другите езикови версии на Договора бяха подписани от страните на 9 октомври 2017 г. След подписването договорът се прилага временно в съответствие с член 41, параграф 3 от него. За Съюза временното прилагане е предвидено в решението на Съвета относно подписването, от името на Европейския съюз, и временното прилагане на Договора за създаване на транспортна общност</w:t>
      </w:r>
      <w:r>
        <w:rPr>
          <w:rStyle w:val="FootnoteReference"/>
          <w:noProof/>
        </w:rPr>
        <w:footnoteReference w:id="2"/>
      </w:r>
      <w:r>
        <w:rPr>
          <w:noProof/>
        </w:rPr>
        <w:t>.</w:t>
      </w:r>
    </w:p>
    <w:p>
      <w:pPr>
        <w:rPr>
          <w:bCs/>
          <w:noProof/>
          <w:szCs w:val="24"/>
        </w:rPr>
      </w:pPr>
      <w:r>
        <w:rPr>
          <w:noProof/>
        </w:rPr>
        <w:t xml:space="preserve">Европейският съюз е страна по Договора за транспортна общност.  </w:t>
      </w:r>
    </w:p>
    <w:p>
      <w:pPr>
        <w:pStyle w:val="ManualHeading2"/>
        <w:rPr>
          <w:rFonts w:eastAsia="Arial Unicode MS"/>
          <w:noProof/>
        </w:rPr>
      </w:pPr>
      <w:r>
        <w:rPr>
          <w:noProof/>
          <w:color w:val="000000"/>
          <w:u w:color="000000"/>
          <w:bdr w:val="nil"/>
        </w:rPr>
        <w:t>2.2</w:t>
      </w:r>
      <w:r>
        <w:rPr>
          <w:noProof/>
        </w:rPr>
        <w:tab/>
        <w:t>Съвет на министрите</w:t>
      </w:r>
    </w:p>
    <w:p>
      <w:pPr>
        <w:pBdr>
          <w:top w:val="nil"/>
          <w:left w:val="nil"/>
          <w:bottom w:val="nil"/>
          <w:right w:val="nil"/>
          <w:between w:val="nil"/>
          <w:bar w:val="nil"/>
        </w:pBdr>
        <w:spacing w:before="0" w:after="240"/>
        <w:rPr>
          <w:noProof/>
        </w:rPr>
      </w:pPr>
      <w:r>
        <w:rPr>
          <w:noProof/>
        </w:rPr>
        <w:t>Съветът на министрите е създаден с член 21 от Договора за транспортна общност, за да се гарантира постигането на целите, заложени в него. Той има следните задължения:</w:t>
      </w:r>
    </w:p>
    <w:p>
      <w:pPr>
        <w:pStyle w:val="Tiret0"/>
        <w:numPr>
          <w:ilvl w:val="0"/>
          <w:numId w:val="10"/>
        </w:numPr>
        <w:rPr>
          <w:noProof/>
        </w:rPr>
      </w:pPr>
      <w:r>
        <w:rPr>
          <w:noProof/>
        </w:rPr>
        <w:t>а) предоставя общи политически насоки;</w:t>
      </w:r>
    </w:p>
    <w:p>
      <w:pPr>
        <w:pStyle w:val="Tiret0"/>
        <w:rPr>
          <w:noProof/>
        </w:rPr>
      </w:pPr>
      <w:r>
        <w:rPr>
          <w:noProof/>
        </w:rPr>
        <w:t>б) прави преглед на напредъка по изпълнението на Договора за транспортна общност, включително на последващите действия по представените от Социалния форум предложения;</w:t>
      </w:r>
    </w:p>
    <w:p>
      <w:pPr>
        <w:pStyle w:val="Tiret0"/>
        <w:rPr>
          <w:noProof/>
        </w:rPr>
      </w:pPr>
      <w:r>
        <w:rPr>
          <w:noProof/>
        </w:rPr>
        <w:t>в) представя становища относно назначаването на директора на секретариата; а също и</w:t>
      </w:r>
    </w:p>
    <w:p>
      <w:pPr>
        <w:pStyle w:val="Tiret0"/>
        <w:rPr>
          <w:noProof/>
        </w:rPr>
      </w:pPr>
      <w:r>
        <w:rPr>
          <w:noProof/>
        </w:rPr>
        <w:t>г) взема решения относно седалището на секретариата.</w:t>
      </w:r>
    </w:p>
    <w:p>
      <w:pPr>
        <w:pBdr>
          <w:top w:val="nil"/>
          <w:left w:val="nil"/>
          <w:bottom w:val="nil"/>
          <w:right w:val="nil"/>
          <w:between w:val="nil"/>
          <w:bar w:val="nil"/>
        </w:pBdr>
        <w:spacing w:before="0" w:after="240"/>
        <w:rPr>
          <w:noProof/>
        </w:rPr>
      </w:pPr>
      <w:r>
        <w:rPr>
          <w:noProof/>
        </w:rPr>
        <w:t>Съветът на министрите се състои от по един представител на всяка от договарящите се страни. Правото на участие като наблюдател се предоставя на всички държави членки на ЕС. Освен ако не е предвидено друго, решения се вземат с консенсус.</w:t>
      </w:r>
    </w:p>
    <w:p>
      <w:pPr>
        <w:pStyle w:val="ManualHeading2"/>
        <w:rPr>
          <w:rFonts w:eastAsia="Arial Unicode MS"/>
          <w:noProof/>
        </w:rPr>
      </w:pPr>
      <w:r>
        <w:rPr>
          <w:noProof/>
          <w:color w:val="000000"/>
          <w:u w:color="000000"/>
          <w:bdr w:val="nil"/>
        </w:rPr>
        <w:lastRenderedPageBreak/>
        <w:t>2.3</w:t>
      </w:r>
      <w:r>
        <w:rPr>
          <w:noProof/>
        </w:rPr>
        <w:tab/>
        <w:t>Предвиденият акт на Съвета на министрите</w:t>
      </w:r>
    </w:p>
    <w:p>
      <w:pPr>
        <w:pBdr>
          <w:top w:val="nil"/>
          <w:left w:val="nil"/>
          <w:bottom w:val="nil"/>
          <w:right w:val="nil"/>
          <w:between w:val="nil"/>
          <w:bar w:val="nil"/>
        </w:pBdr>
        <w:spacing w:before="0" w:after="240"/>
        <w:rPr>
          <w:noProof/>
        </w:rPr>
      </w:pPr>
      <w:r>
        <w:rPr>
          <w:noProof/>
        </w:rPr>
        <w:t>На първото си заседание Съветът на министрите трябва да вземе решение относно седалището на секретариата, създаден по силата на член 28 от договора за създаване на транспортна общност. Това решение ще бъде от съществено значение за навременното изпълнение на Договора.</w:t>
      </w:r>
    </w:p>
    <w:p>
      <w:pPr>
        <w:pBdr>
          <w:top w:val="nil"/>
          <w:left w:val="nil"/>
          <w:bottom w:val="nil"/>
          <w:right w:val="nil"/>
          <w:between w:val="nil"/>
          <w:bar w:val="nil"/>
        </w:pBdr>
        <w:spacing w:before="0" w:after="240"/>
        <w:rPr>
          <w:noProof/>
        </w:rPr>
      </w:pPr>
      <w:r>
        <w:rPr>
          <w:noProof/>
        </w:rPr>
        <w:t xml:space="preserve">Решението относно седалището на секретариата на практика е първият важен крайъгълен камък на ефективното изпълнение на Договора за създаване на транспортна общност. Секретариатът ще играе ключова роля в подпомагането на изпълнението на Договора и е изключително важно той скоро да започне пълноценно работа. След предварително политическо споразумение, постигнато от всички регионални партньори, и след съгласието на Европейския съюз, Съветът на министрите е вероятно да постигне необходимия консенсус за Белград като седалище на секретариата, съгласно член 21, буква г) от Договора за създаване на транспортна общност. </w:t>
      </w:r>
    </w:p>
    <w:p>
      <w:pPr>
        <w:pBdr>
          <w:top w:val="nil"/>
          <w:left w:val="nil"/>
          <w:bottom w:val="nil"/>
          <w:right w:val="nil"/>
          <w:between w:val="nil"/>
          <w:bar w:val="nil"/>
        </w:pBdr>
        <w:spacing w:before="0" w:after="240"/>
        <w:rPr>
          <w:noProof/>
        </w:rPr>
      </w:pPr>
      <w:r>
        <w:rPr>
          <w:noProof/>
        </w:rPr>
        <w:t>Предвиденото решение ще бъде обвързващо за страните по силата на член 21, буква г) от Договора, според който Съветът на министрите „решава“ относно седалището на секретариата.</w:t>
      </w:r>
    </w:p>
    <w:p>
      <w:pPr>
        <w:pStyle w:val="ManualHeading1"/>
        <w:rPr>
          <w:noProof/>
        </w:rPr>
      </w:pPr>
      <w:r>
        <w:rPr>
          <w:noProof/>
        </w:rPr>
        <w:t>3.</w:t>
      </w:r>
      <w:r>
        <w:rPr>
          <w:noProof/>
        </w:rPr>
        <w:tab/>
        <w:t>ПОЗИЦИЯТА, КОЯТО ТРЯБВА ДА СЕ ЗАЕМЕ ОТ ИМЕТО НА СЪЮЗА</w:t>
      </w:r>
    </w:p>
    <w:p>
      <w:pPr>
        <w:pStyle w:val="Text1"/>
        <w:ind w:left="0"/>
        <w:rPr>
          <w:noProof/>
        </w:rPr>
      </w:pPr>
      <w:r>
        <w:rPr>
          <w:noProof/>
        </w:rPr>
        <w:t>Предлага се да се подкрепи Белград като седалище на постоянния секретариат. Страните по споразумението от Югоизточна Европа широко подкрепят този избор, а Белград е разположен на територията на една от тях, което несъмнено ще допринесе за успешното изпълнение на Договора.</w:t>
      </w:r>
    </w:p>
    <w:p>
      <w:pPr>
        <w:rPr>
          <w:bCs/>
          <w:noProof/>
          <w:szCs w:val="24"/>
        </w:rPr>
      </w:pPr>
      <w:r>
        <w:rPr>
          <w:noProof/>
        </w:rPr>
        <w:t xml:space="preserve">Във връзка с това следва да се припомни, че Договорът за създаване на транспортна общност е един от елементите, които могат да укрепят регионалното сътрудничество на Западните Балкани, както е обяснено допълнително в предложението на Комисията за решение на Съвета относно подписването на Договора [COM(2017)324 final, подраздел „Общ контекст“].  </w:t>
      </w:r>
    </w:p>
    <w:p>
      <w:pPr>
        <w:keepLines/>
        <w:spacing w:after="240"/>
        <w:rPr>
          <w:bCs/>
          <w:noProof/>
          <w:szCs w:val="24"/>
        </w:rPr>
      </w:pPr>
      <w:r>
        <w:rPr>
          <w:noProof/>
        </w:rPr>
        <w:t>Съгласно член 21, буква г) от Договора, Съветът на министрите взема решения относно седалището на секретариата с консенсус. Тъй като Съюзът е страна по Договора, необходима е позиция на Съюза.</w:t>
      </w:r>
    </w:p>
    <w:p>
      <w:pPr>
        <w:pStyle w:val="ManualHeading1"/>
        <w:rPr>
          <w:noProof/>
        </w:rPr>
      </w:pPr>
      <w:r>
        <w:rPr>
          <w:noProof/>
        </w:rPr>
        <w:t>4.</w:t>
      </w:r>
      <w:r>
        <w:rPr>
          <w:noProof/>
        </w:rPr>
        <w:tab/>
        <w:t>ПРАВНО ОСНОВАНИЕ</w:t>
      </w:r>
    </w:p>
    <w:p>
      <w:pPr>
        <w:pStyle w:val="ManualHeading2"/>
        <w:rPr>
          <w:rFonts w:eastAsia="Arial Unicode MS"/>
          <w:noProof/>
          <w:u w:color="000000"/>
          <w:bdr w:val="nil"/>
        </w:rPr>
      </w:pPr>
      <w:r>
        <w:rPr>
          <w:noProof/>
        </w:rPr>
        <w:t>4.1</w:t>
      </w:r>
      <w:r>
        <w:rPr>
          <w:noProof/>
        </w:rPr>
        <w:tab/>
        <w:t>Процесуалноправно основание</w:t>
      </w:r>
    </w:p>
    <w:p>
      <w:pPr>
        <w:pStyle w:val="ManualHeading3"/>
        <w:rPr>
          <w:noProof/>
        </w:rPr>
      </w:pPr>
      <w:r>
        <w:rPr>
          <w:noProof/>
        </w:rPr>
        <w:t>4.1.1 Принципи</w:t>
      </w:r>
    </w:p>
    <w:p>
      <w:pPr>
        <w:pBdr>
          <w:top w:val="nil"/>
          <w:left w:val="nil"/>
          <w:bottom w:val="nil"/>
          <w:right w:val="nil"/>
          <w:between w:val="nil"/>
          <w:bar w:val="nil"/>
        </w:pBdr>
        <w:spacing w:before="0" w:after="240"/>
        <w:rPr>
          <w:noProof/>
        </w:rPr>
      </w:pPr>
      <w:r>
        <w:rPr>
          <w:noProof/>
        </w:rPr>
        <w:t>В член 218, параграф 9 от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pBdr>
          <w:top w:val="nil"/>
          <w:left w:val="nil"/>
          <w:bottom w:val="nil"/>
          <w:right w:val="nil"/>
          <w:between w:val="nil"/>
          <w:bar w:val="nil"/>
        </w:pBdr>
        <w:spacing w:before="0" w:after="240"/>
        <w:rPr>
          <w:noProof/>
        </w:rPr>
      </w:pPr>
      <w:r>
        <w:rPr>
          <w:noProof/>
        </w:rPr>
        <w:t>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noProof/>
        </w:rPr>
        <w:lastRenderedPageBreak/>
        <w:t>„</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 Приложение в конкретния случай</w:t>
      </w:r>
    </w:p>
    <w:p>
      <w:pPr>
        <w:rPr>
          <w:noProof/>
        </w:rPr>
      </w:pPr>
      <w:r>
        <w:rPr>
          <w:noProof/>
        </w:rPr>
        <w:t>Съветът на министрите е орган, създаден по силата на споразумение, а именно Договорът за създаване на транспортна общност.</w:t>
      </w:r>
    </w:p>
    <w:p>
      <w:pPr>
        <w:rPr>
          <w:noProof/>
        </w:rPr>
      </w:pPr>
      <w:r>
        <w:rPr>
          <w:noProof/>
        </w:rPr>
        <w:t>Актът, който Съветът на министрите има за задача да приеме, представлява акт с правно действие. Предвиденият акт ще бъде задължителен съгласно международното право в съответствие с член 21, буква г) от Договора за създаване на транспортна общност.</w:t>
      </w:r>
    </w:p>
    <w:p>
      <w:pPr>
        <w:rPr>
          <w:noProof/>
        </w:rPr>
      </w:pPr>
      <w:r>
        <w:rPr>
          <w:noProof/>
        </w:rPr>
        <w:t>Предвиденият акт не допълва, нито изменя институционалната рамка на споразумението.</w:t>
      </w:r>
    </w:p>
    <w:p>
      <w:pPr>
        <w:rPr>
          <w:rFonts w:eastAsia="Arial Unicode MS"/>
          <w:noProof/>
        </w:rPr>
      </w:pPr>
      <w:r>
        <w:rPr>
          <w:noProof/>
        </w:rPr>
        <w:t>Поради това процесуалноправното основание за предложеното решение е член 218, параграф 9 от ДФЕС.</w:t>
      </w:r>
    </w:p>
    <w:p>
      <w:pPr>
        <w:pStyle w:val="ManualHeading2"/>
        <w:rPr>
          <w:rFonts w:eastAsia="Arial Unicode MS"/>
          <w:noProof/>
          <w:u w:color="000000"/>
          <w:bdr w:val="nil"/>
        </w:rPr>
      </w:pPr>
      <w:r>
        <w:rPr>
          <w:noProof/>
        </w:rPr>
        <w:t>4.2</w:t>
      </w:r>
      <w:r>
        <w:rPr>
          <w:noProof/>
        </w:rPr>
        <w:tab/>
        <w:t>Материалноправно основание</w:t>
      </w:r>
    </w:p>
    <w:p>
      <w:pPr>
        <w:pStyle w:val="ManualHeading2"/>
        <w:rPr>
          <w:rFonts w:eastAsia="Arial Unicode MS"/>
          <w:b w:val="0"/>
          <w:i/>
          <w:noProof/>
          <w:u w:color="000000"/>
          <w:bdr w:val="nil"/>
        </w:rPr>
      </w:pPr>
      <w:r>
        <w:rPr>
          <w:b w:val="0"/>
          <w:i/>
          <w:noProof/>
          <w:u w:color="000000"/>
          <w:bdr w:val="nil"/>
        </w:rPr>
        <w:t>4.2.1.</w:t>
      </w:r>
      <w:r>
        <w:rPr>
          <w:noProof/>
        </w:rPr>
        <w:tab/>
      </w:r>
      <w:r>
        <w:rPr>
          <w:b w:val="0"/>
          <w:i/>
          <w:noProof/>
          <w:u w:color="000000"/>
          <w:bdr w:val="nil"/>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rPr>
      </w:pPr>
      <w:r>
        <w:rPr>
          <w:noProof/>
        </w:rPr>
        <w:t>По отношение на предвиден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на решение съгласно член 218, параграф 9 от ДФЕС ще трябва, по изключение, да включва съответните различни правни основания.</w:t>
      </w:r>
    </w:p>
    <w:p>
      <w:pPr>
        <w:pStyle w:val="ManualHeading2"/>
        <w:rPr>
          <w:rFonts w:eastAsia="Arial Unicode MS"/>
          <w:b w:val="0"/>
          <w:i/>
          <w:noProof/>
          <w:u w:color="000000"/>
          <w:bdr w:val="nil"/>
        </w:rPr>
      </w:pPr>
      <w:r>
        <w:rPr>
          <w:b w:val="0"/>
          <w:i/>
          <w:noProof/>
          <w:u w:color="000000"/>
          <w:bdr w:val="nil"/>
        </w:rPr>
        <w:t>4.2.2.</w:t>
      </w:r>
      <w:r>
        <w:rPr>
          <w:noProof/>
        </w:rPr>
        <w:tab/>
      </w:r>
      <w:r>
        <w:rPr>
          <w:b w:val="0"/>
          <w:i/>
          <w:noProof/>
          <w:u w:color="000000"/>
          <w:bdr w:val="nil"/>
        </w:rPr>
        <w:t>Приложение в конкретния случай</w:t>
      </w:r>
    </w:p>
    <w:p>
      <w:pPr>
        <w:rPr>
          <w:noProof/>
        </w:rPr>
      </w:pPr>
      <w:r>
        <w:rPr>
          <w:noProof/>
        </w:rPr>
        <w:t>Предвиденият акт относно седалището на секретариата е от организационен характер и като такъв е необходим за правилното функциониране на Договора за създаване на транспортна общност. От своя страна Договорът преследва цели и съдържа части, засягащи областите на автомобилния и железопътния транспорт, както и транспорта по вътрешните водни пътища, които са видове транспорт, обхванати от член 91 от ДФЕС, както и в областта на морския транспорт — вид транспорт, обхванат от член 100, параграф 2 от ДФЕС. Поради хоризонталния си характер, предвиденият акт се отнася до всички тези елементи. Всички те са неразривно свързани, без един от тях да е второстепенен по отношение на другите.</w:t>
      </w:r>
    </w:p>
    <w:p>
      <w:pPr>
        <w:pBdr>
          <w:top w:val="nil"/>
          <w:left w:val="nil"/>
          <w:bottom w:val="nil"/>
          <w:right w:val="nil"/>
          <w:between w:val="nil"/>
          <w:bar w:val="nil"/>
        </w:pBdr>
        <w:spacing w:before="0" w:after="240"/>
        <w:rPr>
          <w:noProof/>
        </w:rPr>
      </w:pPr>
      <w:r>
        <w:rPr>
          <w:noProof/>
        </w:rPr>
        <w:t>Поради това материалноправното основание на предложеното решение включва следните разпоредби: член 91 и член 100, параграф 2 от ДФЕС.</w:t>
      </w:r>
    </w:p>
    <w:p>
      <w:pPr>
        <w:pBdr>
          <w:top w:val="nil"/>
          <w:left w:val="nil"/>
          <w:bottom w:val="nil"/>
          <w:right w:val="nil"/>
          <w:between w:val="nil"/>
          <w:bar w:val="nil"/>
        </w:pBdr>
        <w:spacing w:before="0" w:after="240"/>
        <w:rPr>
          <w:b/>
          <w:noProof/>
        </w:rPr>
      </w:pPr>
      <w:r>
        <w:rPr>
          <w:b/>
          <w:noProof/>
        </w:rPr>
        <w:t>4.3</w:t>
      </w:r>
      <w:r>
        <w:rPr>
          <w:noProof/>
        </w:rPr>
        <w:tab/>
      </w:r>
      <w:r>
        <w:rPr>
          <w:b/>
          <w:noProof/>
        </w:rPr>
        <w:t>Заключение</w:t>
      </w:r>
    </w:p>
    <w:p>
      <w:pPr>
        <w:pBdr>
          <w:top w:val="nil"/>
          <w:left w:val="nil"/>
          <w:bottom w:val="nil"/>
          <w:right w:val="nil"/>
          <w:between w:val="nil"/>
          <w:bar w:val="nil"/>
        </w:pBdr>
        <w:spacing w:before="0" w:after="240"/>
        <w:rPr>
          <w:noProof/>
        </w:rPr>
      </w:pPr>
      <w:r>
        <w:rPr>
          <w:noProof/>
        </w:rPr>
        <w:lastRenderedPageBreak/>
        <w:t>Правното основание за предложеното решение следва да бъде член 91 и член 100, параграф 2 от ДФЕС във връзка с член 218, параграф 9 от ДФЕС.</w:t>
      </w:r>
    </w:p>
    <w:p>
      <w:pPr>
        <w:pBdr>
          <w:top w:val="nil"/>
          <w:left w:val="nil"/>
          <w:bottom w:val="nil"/>
          <w:right w:val="nil"/>
          <w:between w:val="nil"/>
          <w:bar w:val="nil"/>
        </w:pBdr>
        <w:spacing w:before="0" w:after="240"/>
        <w:rPr>
          <w:rFonts w:eastAsia="Arial Unicode MS"/>
          <w:noProof/>
        </w:rPr>
      </w:pPr>
    </w:p>
    <w:p>
      <w:pPr>
        <w:spacing w:before="0" w:after="200" w:line="276" w:lineRule="auto"/>
        <w:jc w:val="left"/>
        <w:rPr>
          <w:noProof/>
        </w:rPr>
      </w:pPr>
      <w:r>
        <w:rPr>
          <w:noProof/>
        </w:rPr>
        <w:br w:type="page"/>
      </w:r>
    </w:p>
    <w:p>
      <w:pPr>
        <w:pStyle w:val="Rfrenceinterinstitutionnelle"/>
        <w:rPr>
          <w:noProof/>
        </w:rPr>
      </w:pPr>
      <w:r>
        <w:rPr>
          <w:noProof/>
        </w:rPr>
        <w:lastRenderedPageBreak/>
        <w:t>2017/0278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Съвета на министрите, създаден съгласно Договора за създаване на транспортна общност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и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Договорът за създаване на транспортна общност беше подписан от Съюза в съответствие с Решение</w:t>
      </w:r>
      <w:r>
        <w:t xml:space="preserve">  на Съвета</w:t>
      </w:r>
      <w:r>
        <w:rPr>
          <w:rStyle w:val="FootnoteReference"/>
          <w:noProof/>
        </w:rPr>
        <w:footnoteReference w:id="4"/>
      </w:r>
      <w:r>
        <w:t>.</w:t>
      </w:r>
    </w:p>
    <w:p>
      <w:pPr>
        <w:pStyle w:val="ManualConsidrant"/>
        <w:rPr>
          <w:noProof/>
        </w:rPr>
      </w:pPr>
      <w:r>
        <w:t>(2)</w:t>
      </w:r>
      <w:r>
        <w:tab/>
      </w:r>
      <w:r>
        <w:rPr>
          <w:noProof/>
        </w:rPr>
        <w:t>Съгласно член 41, параграф 3 от Договора за създаване на транспортна общност, той се прилага временно, считано от [XXX], между Европейския съюз и XXX.</w:t>
      </w:r>
    </w:p>
    <w:p>
      <w:pPr>
        <w:pStyle w:val="ManualConsidrant"/>
        <w:rPr>
          <w:noProof/>
        </w:rPr>
      </w:pPr>
      <w:r>
        <w:t>(3)</w:t>
      </w:r>
      <w:r>
        <w:tab/>
      </w:r>
      <w:r>
        <w:rPr>
          <w:noProof/>
        </w:rPr>
        <w:t>Съгласно член 21, буква г) от Договора, Съветът на министрите взема решения относно седалището на постоянния секретариат.</w:t>
      </w:r>
    </w:p>
    <w:p>
      <w:pPr>
        <w:pStyle w:val="ManualConsidrant"/>
        <w:rPr>
          <w:noProof/>
        </w:rPr>
      </w:pPr>
      <w:r>
        <w:t>(4)</w:t>
      </w:r>
      <w:r>
        <w:tab/>
      </w:r>
      <w:r>
        <w:rPr>
          <w:noProof/>
        </w:rPr>
        <w:t>Целесъобразно е да бъде определена позицията, която да се заеме от името на Съюза на Съвета на министрите, тъй като решението относно седалището на постоянния секретариат ще бъде обвързващо за Съюза.</w:t>
      </w:r>
    </w:p>
    <w:p>
      <w:pPr>
        <w:pStyle w:val="ManualConsidrant"/>
        <w:rPr>
          <w:noProof/>
        </w:rPr>
      </w:pPr>
      <w:r>
        <w:t>(5)</w:t>
      </w:r>
      <w:r>
        <w:tab/>
      </w:r>
      <w:r>
        <w:rPr>
          <w:noProof/>
        </w:rPr>
        <w:t>Целесъобразно е да се подкрепи Белград като седалище на постоянния секретариат. Страните по споразумението от Югоизточна Европа широко подкрепят този избор, а Белград е разположен на територията на една от тях, което несъмнено ще допринесе за успешното изпълнение на Договора.</w:t>
      </w:r>
    </w:p>
    <w:p>
      <w:pPr>
        <w:pStyle w:val="Formuledadoption"/>
        <w:rPr>
          <w:noProof/>
        </w:rPr>
      </w:pPr>
      <w:r>
        <w:rPr>
          <w:noProof/>
        </w:rPr>
        <w:t xml:space="preserve">ПРИЕ НАСТОЯЩОТО РЕШЕНИЕ: </w:t>
      </w:r>
    </w:p>
    <w:p>
      <w:pPr>
        <w:pStyle w:val="Titrearticle"/>
        <w:rPr>
          <w:noProof/>
        </w:rPr>
      </w:pPr>
      <w:r>
        <w:rPr>
          <w:noProof/>
        </w:rPr>
        <w:t>Член 1</w:t>
      </w:r>
    </w:p>
    <w:p>
      <w:pPr>
        <w:autoSpaceDE w:val="0"/>
        <w:autoSpaceDN w:val="0"/>
        <w:adjustRightInd w:val="0"/>
        <w:spacing w:before="0" w:after="0"/>
        <w:rPr>
          <w:noProof/>
          <w:color w:val="000000"/>
          <w:szCs w:val="24"/>
        </w:rPr>
      </w:pPr>
      <w:r>
        <w:rPr>
          <w:noProof/>
          <w:color w:val="000000"/>
        </w:rPr>
        <w:t>Позицията, която трябва да се заеме от името на Съюза на първото заседание на Съвета на министрите, се основава на проекта за решение на Съвета на министрите, приложен към настоящото решение.</w:t>
      </w:r>
    </w:p>
    <w:p>
      <w:pPr>
        <w:autoSpaceDE w:val="0"/>
        <w:autoSpaceDN w:val="0"/>
        <w:adjustRightInd w:val="0"/>
        <w:spacing w:before="0" w:after="0"/>
        <w:rPr>
          <w:noProof/>
          <w:color w:val="000000"/>
          <w:szCs w:val="24"/>
        </w:rPr>
      </w:pPr>
    </w:p>
    <w:p>
      <w:pPr>
        <w:autoSpaceDE w:val="0"/>
        <w:autoSpaceDN w:val="0"/>
        <w:adjustRightInd w:val="0"/>
        <w:spacing w:before="0" w:after="0"/>
        <w:rPr>
          <w:noProof/>
        </w:rPr>
      </w:pPr>
      <w:r>
        <w:rPr>
          <w:noProof/>
          <w:color w:val="000000"/>
        </w:rPr>
        <w:t>Внасянето на незначителни промени в проекта на решение може да бъде одобрено от представителите на Съюза в Съвета на министрите, без да е необходимо допълнително решение на Съвета.</w:t>
      </w:r>
    </w:p>
    <w:p>
      <w:pPr>
        <w:pStyle w:val="Titrearticle"/>
        <w:rPr>
          <w:noProof/>
        </w:rPr>
      </w:pPr>
      <w:r>
        <w:rPr>
          <w:noProof/>
        </w:rPr>
        <w:lastRenderedPageBreak/>
        <w:t>Член 2</w:t>
      </w:r>
    </w:p>
    <w:p>
      <w:pPr>
        <w:keepNext/>
        <w:keepLines/>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endnotePr>
        <w:numRestart w:val="eachSect"/>
      </w:end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B05AD6" w15:done="0"/>
  <w15:commentEx w15:paraId="4F08783D" w15:done="0"/>
  <w15:commentEx w15:paraId="079A266A" w15:done="0"/>
  <w15:commentEx w15:paraId="0A3019A7" w15:done="0"/>
  <w15:commentEx w15:paraId="3FC05E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Това название не засяга позициите по отношение на статута и е съобразено с Резолюция 1244 (1999) на Съвета за сигурност на ООН и становището на Международния съд относно обявяването на независимост от страна на Косово.</w:t>
      </w:r>
    </w:p>
  </w:footnote>
  <w:footnote w:id="2">
    <w:p>
      <w:pPr>
        <w:pStyle w:val="FootnoteText"/>
      </w:pPr>
      <w:r>
        <w:rPr>
          <w:rStyle w:val="FootnoteReference"/>
        </w:rPr>
        <w:footnoteRef/>
      </w:r>
      <w:r>
        <w:tab/>
        <w:t xml:space="preserve">CSST/2017/10301, </w:t>
      </w:r>
    </w:p>
    <w:p>
      <w:pPr>
        <w:pStyle w:val="FootnoteText"/>
      </w:pPr>
      <w:r>
        <w:t>http://register.consilium.europa.eu/content/out?lang=en&amp;typ=SET&amp;i=ADV&amp;RESULTSET=1&amp;DOC_ID=10301/17|10301/*/17&amp;DOC_LANCD=FR&amp;ROWSPP=25&amp;NRROWS=500&amp;ORDERBY=DOC_DATE+DESC</w:t>
      </w:r>
    </w:p>
  </w:footnote>
  <w:footnote w:id="3">
    <w:p>
      <w:pPr>
        <w:pStyle w:val="FootnoteText"/>
      </w:pPr>
      <w:r>
        <w:rPr>
          <w:rStyle w:val="FootnoteReference"/>
        </w:rPr>
        <w:footnoteRef/>
      </w:r>
      <w:r>
        <w:tab/>
        <w:t xml:space="preserve">Решение на Съда на ЕС от 7 октомври 2014 г., Германия/Съвет, C-399/12, ECLI:EU:C:2014:2258, т. 61—64. </w:t>
      </w:r>
    </w:p>
  </w:footnote>
  <w:footnote w:id="4">
    <w:p>
      <w:pPr>
        <w:pStyle w:val="FootnoteText"/>
        <w:rPr>
          <w:lang w:val="fr-BE"/>
        </w:rPr>
      </w:pPr>
      <w:r>
        <w:rPr>
          <w:rStyle w:val="FootnoteReference"/>
        </w:rPr>
        <w:footnoteRef/>
      </w:r>
      <w:r>
        <w:tab/>
        <w:t>ОВ L , , стр.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7A33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9CC4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8A3D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BA94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3ED2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95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704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04244F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7 13:08:18"/>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5B1845D-944A-4C84-891A-DA78906A57C9"/>
    <w:docVar w:name="LW_COVERPAGE_TYPE" w:val="1"/>
    <w:docVar w:name="LW_CROSSREFERENCE" w:val="&lt;UNUSED&gt;"/>
    <w:docVar w:name="LW_DocType" w:val="COM"/>
    <w:docVar w:name="LW_EMISSION" w:val="3.11.2017"/>
    <w:docVar w:name="LW_EMISSION_ISODATE" w:val="2017-11-0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8"/>
    <w:docVar w:name="LW_REF.II.NEW.CP_YEAR" w:val="2017"/>
    <w:docVar w:name="LW_REF.INST.NEW" w:val="COM"/>
    <w:docVar w:name="LW_REF.INST.NEW_ADOPTED" w:val="final"/>
    <w:docVar w:name="LW_REF.INST.NEW_TEXT" w:val="(2017) 6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57?\u1098?\u1074?\u1077?\u1090?\u1072? \u1085?\u1072? \u1084?\u1080?\u1085?\u1080?\u1089?\u1090?\u1088?\u1080?\u1090?\u1077?, \u1089?\u1098?\u1079?\u1076?\u1072?\u1076?\u1077?\u1085? \u1089?\u1098?\u1075?\u1083?\u1072?\u1089?\u1085?\u1086? \u1044?\u1086?\u1075?\u1086?\u1074?\u1086?\u1088?\u1072? \u1079?\u1072? \u1089?\u1098?\u1079?\u1076?\u1072?\u1074?\u1072?\u1085?\u1077? \u1085?\u1072? \u1090?\u1088?\u1072?\u1085?\u1089?\u1087?\u1086?\u1088?\u1090?\u1085?\u1072? \u1086?\u1073?\u1097?\u1085?\u1086?\u1089?\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A5F0-2A4B-4F80-8B7E-2CDE2686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1404</Words>
  <Characters>7981</Characters>
  <Application>Microsoft Office Word</Application>
  <DocSecurity>0</DocSecurity>
  <Lines>159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2017-10-24T09:36:00Z</dcterms:created>
  <dcterms:modified xsi:type="dcterms:W3CDTF">2017-10-27T11:08:00Z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Green (DQC version 03)</vt:lpwstr>
  </property>
  <property fmtid="{D5CDD505-2E9C-101B-9397-08002B2CF9AE}" pid="10" name="Level of sensitivity">
    <vt:lpwstr>Standard treatment</vt:lpwstr>
  </property>
</Properties>
</file>