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98F37DB0-988F-4585-B0BA-0DA50E434C20" style="width:450.45pt;height:366.3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rPr>
          <w:noProof/>
        </w:rPr>
      </w:pPr>
      <w:r>
        <w:rPr>
          <w:noProof/>
        </w:rPr>
        <w:t>Les deux projets de décisions du Comité mixte de l'EEE (joints à la proposition de décision du Conseil) visent à modifier le règlement intérieur du Comité mixte de l'EEE afin d’ajouter les langues bulgare, roumaine et croate.</w:t>
      </w:r>
    </w:p>
    <w:p>
      <w:pPr>
        <w:pStyle w:val="Text1"/>
        <w:rPr>
          <w:noProof/>
        </w:rPr>
      </w:pPr>
      <w:r>
        <w:rPr>
          <w:noProof/>
        </w:rPr>
        <w:t>Le premier projet de décision du Comité mixte de l’EEE, qui figure dans l’</w:t>
      </w:r>
      <w:r>
        <w:rPr>
          <w:b/>
          <w:noProof/>
        </w:rPr>
        <w:t>annexe 1</w:t>
      </w:r>
      <w:r>
        <w:rPr>
          <w:noProof/>
        </w:rPr>
        <w:t>, concerne les langues bulgare et roumaine. À la suite de l'accord relatif à la participation de la République de Bulgarie et de la Roumanie à l'Espace économique européen</w:t>
      </w:r>
      <w:r>
        <w:rPr>
          <w:rStyle w:val="FootnoteReference"/>
          <w:noProof/>
        </w:rPr>
        <w:footnoteReference w:id="1"/>
      </w:r>
      <w:r>
        <w:rPr>
          <w:noProof/>
        </w:rPr>
        <w:t>, signé le 25 juillet 2007 à Bruxelles, l'article 129, paragraphe 1, de l'accord EEE a été modifié pour ajouter le bulgare et le roumain à la liste des langues de l'accord EEE. Toutefois, il convient que ces deux langues soient également ajoutées à la liste des langues figurant dans le règlement intérieur du Comité mixte de l’EEE.</w:t>
      </w:r>
    </w:p>
    <w:p>
      <w:pPr>
        <w:pStyle w:val="Text1"/>
        <w:rPr>
          <w:noProof/>
        </w:rPr>
      </w:pPr>
      <w:r>
        <w:rPr>
          <w:noProof/>
        </w:rPr>
        <w:t xml:space="preserve">L’accord relatif à la participation de la République de Bulgarie et de la Roumanie à l'Espace économique européen signé le 25 juillet 2007 à Bruxelles étant déjà entré en vigueur (le 9 novembre 2011), la présente décision du Comité mixte de l’EEE peut entrer en vigueur dès son adoption par ledit comité. </w:t>
      </w:r>
    </w:p>
    <w:p>
      <w:pPr>
        <w:pStyle w:val="Text1"/>
        <w:rPr>
          <w:noProof/>
        </w:rPr>
      </w:pPr>
      <w:r>
        <w:rPr>
          <w:noProof/>
        </w:rPr>
        <w:t>Le second projet de décision du Comité mixte de l’EEE, qui figure dans l’</w:t>
      </w:r>
      <w:r>
        <w:rPr>
          <w:b/>
          <w:noProof/>
        </w:rPr>
        <w:t>annexe 2</w:t>
      </w:r>
      <w:r>
        <w:rPr>
          <w:noProof/>
        </w:rPr>
        <w:t>, concerne la langue croate. L'accord relatif à la participation de la République de Croatie à l'Espace économique européen (ci-après l'«accord d'élargissement de l'EEE de 2014»), signé le 11 avril 2014 à Bruxelles, modifie déjà l'article 129, paragraphe 1, de l'accord EEE afin d'ajouter le croate à la liste des langues de l'accord EEE. Il y a donc lieu de modifier le règlement intérieur du Comité mixte de l'EEE en conséquence.</w:t>
      </w:r>
    </w:p>
    <w:p>
      <w:pPr>
        <w:pStyle w:val="Text1"/>
        <w:rPr>
          <w:noProof/>
        </w:rPr>
      </w:pPr>
      <w:r>
        <w:rPr>
          <w:noProof/>
        </w:rPr>
        <w:t>L'accord d'élargissement de l'EEE de 2014 étant applicable à ses signataires à titre provisoire depuis le 12 avril 2014, la décision du Comité mixte de l’EEE s'appliquera également à titre provisoire, dans l'attente de l'entrée en vigueur dudit accord,</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Style w:val="Text1"/>
        <w:rPr>
          <w:noProof/>
        </w:rPr>
      </w:pPr>
      <w:r>
        <w:rPr>
          <w:noProof/>
        </w:rPr>
        <w:t xml:space="preserve">Sans objet. </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Text1"/>
        <w:rPr>
          <w:noProof/>
        </w:rPr>
      </w:pPr>
      <w:r>
        <w:rPr>
          <w:noProof/>
        </w:rPr>
        <w:t xml:space="preserve">Sans objet.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rPr>
          <w:noProof/>
        </w:rPr>
      </w:pPr>
      <w:r>
        <w:rPr>
          <w:noProof/>
        </w:rPr>
        <w:t>L'article 1</w:t>
      </w:r>
      <w:r>
        <w:rPr>
          <w:noProof/>
          <w:vertAlign w:val="superscript"/>
        </w:rPr>
        <w:t>er</w:t>
      </w:r>
      <w:r>
        <w:rPr>
          <w:noProof/>
        </w:rPr>
        <w:t>, paragraphe 3, du règlement (CE) nº 2894/94 du Conseil</w:t>
      </w:r>
      <w:r>
        <w:rPr>
          <w:rStyle w:val="FootnoteReference"/>
          <w:noProof/>
        </w:rPr>
        <w:footnoteReference w:id="2"/>
      </w:r>
      <w:r>
        <w:rPr>
          <w:noProof/>
        </w:rPr>
        <w:t xml:space="preserve"> relatif à certaines modalités d'application de l'accord EEE prévoit que le Conseil arrête, sur proposition de la Commission, la position à prendre au nom de l'Union à l'égard de décisions de ce type. </w:t>
      </w:r>
    </w:p>
    <w:p>
      <w:pPr>
        <w:pStyle w:val="Text1"/>
        <w:rPr>
          <w:noProof/>
        </w:rPr>
      </w:pPr>
      <w:r>
        <w:rPr>
          <w:noProof/>
        </w:rPr>
        <w:t xml:space="preserve">La Commission, en collaboration avec le SEAE, soumet les projets de décisions du Comité mixte de l’EEE au Conseil pour adoption en tant que position de l’Union. La </w:t>
      </w:r>
      <w:r>
        <w:rPr>
          <w:noProof/>
        </w:rPr>
        <w:lastRenderedPageBreak/>
        <w:t>Commission espère pouvoir présenter ces documents au Comité mixte de l’EEE dès que possible.</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1"/>
        <w:rPr>
          <w:noProof/>
        </w:rPr>
      </w:pPr>
      <w:r>
        <w:rPr>
          <w:noProof/>
        </w:rPr>
        <w:t xml:space="preserve">Sans objet. </w:t>
      </w:r>
    </w:p>
    <w:p>
      <w:pPr>
        <w:pStyle w:val="ManualHeading2"/>
        <w:rPr>
          <w:rFonts w:eastAsia="Arial Unicode MS"/>
          <w:noProof/>
          <w:u w:color="000000"/>
          <w:bdr w:val="nil"/>
        </w:rPr>
      </w:pPr>
      <w:r>
        <w:rPr>
          <w:noProof/>
        </w:rPr>
        <w:t>•</w:t>
      </w:r>
      <w:r>
        <w:rPr>
          <w:noProof/>
        </w:rPr>
        <w:tab/>
        <w:t>Proportionnalité</w:t>
      </w:r>
    </w:p>
    <w:p>
      <w:pPr>
        <w:pStyle w:val="Text1"/>
        <w:rPr>
          <w:noProof/>
        </w:rPr>
      </w:pPr>
      <w:r>
        <w:rPr>
          <w:noProof/>
        </w:rPr>
        <w:t xml:space="preserve">Sans objet. </w:t>
      </w:r>
    </w:p>
    <w:p>
      <w:pPr>
        <w:pStyle w:val="ManualHeading2"/>
        <w:rPr>
          <w:rFonts w:eastAsia="Arial Unicode MS"/>
          <w:noProof/>
          <w:u w:color="000000"/>
          <w:bdr w:val="nil"/>
        </w:rPr>
      </w:pPr>
      <w:r>
        <w:rPr>
          <w:noProof/>
        </w:rPr>
        <w:t>•</w:t>
      </w:r>
      <w:r>
        <w:rPr>
          <w:noProof/>
        </w:rPr>
        <w:tab/>
        <w:t>Choix de l’instrument</w:t>
      </w:r>
    </w:p>
    <w:p>
      <w:pPr>
        <w:pStyle w:val="Text1"/>
        <w:rPr>
          <w:noProof/>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l'accord EEE.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Obtention et utilisation d'expertise</w:t>
      </w:r>
    </w:p>
    <w:p>
      <w:pPr>
        <w:pStyle w:val="Text1"/>
        <w:rPr>
          <w:noProof/>
        </w:rPr>
      </w:pPr>
      <w:r>
        <w:rPr>
          <w:noProof/>
        </w:rPr>
        <w:t xml:space="preserve">Sans objet </w:t>
      </w:r>
    </w:p>
    <w:p>
      <w:pPr>
        <w:pStyle w:val="ManualHeading2"/>
        <w:rPr>
          <w:rFonts w:eastAsia="Arial Unicode MS"/>
          <w:noProof/>
          <w:u w:color="000000"/>
          <w:bdr w:val="nil"/>
        </w:rPr>
      </w:pPr>
      <w:r>
        <w:rPr>
          <w:noProof/>
        </w:rPr>
        <w:t>•</w:t>
      </w:r>
      <w:r>
        <w:rPr>
          <w:noProof/>
        </w:rPr>
        <w:tab/>
        <w:t>Analyse d'impact</w:t>
      </w:r>
    </w:p>
    <w:p>
      <w:pPr>
        <w:pStyle w:val="Text1"/>
        <w:rPr>
          <w:noProof/>
        </w:rPr>
      </w:pPr>
      <w:r>
        <w:rPr>
          <w:noProof/>
        </w:rPr>
        <w:t xml:space="preserve">Sans objet </w:t>
      </w:r>
    </w:p>
    <w:p>
      <w:pPr>
        <w:pStyle w:val="ManualHeading2"/>
        <w:rPr>
          <w:noProof/>
        </w:rPr>
      </w:pPr>
      <w:r>
        <w:rPr>
          <w:noProof/>
        </w:rPr>
        <w:t>4.</w:t>
      </w:r>
      <w:r>
        <w:rPr>
          <w:noProof/>
        </w:rPr>
        <w:tab/>
        <w:t>INCIDENCE BUDGÉTAIRE</w:t>
      </w:r>
    </w:p>
    <w:p>
      <w:pPr>
        <w:pStyle w:val="Text1"/>
        <w:rPr>
          <w:noProof/>
        </w:rPr>
      </w:pPr>
      <w:r>
        <w:rPr>
          <w:noProof/>
        </w:rPr>
        <w:t xml:space="preserve">Il n'y a aucune incidence budgétaire. </w:t>
      </w:r>
    </w:p>
    <w:p>
      <w:pPr>
        <w:pStyle w:val="ManualHeading1"/>
        <w:rPr>
          <w:noProof/>
        </w:rPr>
      </w:pPr>
      <w:r>
        <w:rPr>
          <w:noProof/>
        </w:rPr>
        <w:t>5.</w:t>
      </w:r>
      <w:r>
        <w:rPr>
          <w:noProof/>
        </w:rPr>
        <w:tab/>
        <w:t>AUTRES ÉLÉMENTS</w:t>
      </w:r>
    </w:p>
    <w:p>
      <w:pPr>
        <w:pStyle w:val="Text1"/>
        <w:rPr>
          <w:noProof/>
        </w:rPr>
      </w:pPr>
      <w:r>
        <w:rPr>
          <w:noProof/>
        </w:rPr>
        <w:t xml:space="preserve">Sans objet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2017/0280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w:t>
      </w:r>
      <w:r>
        <w:rPr>
          <w:noProof/>
        </w:rPr>
        <w:br/>
        <w:t>au sein du Comité mixte de l'EEE concernant une modification du règlement intérieur</w:t>
      </w:r>
      <w:r>
        <w:rPr>
          <w:noProof/>
        </w:rPr>
        <w:br/>
        <w:t>du Comité mixte de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338, paragraphe 1, en liaison avec l'article 218, paragraphe 9,</w:t>
      </w:r>
    </w:p>
    <w:p>
      <w:pPr>
        <w:rPr>
          <w:noProof/>
        </w:rPr>
      </w:pPr>
      <w:r>
        <w:rPr>
          <w:noProof/>
        </w:rPr>
        <w:t>vu le règlement (CE) n° 2894/94 du Conseil du 28 novembre 1994 relatif à certaines modalités d’application de l’accord sur l’Espace économique européen</w:t>
      </w:r>
      <w:r>
        <w:rPr>
          <w:rStyle w:val="FootnoteReference"/>
          <w:noProof/>
        </w:rPr>
        <w:footnoteReference w:id="3"/>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4"/>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À la suite de l'accord relatif à la participation de la République de Bulgarie et de la Roumanie à l'Espace économique européen</w:t>
      </w:r>
      <w:r>
        <w:rPr>
          <w:rStyle w:val="FootnoteReference"/>
          <w:noProof/>
        </w:rPr>
        <w:footnoteReference w:id="5"/>
      </w:r>
      <w:r>
        <w:rPr>
          <w:noProof/>
        </w:rPr>
        <w:t xml:space="preserve">, signé le 25 juillet 2007 à Bruxelles, l'article 129, paragraphe 1, de l'accord EEE a été modifié pour ajouter le bulgare et le roumain à la liste des langues de l'accord EEE. </w:t>
      </w:r>
    </w:p>
    <w:p>
      <w:pPr>
        <w:pStyle w:val="ManualConsidrant"/>
        <w:rPr>
          <w:noProof/>
        </w:rPr>
      </w:pPr>
      <w:r>
        <w:t>(3)</w:t>
      </w:r>
      <w:r>
        <w:tab/>
      </w:r>
      <w:r>
        <w:rPr>
          <w:noProof/>
        </w:rPr>
        <w:t>L'accord relatif à la participation de la République de Croatie à l'Espace économique européen</w:t>
      </w:r>
      <w:r>
        <w:rPr>
          <w:rStyle w:val="FootnoteReference"/>
          <w:noProof/>
        </w:rPr>
        <w:footnoteReference w:id="6"/>
      </w:r>
      <w:r>
        <w:rPr>
          <w:rStyle w:val="FootnoteReference"/>
          <w:noProof/>
        </w:rPr>
        <w:t xml:space="preserve"> </w:t>
      </w:r>
      <w:r>
        <w:rPr>
          <w:noProof/>
        </w:rPr>
        <w:t>(ci-après l'«accord d'élargissement de l'EEE de 2014»), signé le 11 avril 2014 à Bruxelles, modifie l'article 129, paragraphe 1, de l'accord EEE afin d'ajouter le croate à la liste des langues de l'accord EEE.</w:t>
      </w:r>
    </w:p>
    <w:p>
      <w:pPr>
        <w:pStyle w:val="ManualConsidrant"/>
        <w:rPr>
          <w:noProof/>
        </w:rPr>
      </w:pPr>
      <w:r>
        <w:t>(4)</w:t>
      </w:r>
      <w:r>
        <w:tab/>
      </w:r>
      <w:r>
        <w:rPr>
          <w:noProof/>
        </w:rPr>
        <w:t>Il convient donc de modifier en conséquence le règlement intérieur du Comité mixte de l'EEE, adopté par la décision du Comité mixte de l'EEE nº 1/94 du 8 février 1994</w:t>
      </w:r>
      <w:r>
        <w:rPr>
          <w:rStyle w:val="FootnoteReference"/>
          <w:noProof/>
        </w:rPr>
        <w:footnoteReference w:id="7"/>
      </w:r>
      <w:r>
        <w:rPr>
          <w:noProof/>
        </w:rPr>
        <w:t xml:space="preserve"> et modifié par la décision du Comité mixte de l'EEE nº 24/2005 du 8 février 2005</w:t>
      </w:r>
      <w:r>
        <w:rPr>
          <w:rStyle w:val="FootnoteReference"/>
          <w:noProof/>
        </w:rPr>
        <w:footnoteReference w:id="8"/>
      </w:r>
      <w:r>
        <w:rPr>
          <w:noProof/>
        </w:rPr>
        <w:t>.</w:t>
      </w:r>
    </w:p>
    <w:p>
      <w:pPr>
        <w:pStyle w:val="ManualConsidrant"/>
        <w:rPr>
          <w:noProof/>
        </w:rPr>
      </w:pPr>
      <w:r>
        <w:t>(5)</w:t>
      </w:r>
      <w:r>
        <w:tab/>
      </w:r>
      <w:r>
        <w:rPr>
          <w:noProof/>
        </w:rPr>
        <w:t>L'accord d'élargissement de l'EEE de 2014 est applicable à ses signataires à titre provisoire depuis le 12 avril 2014; la décision du Comité mixte de l'EEE correspondante devrait donc s'appliquer à titre provisoire, dans l'attente de l'entrée en vigueur dudit accord.</w:t>
      </w:r>
    </w:p>
    <w:p>
      <w:pPr>
        <w:pStyle w:val="ManualConsidrant"/>
        <w:rPr>
          <w:noProof/>
        </w:rPr>
      </w:pPr>
      <w:r>
        <w:t>(6)</w:t>
      </w:r>
      <w:r>
        <w:tab/>
      </w:r>
      <w:r>
        <w:rPr>
          <w:noProof/>
        </w:rPr>
        <w:t>Il convient dès lors que la position de l'Union au sein du Comité mixte de l'EEE soit fondée sur les projets de décisions ci-joints,</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position à prendre au nom de l'Union européenne au sein du Comité mixte de l'EEE en ce qui concerne les modifications qu'il est proposé d'apporter au règlement intérieur du Comité mixte de l'EEE est fondée sur les projets de décisions du Comité mixte de l'EEE joints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221 du 25.8.2007, p. 15.</w:t>
      </w:r>
    </w:p>
  </w:footnote>
  <w:footnote w:id="2">
    <w:p>
      <w:pPr>
        <w:pStyle w:val="FootnoteText"/>
        <w:rPr>
          <w:lang w:val="pl-PL"/>
        </w:rPr>
      </w:pPr>
      <w:r>
        <w:rPr>
          <w:rStyle w:val="FootnoteReference"/>
        </w:rPr>
        <w:footnoteRef/>
      </w:r>
      <w:r>
        <w:tab/>
        <w:t>JO L 305 du 30.11.1994, p. 6.</w:t>
      </w:r>
    </w:p>
  </w:footnote>
  <w:footnote w:id="3">
    <w:p>
      <w:pPr>
        <w:pStyle w:val="FootnoteText"/>
        <w:rPr>
          <w:lang w:val="pl-PL"/>
        </w:rPr>
      </w:pPr>
      <w:r>
        <w:rPr>
          <w:rStyle w:val="FootnoteReference"/>
        </w:rPr>
        <w:footnoteRef/>
      </w:r>
      <w:r>
        <w:tab/>
        <w:t>JO L 305 du 30.11.1994, p. 6.</w:t>
      </w:r>
    </w:p>
  </w:footnote>
  <w:footnote w:id="4">
    <w:p>
      <w:pPr>
        <w:pStyle w:val="FootnoteText"/>
        <w:rPr>
          <w:lang w:val="pl-PL"/>
        </w:rPr>
      </w:pPr>
      <w:r>
        <w:rPr>
          <w:rStyle w:val="FootnoteReference"/>
        </w:rPr>
        <w:footnoteRef/>
      </w:r>
      <w:r>
        <w:tab/>
        <w:t xml:space="preserve">JO L 1 du 3.1.1994, p. 3. </w:t>
      </w:r>
    </w:p>
  </w:footnote>
  <w:footnote w:id="5">
    <w:p>
      <w:pPr>
        <w:pStyle w:val="FootnoteText"/>
        <w:rPr>
          <w:lang w:val="pl-PL"/>
        </w:rPr>
      </w:pPr>
      <w:r>
        <w:rPr>
          <w:rStyle w:val="FootnoteReference"/>
        </w:rPr>
        <w:footnoteRef/>
      </w:r>
      <w:r>
        <w:tab/>
        <w:t>JO L 221 du 25.8.2007, p. 15.</w:t>
      </w:r>
    </w:p>
  </w:footnote>
  <w:footnote w:id="6">
    <w:p>
      <w:pPr>
        <w:pStyle w:val="FootnoteText"/>
        <w:rPr>
          <w:lang w:val="pl-PL"/>
        </w:rPr>
      </w:pPr>
      <w:r>
        <w:rPr>
          <w:rStyle w:val="FootnoteReference"/>
        </w:rPr>
        <w:footnoteRef/>
      </w:r>
      <w:r>
        <w:tab/>
        <w:t xml:space="preserve">JO L … </w:t>
      </w:r>
    </w:p>
  </w:footnote>
  <w:footnote w:id="7">
    <w:p>
      <w:pPr>
        <w:pStyle w:val="FootnoteText"/>
        <w:rPr>
          <w:lang w:val="pl-PL"/>
        </w:rPr>
      </w:pPr>
      <w:r>
        <w:rPr>
          <w:rStyle w:val="FootnoteReference"/>
        </w:rPr>
        <w:footnoteRef/>
      </w:r>
      <w:r>
        <w:tab/>
        <w:t>JO L 85 du 30.3.1994, p. 60.</w:t>
      </w:r>
    </w:p>
  </w:footnote>
  <w:footnote w:id="8">
    <w:p>
      <w:pPr>
        <w:pStyle w:val="FootnoteText"/>
      </w:pPr>
      <w:r>
        <w:rPr>
          <w:rStyle w:val="FootnoteReference"/>
        </w:rPr>
        <w:footnoteRef/>
      </w:r>
      <w:r>
        <w:tab/>
        <w:t>JO L 161 du 23.6.2005, p.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06 10:01: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8F37DB0-988F-4585-B0BA-0DA50E434C20"/>
    <w:docVar w:name="LW_COVERPAGE_TYPE" w:val="1"/>
    <w:docVar w:name="LW_CROSSREFERENCE" w:val="&lt;UNUSED&gt;"/>
    <w:docVar w:name="LW_DocType" w:val="COM"/>
    <w:docVar w:name="LW_EMISSION" w:val="6.11.2017"/>
    <w:docVar w:name="LW_EMISSION_ISODATE" w:val="2017-11-0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80"/>
    <w:docVar w:name="LW_REF.II.NEW.CP_YEAR" w:val="2017"/>
    <w:docVar w:name="LW_REF.INST.NEW" w:val="COM"/>
    <w:docVar w:name="LW_REF.INST.NEW_ADOPTED" w:val="final"/>
    <w:docVar w:name="LW_REF.INST.NEW_TEXT" w:val="(2017) 6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nion européenne_x000b_au sein du Comité mixte de l'EEE concernant une modification du règlement intérieur_x000b_du Comité mixte de l'EE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fr-FR" w:eastAsia="fr-FR"/>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lang w:eastAsia="en-US" w:bidi="ar-SA"/>
    </w:rPr>
  </w:style>
  <w:style w:type="character" w:customStyle="1" w:styleId="FooterChar">
    <w:name w:val="Footer Char"/>
    <w:link w:val="Footer"/>
    <w:uiPriority w:val="99"/>
    <w:rPr>
      <w:rFonts w:eastAsia="Calibri"/>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rFonts w:eastAsiaTheme="minorHAnsi"/>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rFonts w:eastAsiaTheme="minorHAnsi"/>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rFonts w:eastAsia="Calibri"/>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rFonts w:eastAsia="Calibri"/>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165042">
      <w:bodyDiv w:val="1"/>
      <w:marLeft w:val="0"/>
      <w:marRight w:val="0"/>
      <w:marTop w:val="0"/>
      <w:marBottom w:val="0"/>
      <w:divBdr>
        <w:top w:val="none" w:sz="0" w:space="0" w:color="auto"/>
        <w:left w:val="none" w:sz="0" w:space="0" w:color="auto"/>
        <w:bottom w:val="none" w:sz="0" w:space="0" w:color="auto"/>
        <w:right w:val="none" w:sz="0" w:space="0" w:color="auto"/>
      </w:divBdr>
    </w:div>
    <w:div w:id="730925051">
      <w:bodyDiv w:val="1"/>
      <w:marLeft w:val="0"/>
      <w:marRight w:val="0"/>
      <w:marTop w:val="0"/>
      <w:marBottom w:val="0"/>
      <w:divBdr>
        <w:top w:val="none" w:sz="0" w:space="0" w:color="auto"/>
        <w:left w:val="none" w:sz="0" w:space="0" w:color="auto"/>
        <w:bottom w:val="none" w:sz="0" w:space="0" w:color="auto"/>
        <w:right w:val="none" w:sz="0" w:space="0" w:color="auto"/>
      </w:divBdr>
    </w:div>
    <w:div w:id="913512238">
      <w:bodyDiv w:val="1"/>
      <w:marLeft w:val="0"/>
      <w:marRight w:val="0"/>
      <w:marTop w:val="0"/>
      <w:marBottom w:val="0"/>
      <w:divBdr>
        <w:top w:val="none" w:sz="0" w:space="0" w:color="auto"/>
        <w:left w:val="none" w:sz="0" w:space="0" w:color="auto"/>
        <w:bottom w:val="none" w:sz="0" w:space="0" w:color="auto"/>
        <w:right w:val="none" w:sz="0" w:space="0" w:color="auto"/>
      </w:divBdr>
    </w:div>
    <w:div w:id="968510339">
      <w:bodyDiv w:val="1"/>
      <w:marLeft w:val="0"/>
      <w:marRight w:val="0"/>
      <w:marTop w:val="0"/>
      <w:marBottom w:val="0"/>
      <w:divBdr>
        <w:top w:val="none" w:sz="0" w:space="0" w:color="auto"/>
        <w:left w:val="none" w:sz="0" w:space="0" w:color="auto"/>
        <w:bottom w:val="none" w:sz="0" w:space="0" w:color="auto"/>
        <w:right w:val="none" w:sz="0" w:space="0" w:color="auto"/>
      </w:divBdr>
    </w:div>
    <w:div w:id="1019891007">
      <w:bodyDiv w:val="1"/>
      <w:marLeft w:val="0"/>
      <w:marRight w:val="0"/>
      <w:marTop w:val="0"/>
      <w:marBottom w:val="0"/>
      <w:divBdr>
        <w:top w:val="none" w:sz="0" w:space="0" w:color="auto"/>
        <w:left w:val="none" w:sz="0" w:space="0" w:color="auto"/>
        <w:bottom w:val="none" w:sz="0" w:space="0" w:color="auto"/>
        <w:right w:val="none" w:sz="0" w:space="0" w:color="auto"/>
      </w:divBdr>
    </w:div>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D00A-0F75-4E8D-ACA1-449D2D92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973</Words>
  <Characters>4976</Characters>
  <Application>Microsoft Office Word</Application>
  <DocSecurity>0</DocSecurity>
  <Lines>108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2014-03-28T08:12:00Z</cp:lastPrinted>
  <dcterms:created xsi:type="dcterms:W3CDTF">2017-10-13T07:36:00Z</dcterms:created>
  <dcterms:modified xsi:type="dcterms:W3CDTF">2017-11-06T09:01:00Z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5.8.4, Build 20150407</vt:lpwstr>
  </property>
  <property fmtid="{D5CDD505-2E9C-101B-9397-08002B2CF9AE}" pid="5" name="Created using">
    <vt:lpwstr>LW 5.8.2, Build 20120919</vt:lpwstr>
  </property>
  <property fmtid="{D5CDD505-2E9C-101B-9397-08002B2CF9AE}" pid="6" name="LWTemplateID">
    <vt:lpwstr>SJ-019</vt:lpwstr>
  </property>
  <property fmtid="{D5CDD505-2E9C-101B-9397-08002B2CF9AE}" pid="7" name="Part">
    <vt:lpwstr>1</vt:lpwstr>
  </property>
  <property fmtid="{D5CDD505-2E9C-101B-9397-08002B2CF9AE}" pid="8" name="Total parts">
    <vt:lpwstr>1</vt:lpwstr>
  </property>
  <property fmtid="{D5CDD505-2E9C-101B-9397-08002B2CF9AE}" pid="9" name="DQCStatus">
    <vt:lpwstr>Green (DQC version 03)</vt:lpwstr>
  </property>
  <property fmtid="{D5CDD505-2E9C-101B-9397-08002B2CF9AE}" pid="10" name="Level of sensitivity">
    <vt:lpwstr>Standard treatment</vt:lpwstr>
  </property>
</Properties>
</file>