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C57F9489-0DB7-4698-9B2A-C046F2AF6E98" style="width:450.7pt;height:365.7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Style w:val="Text1"/>
        <w:rPr>
          <w:noProof/>
        </w:rPr>
      </w:pPr>
      <w:r>
        <w:rPr>
          <w:noProof/>
        </w:rPr>
        <w:t>Двата проекта за решения на Съвместния комитет на ЕИП (приложени към предложеното решение на Съвета) имат за цел да се измени процедурният правилник на Съвместния комитет на ЕИП с оглед на добавянето на български, румънски и хърватски език.</w:t>
      </w:r>
    </w:p>
    <w:p>
      <w:pPr>
        <w:pStyle w:val="Text1"/>
        <w:rPr>
          <w:noProof/>
        </w:rPr>
      </w:pPr>
      <w:r>
        <w:rPr>
          <w:noProof/>
        </w:rPr>
        <w:t xml:space="preserve">Първият проект за решение на Съвместния комитет на ЕИП в </w:t>
      </w:r>
      <w:r>
        <w:rPr>
          <w:b/>
          <w:noProof/>
        </w:rPr>
        <w:t>приложение 1</w:t>
      </w:r>
      <w:r>
        <w:rPr>
          <w:noProof/>
        </w:rPr>
        <w:t xml:space="preserve"> се отнася до българският и румънският език. Със Споразумението за участието на Република България и Румъния в Европейското икономическо пространство</w:t>
      </w:r>
      <w:r>
        <w:rPr>
          <w:rStyle w:val="FootnoteReference"/>
          <w:noProof/>
        </w:rPr>
        <w:footnoteReference w:id="1"/>
      </w:r>
      <w:r>
        <w:rPr>
          <w:noProof/>
        </w:rPr>
        <w:t>, подписано на 25 юли 2007 г. в Брюксел, беше изменен член 129, параграф 1 от Споразумението за ЕИП, за да се добавят българският и румънският език в списъка на езиците на Споразумението за ЕИП. Тези два езика обаче следва да бъдат добавени и към списъка на езиците в процедурния правилник на Съвместния комитет на ЕИП.</w:t>
      </w:r>
    </w:p>
    <w:p>
      <w:pPr>
        <w:pStyle w:val="Text1"/>
        <w:rPr>
          <w:noProof/>
        </w:rPr>
      </w:pPr>
      <w:r>
        <w:rPr>
          <w:noProof/>
        </w:rPr>
        <w:t xml:space="preserve">Тъй като Споразумението за участие на Република България и Румъния в Европейското икономическо пространство, подписано на 25 юли 2007 г. в Брюксел, влезе в сила на 9 ноември 2011 г., решението на Съвместния комитет на ЕИП може да влезе в сила, след като бъде прието от Комитета на ЕИП. </w:t>
      </w:r>
    </w:p>
    <w:p>
      <w:pPr>
        <w:pStyle w:val="Text1"/>
        <w:rPr>
          <w:noProof/>
        </w:rPr>
      </w:pPr>
      <w:r>
        <w:rPr>
          <w:noProof/>
        </w:rPr>
        <w:t xml:space="preserve">Вторият проект за решение на Съвместния комитет на ЕИП в </w:t>
      </w:r>
      <w:r>
        <w:rPr>
          <w:b/>
          <w:noProof/>
        </w:rPr>
        <w:t>приложение 2</w:t>
      </w:r>
      <w:r>
        <w:rPr>
          <w:noProof/>
        </w:rPr>
        <w:t xml:space="preserve"> се отнася до хърватския език. Със Споразумението за участие на Република Хърватия в Европейското икономическо пространство („Споразумение за разширяване на ЕИП от 2014 г.“), подписано на 11 април 2014 г. в Брюксел, член 129, параграф 1 от Споразумението за ЕИП се изменя, за да се добави хърватският език в списъка на езиците на Споразумението за ЕИП. Процедурният правилник на Съвместния комитет на ЕИП следва да бъде съответно изменен.</w:t>
      </w:r>
    </w:p>
    <w:p>
      <w:pPr>
        <w:pStyle w:val="Text1"/>
        <w:rPr>
          <w:noProof/>
        </w:rPr>
      </w:pPr>
      <w:r>
        <w:rPr>
          <w:noProof/>
        </w:rPr>
        <w:t>Споразумението за разширяване на ЕИП от 2014 г. се прилага временно спрямо подписалите го страни от 12 април 2014 г. насам и поради това настоящото решение следва да се прилага временно до влизането в сила на Споразумението за разширяване на ЕИП от 2014 г.</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Style w:val="Text1"/>
        <w:rPr>
          <w:noProof/>
        </w:rPr>
      </w:pPr>
      <w:r>
        <w:rPr>
          <w:noProof/>
        </w:rPr>
        <w:t xml:space="preserve">Не се прилага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Style w:val="Text1"/>
        <w:rPr>
          <w:noProof/>
        </w:rPr>
      </w:pPr>
      <w:r>
        <w:rPr>
          <w:noProof/>
        </w:rPr>
        <w:t xml:space="preserve">Не се прилага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Style w:val="Text1"/>
        <w:rPr>
          <w:noProof/>
        </w:rPr>
      </w:pPr>
      <w:r>
        <w:rPr>
          <w:noProof/>
        </w:rPr>
        <w:t>Съгласно член 1, параграф 3 от Регламент (ЕО) № 2894/94 на Съвета</w:t>
      </w:r>
      <w:r>
        <w:rPr>
          <w:rStyle w:val="FootnoteReference"/>
          <w:noProof/>
        </w:rPr>
        <w:footnoteReference w:id="2"/>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w:t>
      </w:r>
      <w:r>
        <w:rPr>
          <w:noProof/>
        </w:rPr>
        <w:lastRenderedPageBreak/>
        <w:t xml:space="preserve">позицията, която да бъде заета от името на Съюза по отношение на подобни решения. </w:t>
      </w:r>
    </w:p>
    <w:p>
      <w:pPr>
        <w:pStyle w:val="Text1"/>
        <w:rPr>
          <w:noProof/>
        </w:rPr>
      </w:pPr>
      <w:r>
        <w:rPr>
          <w:noProof/>
        </w:rPr>
        <w:t>В сътрудничество с ЕСВД Комисията представя проектите за решения на Съвместния комитет на ЕИП пред Съвета, който следва да ги приеме като позиция на Съюза. Комисията се надява да има възможност да представи позицията на Съюза пред Съвместния комитет на ЕИП възможно най-скоро.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Style w:val="Text1"/>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Пропорционалност</w:t>
      </w:r>
    </w:p>
    <w:p>
      <w:pPr>
        <w:pStyle w:val="Text1"/>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Избор на инструмент</w:t>
      </w:r>
    </w:p>
    <w:p>
      <w:pPr>
        <w:pStyle w:val="Text1"/>
        <w:rPr>
          <w:noProof/>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rPr>
          <w:noProof/>
        </w:rPr>
      </w:pPr>
      <w:r>
        <w:rPr>
          <w:noProof/>
        </w:rPr>
        <w:t xml:space="preserve">Не е приложимо </w:t>
      </w:r>
    </w:p>
    <w:p>
      <w:pPr>
        <w:pStyle w:val="ManualHeading2"/>
        <w:rPr>
          <w:rFonts w:eastAsia="Arial Unicode MS"/>
          <w:noProof/>
          <w:u w:color="000000"/>
          <w:bdr w:val="nil"/>
        </w:rPr>
      </w:pPr>
      <w:r>
        <w:rPr>
          <w:noProof/>
        </w:rPr>
        <w:t>•</w:t>
      </w:r>
      <w:r>
        <w:rPr>
          <w:noProof/>
        </w:rPr>
        <w:tab/>
        <w:t>Оценка на въздействието</w:t>
      </w:r>
    </w:p>
    <w:p>
      <w:pPr>
        <w:pStyle w:val="Text1"/>
        <w:rPr>
          <w:noProof/>
        </w:rPr>
      </w:pPr>
      <w:r>
        <w:rPr>
          <w:noProof/>
        </w:rPr>
        <w:t xml:space="preserve">Не е приложимо </w:t>
      </w:r>
    </w:p>
    <w:p>
      <w:pPr>
        <w:pStyle w:val="ManualHeading2"/>
        <w:rPr>
          <w:noProof/>
        </w:rPr>
      </w:pPr>
      <w:r>
        <w:rPr>
          <w:noProof/>
        </w:rPr>
        <w:t>4.</w:t>
      </w:r>
      <w:r>
        <w:rPr>
          <w:noProof/>
        </w:rPr>
        <w:tab/>
        <w:t>ОТРАЖЕНИЕ ВЪРХУ БЮДЖЕТА</w:t>
      </w:r>
    </w:p>
    <w:p>
      <w:pPr>
        <w:pStyle w:val="Text1"/>
        <w:rPr>
          <w:noProof/>
        </w:rPr>
      </w:pPr>
      <w:r>
        <w:rPr>
          <w:noProof/>
        </w:rPr>
        <w:t xml:space="preserve">Няма последици за бюджета. </w:t>
      </w:r>
    </w:p>
    <w:p>
      <w:pPr>
        <w:pStyle w:val="ManualHeading1"/>
        <w:rPr>
          <w:noProof/>
        </w:rPr>
      </w:pPr>
      <w:r>
        <w:rPr>
          <w:noProof/>
        </w:rPr>
        <w:t>5.</w:t>
      </w:r>
      <w:r>
        <w:rPr>
          <w:noProof/>
        </w:rPr>
        <w:tab/>
        <w:t>ДРУГИ ЕЛЕМЕНТИ</w:t>
      </w:r>
    </w:p>
    <w:p>
      <w:pPr>
        <w:pStyle w:val="Text1"/>
        <w:rPr>
          <w:noProof/>
        </w:rPr>
      </w:pPr>
      <w:r>
        <w:rPr>
          <w:noProof/>
        </w:rPr>
        <w:t xml:space="preserve">Не е приложимо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2017/0280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заета от името на Европейския съюз</w:t>
      </w:r>
      <w:r>
        <w:rPr>
          <w:noProof/>
        </w:rPr>
        <w:br/>
        <w:t>в рамките на Съвместния комитет на ЕИП във връзка с изменението на процедурния правилник на Съвместния комитет на ЕИП</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w:t>
      </w:r>
      <w:r>
        <w:rPr>
          <w:noProof/>
          <w:color w:val="000000"/>
        </w:rPr>
        <w:t>член 338, параграф 1</w:t>
      </w:r>
      <w:r>
        <w:rPr>
          <w:noProof/>
        </w:rPr>
        <w:t xml:space="preserve">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3"/>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4"/>
      </w:r>
      <w:r>
        <w:rPr>
          <w:noProof/>
        </w:rPr>
        <w:t xml:space="preserve"> („Споразумението за ЕИП“) влезе в сила на 1 януари 1994 г.</w:t>
      </w:r>
    </w:p>
    <w:p>
      <w:pPr>
        <w:pStyle w:val="ManualConsidrant"/>
        <w:rPr>
          <w:noProof/>
        </w:rPr>
      </w:pPr>
      <w:r>
        <w:t>(2)</w:t>
      </w:r>
      <w:r>
        <w:tab/>
      </w:r>
      <w:r>
        <w:rPr>
          <w:noProof/>
        </w:rPr>
        <w:t>Със Споразумението за участието на Република България и Румъния в Европейското икономическо пространство</w:t>
      </w:r>
      <w:r>
        <w:rPr>
          <w:rStyle w:val="FootnoteReference"/>
          <w:noProof/>
        </w:rPr>
        <w:footnoteReference w:id="5"/>
      </w:r>
      <w:r>
        <w:rPr>
          <w:noProof/>
        </w:rPr>
        <w:t xml:space="preserve">, подписано на 25 юли 2007 г. в Брюксел, беше изменен член 129, параграф 1 от Споразумението за ЕИП, за да се добавят българският и румънският език в списъка на езиците на Споразумението за ЕИП. </w:t>
      </w:r>
    </w:p>
    <w:p>
      <w:pPr>
        <w:pStyle w:val="ManualConsidrant"/>
        <w:rPr>
          <w:noProof/>
        </w:rPr>
      </w:pPr>
      <w:r>
        <w:t>(3)</w:t>
      </w:r>
      <w:r>
        <w:tab/>
      </w:r>
      <w:r>
        <w:rPr>
          <w:noProof/>
        </w:rPr>
        <w:t>Със Споразумението за участие на Република Хърватия в Европейското икономическо пространство</w:t>
      </w:r>
      <w:r>
        <w:rPr>
          <w:rStyle w:val="FootnoteReference"/>
          <w:noProof/>
        </w:rPr>
        <w:footnoteReference w:id="6"/>
      </w:r>
      <w:r>
        <w:rPr>
          <w:rStyle w:val="FootnoteReference"/>
          <w:noProof/>
        </w:rPr>
        <w:t xml:space="preserve"> </w:t>
      </w:r>
      <w:r>
        <w:rPr>
          <w:noProof/>
        </w:rPr>
        <w:t> („Споразумение за разширяване на ЕИП от 2014 г.“), подписано на 11 април 2014 г. в Брюксел, член 129, параграф 1 от Споразумението за ЕИП се изменя, за да се добави хърватският език в списъка на езиците на Споразумението за ЕИП.</w:t>
      </w:r>
    </w:p>
    <w:p>
      <w:pPr>
        <w:pStyle w:val="ManualConsidrant"/>
        <w:rPr>
          <w:noProof/>
        </w:rPr>
      </w:pPr>
      <w:r>
        <w:t>(4)</w:t>
      </w:r>
      <w:r>
        <w:tab/>
      </w:r>
      <w:r>
        <w:rPr>
          <w:noProof/>
        </w:rPr>
        <w:t>Процедурният правилник на Съвместния комитет на ЕИП, приет с Решение на Съвместния комитет на ЕИП № 1/94 от 8 февруари 1994 г.</w:t>
      </w:r>
      <w:r>
        <w:rPr>
          <w:rStyle w:val="FootnoteReference"/>
          <w:noProof/>
        </w:rPr>
        <w:footnoteReference w:id="7"/>
      </w:r>
      <w:r>
        <w:rPr>
          <w:noProof/>
        </w:rPr>
        <w:t xml:space="preserve"> и изменен с Решение на Съвместния комитет на ЕИП № 24/2005 от 8 февруари 2005 г.</w:t>
      </w:r>
      <w:r>
        <w:rPr>
          <w:rStyle w:val="FootnoteReference"/>
          <w:noProof/>
        </w:rPr>
        <w:footnoteReference w:id="8"/>
      </w:r>
      <w:r>
        <w:rPr>
          <w:noProof/>
        </w:rPr>
        <w:t>, следва да бъде съответно изменен.</w:t>
      </w:r>
    </w:p>
    <w:p>
      <w:pPr>
        <w:pStyle w:val="ManualConsidrant"/>
        <w:rPr>
          <w:noProof/>
        </w:rPr>
      </w:pPr>
      <w:r>
        <w:t>(5)</w:t>
      </w:r>
      <w:r>
        <w:tab/>
      </w:r>
      <w:r>
        <w:rPr>
          <w:noProof/>
        </w:rPr>
        <w:t>Споразумението за разширяване на ЕИП от 2014 г. се прилага временно спрямо подписалите го страни от 12 април 2014 г. насам и поради това решението на Съвместния комитет на ЕИП следва да се прилага временно до влизането в сила на Споразумението за разширяване на ЕИП от 2014 г.</w:t>
      </w:r>
    </w:p>
    <w:p>
      <w:pPr>
        <w:pStyle w:val="ManualConsidrant"/>
        <w:rPr>
          <w:noProof/>
        </w:rPr>
      </w:pPr>
      <w:r>
        <w:lastRenderedPageBreak/>
        <w:t>(6)</w:t>
      </w:r>
      <w:r>
        <w:tab/>
      </w:r>
      <w:r>
        <w:rPr>
          <w:noProof/>
        </w:rPr>
        <w:t>Следователно позицията на Съюза в рамките на Съвместния комитет на ЕИП следва да се основава на приложените проекти за решения,</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следва да бъде приета от името на Съюза в рамките на Съвместния комитет на ЕИП във връзка с предложените изменения на процедурния правилник на Съвместния комитет на ЕИП, се основава на проектите на решения на Съвместния комитет на ЕИП, приложени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221, 25.8.2007 г., стр. 15.</w:t>
      </w:r>
    </w:p>
  </w:footnote>
  <w:footnote w:id="2">
    <w:p>
      <w:pPr>
        <w:pStyle w:val="FootnoteText"/>
        <w:rPr>
          <w:lang w:val="pl-PL"/>
        </w:rPr>
      </w:pPr>
      <w:r>
        <w:rPr>
          <w:rStyle w:val="FootnoteReference"/>
        </w:rPr>
        <w:footnoteRef/>
      </w:r>
      <w:r>
        <w:tab/>
        <w:t>ОВ L 305, 30.11.1994 г., стр. 6—8.</w:t>
      </w:r>
    </w:p>
  </w:footnote>
  <w:footnote w:id="3">
    <w:p>
      <w:pPr>
        <w:pStyle w:val="FootnoteText"/>
        <w:rPr>
          <w:lang w:val="pl-PL"/>
        </w:rPr>
      </w:pPr>
      <w:r>
        <w:rPr>
          <w:rStyle w:val="FootnoteReference"/>
        </w:rPr>
        <w:footnoteRef/>
      </w:r>
      <w:r>
        <w:tab/>
        <w:t>ОВ L 305, 30.11.1994 г., стр. 6.</w:t>
      </w:r>
    </w:p>
  </w:footnote>
  <w:footnote w:id="4">
    <w:p>
      <w:pPr>
        <w:pStyle w:val="FootnoteText"/>
        <w:rPr>
          <w:lang w:val="pl-PL"/>
        </w:rPr>
      </w:pPr>
      <w:r>
        <w:rPr>
          <w:rStyle w:val="FootnoteReference"/>
        </w:rPr>
        <w:footnoteRef/>
      </w:r>
      <w:r>
        <w:tab/>
        <w:t xml:space="preserve">ОВ L 1, 3.1.1994 г., стр. 3. </w:t>
      </w:r>
    </w:p>
  </w:footnote>
  <w:footnote w:id="5">
    <w:p>
      <w:pPr>
        <w:pStyle w:val="FootnoteText"/>
        <w:rPr>
          <w:lang w:val="pl-PL"/>
        </w:rPr>
      </w:pPr>
      <w:r>
        <w:rPr>
          <w:rStyle w:val="FootnoteReference"/>
        </w:rPr>
        <w:footnoteRef/>
      </w:r>
      <w:r>
        <w:tab/>
        <w:t>ОВ L 221, 25.8.2007 г., стр. 15.</w:t>
      </w:r>
    </w:p>
  </w:footnote>
  <w:footnote w:id="6">
    <w:p>
      <w:pPr>
        <w:pStyle w:val="FootnoteText"/>
        <w:rPr>
          <w:lang w:val="pl-PL"/>
        </w:rPr>
      </w:pPr>
      <w:r>
        <w:rPr>
          <w:rStyle w:val="FootnoteReference"/>
        </w:rPr>
        <w:footnoteRef/>
      </w:r>
      <w:r>
        <w:tab/>
        <w:t xml:space="preserve">ОВ L ... </w:t>
      </w:r>
    </w:p>
  </w:footnote>
  <w:footnote w:id="7">
    <w:p>
      <w:pPr>
        <w:pStyle w:val="FootnoteText"/>
        <w:rPr>
          <w:lang w:val="pl-PL"/>
        </w:rPr>
      </w:pPr>
      <w:r>
        <w:rPr>
          <w:rStyle w:val="FootnoteReference"/>
        </w:rPr>
        <w:footnoteRef/>
      </w:r>
      <w:r>
        <w:tab/>
        <w:t>ОВ L 85, 30.3.1994 г., стр. 60.</w:t>
      </w:r>
    </w:p>
  </w:footnote>
  <w:footnote w:id="8">
    <w:p>
      <w:pPr>
        <w:pStyle w:val="FootnoteText"/>
      </w:pPr>
      <w:r>
        <w:rPr>
          <w:rStyle w:val="FootnoteReference"/>
        </w:rPr>
        <w:footnoteRef/>
      </w:r>
      <w:r>
        <w:tab/>
        <w:t>ОВ L 161, 23.6.2005 г., стр. 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3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DQCDateTime" w:val="2017-11-06 09:59: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57F9489-0DB7-4698-9B2A-C046F2AF6E98"/>
    <w:docVar w:name="LW_COVERPAGE_TYPE" w:val="1"/>
    <w:docVar w:name="LW_CROSSREFERENCE" w:val="&lt;UNUSED&gt;"/>
    <w:docVar w:name="LW_DocType" w:val="COM"/>
    <w:docVar w:name="LW_EMISSION" w:val="6.11.2017"/>
    <w:docVar w:name="LW_EMISSION_ISODATE" w:val="2017-11-06"/>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80"/>
    <w:docVar w:name="LW_REF.II.NEW.CP_YEAR" w:val="2017"/>
    <w:docVar w:name="LW_REF.INST.NEW" w:val="COM"/>
    <w:docVar w:name="LW_REF.INST.NEW_ADOPTED" w:val="final"/>
    <w:docVar w:name="LW_REF.INST.NEW_TEXT" w:val="(2017) 6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79?\u1072?\u1077?\u1090?\u1072? \u1086?\u1090? \u1080?\u1084?\u1077?\u1090?\u1086? \u1085?\u1072? \u1045?\u1074?\u1088?\u1086?\u1087?\u1077?\u1081?\u1089?\u1082?\u1080?\u1103? \u1089?\u1098?\u1102?\u1079?_x000b_\u1074? \u1088?\u1072?\u1084?\u1082?\u1080?\u1090?\u1077? \u1085?\u1072? \u1057?\u1098?\u1074?\u1084?\u1077?\u1089?\u1090?\u1085?\u1080?\u1103? \u1082?\u1086?\u1084?\u1080?\u1090?\u1077?\u1090? \u1085?\u1072? \u1045?\u1048?\u1055? \u1074?\u1098?\u1074? \u1074?\u1088?\u1098?\u1079?\u1082?\u1072? \u1089? \u1080?\u1079?\u1084?\u1077?\u1085?\u1077?\u1085?\u1080?\u1077?\u1090?\u1086? \u1085?\u1072? \u1087?\u1088?\u1086?\u1094?\u1077?\u1076?\u1091?\u1088?\u1085?\u1080?\u1103? \u1087?\u1088?\u1072?\u1074?\u1080?\u1083?\u1085?\u1080?\u1082? \u1085?\u1072? \u1057?\u1098?\u1074?\u1084?\u1077?\u1089?\u1090?\u1085?\u1080?\u1103? \u1082?\u1086?\u1084?\u1080?\u1090?\u1077?\u1090? \u1085?\u1072? \u1045?\u1048?\u1055?"/>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0"/>
      <w:ind w:left="283"/>
      <w:jc w:val="left"/>
    </w:pPr>
  </w:style>
  <w:style w:type="character" w:customStyle="1" w:styleId="BodyTextIndentChar">
    <w:name w:val="Body Text Indent Char"/>
    <w:link w:val="BodyTextIndent"/>
    <w:rPr>
      <w:sz w:val="24"/>
      <w:szCs w:val="24"/>
      <w:lang w:val="bg-BG" w:eastAsia="bg-BG"/>
    </w:rPr>
  </w:style>
  <w:style w:type="paragraph" w:styleId="BodyText2">
    <w:name w:val="Body Text 2"/>
    <w:basedOn w:val="Normal"/>
    <w:link w:val="BodyText2Char"/>
    <w:pPr>
      <w:spacing w:line="480" w:lineRule="auto"/>
    </w:pPr>
  </w:style>
  <w:style w:type="character" w:customStyle="1" w:styleId="BodyText2Char">
    <w:name w:val="Body Text 2 Char"/>
    <w:link w:val="BodyText2"/>
    <w:rPr>
      <w:sz w:val="24"/>
      <w:szCs w:val="24"/>
      <w:lan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pPr>
      <w:numPr>
        <w:numId w:val="1"/>
      </w:numPr>
      <w:contextualSpacing/>
    </w:pPr>
  </w:style>
  <w:style w:type="paragraph" w:styleId="ListBullet2">
    <w:name w:val="List Bullet 2"/>
    <w:basedOn w:val="Normal"/>
    <w:pPr>
      <w:numPr>
        <w:numId w:val="2"/>
      </w:numPr>
      <w:contextualSpacing/>
    </w:pPr>
  </w:style>
  <w:style w:type="paragraph" w:styleId="ListBullet3">
    <w:name w:val="List Bullet 3"/>
    <w:basedOn w:val="Normal"/>
    <w:pPr>
      <w:numPr>
        <w:numId w:val="3"/>
      </w:numPr>
      <w:contextualSpacing/>
    </w:pPr>
  </w:style>
  <w:style w:type="paragraph" w:styleId="ListBullet4">
    <w:name w:val="List Bullet 4"/>
    <w:basedOn w:val="Normal"/>
    <w:pPr>
      <w:numPr>
        <w:numId w:val="4"/>
      </w:numPr>
      <w:contextualSpacing/>
    </w:pPr>
  </w:style>
  <w:style w:type="paragraph" w:styleId="Caption">
    <w:name w:val="caption"/>
    <w:basedOn w:val="Normal"/>
    <w:next w:val="Normal"/>
    <w:semiHidden/>
    <w:unhideWhenUsed/>
    <w:qFormat/>
    <w:rPr>
      <w:b/>
      <w:bCs/>
      <w:sz w:val="20"/>
    </w:rPr>
  </w:style>
  <w:style w:type="paragraph" w:styleId="TableofFigures">
    <w:name w:val="table of figures"/>
    <w:basedOn w:val="Normal"/>
    <w:next w:val="Normal"/>
  </w:style>
  <w:style w:type="paragraph" w:styleId="ListNumber">
    <w:name w:val="List Number"/>
    <w:basedOn w:val="Normal"/>
    <w:pPr>
      <w:numPr>
        <w:numId w:val="6"/>
      </w:numPr>
      <w:contextualSpacing/>
    </w:pPr>
  </w:style>
  <w:style w:type="paragraph" w:styleId="ListNumber2">
    <w:name w:val="List Number 2"/>
    <w:basedOn w:val="Normal"/>
    <w:pPr>
      <w:numPr>
        <w:numId w:val="7"/>
      </w:numPr>
      <w:contextualSpacing/>
    </w:pPr>
  </w:style>
  <w:style w:type="paragraph" w:styleId="ListNumber3">
    <w:name w:val="List Number 3"/>
    <w:basedOn w:val="Normal"/>
    <w:pPr>
      <w:numPr>
        <w:numId w:val="8"/>
      </w:numPr>
      <w:contextualSpacing/>
    </w:pPr>
  </w:style>
  <w:style w:type="paragraph" w:styleId="ListNumber4">
    <w:name w:val="List Number 4"/>
    <w:basedOn w:val="Normal"/>
    <w:pPr>
      <w:numPr>
        <w:numId w:val="9"/>
      </w:numPr>
      <w:contextualSpacing/>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rPr>
  </w:style>
  <w:style w:type="character" w:styleId="Hyperlink">
    <w:name w:val="Hyperlink"/>
    <w:rPr>
      <w:color w:val="0000FF"/>
      <w:u w:val="single"/>
    </w:r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Calibri"/>
      <w:lang w:eastAsia="en-US" w:bidi="ar-SA"/>
    </w:rPr>
  </w:style>
  <w:style w:type="character" w:customStyle="1" w:styleId="FooterChar">
    <w:name w:val="Footer Char"/>
    <w:link w:val="Footer"/>
    <w:uiPriority w:val="99"/>
    <w:rPr>
      <w:rFonts w:eastAsia="Calibri"/>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Calibri"/>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rFonts w:eastAsiaTheme="minorHAnsi"/>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Declassification">
    <w:name w:val="Declassification"/>
    <w:basedOn w:val="Normal"/>
    <w:next w:val="Normal"/>
    <w:pPr>
      <w:spacing w:before="0" w:after="0"/>
    </w:pPr>
    <w:rPr>
      <w:rFonts w:eastAsiaTheme="minorHAnsi"/>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rFonts w:eastAsia="Calibri"/>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rFonts w:eastAsia="Calibri"/>
      <w:b/>
      <w:sz w:val="32"/>
      <w:lang w:eastAsia="en-US" w:bidi="ar-SA"/>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rPr>
      <w:rFonts w:eastAsiaTheme="minorHAnsi"/>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165042">
      <w:bodyDiv w:val="1"/>
      <w:marLeft w:val="0"/>
      <w:marRight w:val="0"/>
      <w:marTop w:val="0"/>
      <w:marBottom w:val="0"/>
      <w:divBdr>
        <w:top w:val="none" w:sz="0" w:space="0" w:color="auto"/>
        <w:left w:val="none" w:sz="0" w:space="0" w:color="auto"/>
        <w:bottom w:val="none" w:sz="0" w:space="0" w:color="auto"/>
        <w:right w:val="none" w:sz="0" w:space="0" w:color="auto"/>
      </w:divBdr>
    </w:div>
    <w:div w:id="730925051">
      <w:bodyDiv w:val="1"/>
      <w:marLeft w:val="0"/>
      <w:marRight w:val="0"/>
      <w:marTop w:val="0"/>
      <w:marBottom w:val="0"/>
      <w:divBdr>
        <w:top w:val="none" w:sz="0" w:space="0" w:color="auto"/>
        <w:left w:val="none" w:sz="0" w:space="0" w:color="auto"/>
        <w:bottom w:val="none" w:sz="0" w:space="0" w:color="auto"/>
        <w:right w:val="none" w:sz="0" w:space="0" w:color="auto"/>
      </w:divBdr>
    </w:div>
    <w:div w:id="913512238">
      <w:bodyDiv w:val="1"/>
      <w:marLeft w:val="0"/>
      <w:marRight w:val="0"/>
      <w:marTop w:val="0"/>
      <w:marBottom w:val="0"/>
      <w:divBdr>
        <w:top w:val="none" w:sz="0" w:space="0" w:color="auto"/>
        <w:left w:val="none" w:sz="0" w:space="0" w:color="auto"/>
        <w:bottom w:val="none" w:sz="0" w:space="0" w:color="auto"/>
        <w:right w:val="none" w:sz="0" w:space="0" w:color="auto"/>
      </w:divBdr>
    </w:div>
    <w:div w:id="968510339">
      <w:bodyDiv w:val="1"/>
      <w:marLeft w:val="0"/>
      <w:marRight w:val="0"/>
      <w:marTop w:val="0"/>
      <w:marBottom w:val="0"/>
      <w:divBdr>
        <w:top w:val="none" w:sz="0" w:space="0" w:color="auto"/>
        <w:left w:val="none" w:sz="0" w:space="0" w:color="auto"/>
        <w:bottom w:val="none" w:sz="0" w:space="0" w:color="auto"/>
        <w:right w:val="none" w:sz="0" w:space="0" w:color="auto"/>
      </w:divBdr>
    </w:div>
    <w:div w:id="1019891007">
      <w:bodyDiv w:val="1"/>
      <w:marLeft w:val="0"/>
      <w:marRight w:val="0"/>
      <w:marTop w:val="0"/>
      <w:marBottom w:val="0"/>
      <w:divBdr>
        <w:top w:val="none" w:sz="0" w:space="0" w:color="auto"/>
        <w:left w:val="none" w:sz="0" w:space="0" w:color="auto"/>
        <w:bottom w:val="none" w:sz="0" w:space="0" w:color="auto"/>
        <w:right w:val="none" w:sz="0" w:space="0" w:color="auto"/>
      </w:divBdr>
    </w:div>
    <w:div w:id="1578780827">
      <w:bodyDiv w:val="1"/>
      <w:marLeft w:val="0"/>
      <w:marRight w:val="0"/>
      <w:marTop w:val="0"/>
      <w:marBottom w:val="0"/>
      <w:divBdr>
        <w:top w:val="none" w:sz="0" w:space="0" w:color="auto"/>
        <w:left w:val="none" w:sz="0" w:space="0" w:color="auto"/>
        <w:bottom w:val="none" w:sz="0" w:space="0" w:color="auto"/>
        <w:right w:val="none" w:sz="0" w:space="0" w:color="auto"/>
      </w:divBdr>
      <w:divsChild>
        <w:div w:id="19940859">
          <w:marLeft w:val="0"/>
          <w:marRight w:val="0"/>
          <w:marTop w:val="0"/>
          <w:marBottom w:val="0"/>
          <w:divBdr>
            <w:top w:val="none" w:sz="0" w:space="0" w:color="auto"/>
            <w:left w:val="none" w:sz="0" w:space="0" w:color="auto"/>
            <w:bottom w:val="none" w:sz="0" w:space="0" w:color="auto"/>
            <w:right w:val="none" w:sz="0" w:space="0" w:color="auto"/>
          </w:divBdr>
          <w:divsChild>
            <w:div w:id="307515087">
              <w:marLeft w:val="2"/>
              <w:marRight w:val="2"/>
              <w:marTop w:val="0"/>
              <w:marBottom w:val="0"/>
              <w:divBdr>
                <w:top w:val="none" w:sz="0" w:space="0" w:color="auto"/>
                <w:left w:val="none" w:sz="0" w:space="0" w:color="auto"/>
                <w:bottom w:val="none" w:sz="0" w:space="0" w:color="auto"/>
                <w:right w:val="none" w:sz="0" w:space="0" w:color="auto"/>
              </w:divBdr>
              <w:divsChild>
                <w:div w:id="1828667934">
                  <w:marLeft w:val="0"/>
                  <w:marRight w:val="0"/>
                  <w:marTop w:val="0"/>
                  <w:marBottom w:val="0"/>
                  <w:divBdr>
                    <w:top w:val="none" w:sz="0" w:space="0" w:color="auto"/>
                    <w:left w:val="none" w:sz="0" w:space="0" w:color="auto"/>
                    <w:bottom w:val="none" w:sz="0" w:space="0" w:color="auto"/>
                    <w:right w:val="none" w:sz="0" w:space="0" w:color="auto"/>
                  </w:divBdr>
                  <w:divsChild>
                    <w:div w:id="932975110">
                      <w:marLeft w:val="0"/>
                      <w:marRight w:val="0"/>
                      <w:marTop w:val="0"/>
                      <w:marBottom w:val="0"/>
                      <w:divBdr>
                        <w:top w:val="none" w:sz="0" w:space="0" w:color="auto"/>
                        <w:left w:val="none" w:sz="0" w:space="0" w:color="auto"/>
                        <w:bottom w:val="none" w:sz="0" w:space="0" w:color="auto"/>
                        <w:right w:val="none" w:sz="0" w:space="0" w:color="auto"/>
                      </w:divBdr>
                      <w:divsChild>
                        <w:div w:id="1861619885">
                          <w:marLeft w:val="0"/>
                          <w:marRight w:val="0"/>
                          <w:marTop w:val="0"/>
                          <w:marBottom w:val="0"/>
                          <w:divBdr>
                            <w:top w:val="none" w:sz="0" w:space="0" w:color="auto"/>
                            <w:left w:val="none" w:sz="0" w:space="0" w:color="auto"/>
                            <w:bottom w:val="none" w:sz="0" w:space="0" w:color="auto"/>
                            <w:right w:val="none" w:sz="0" w:space="0" w:color="auto"/>
                          </w:divBdr>
                          <w:divsChild>
                            <w:div w:id="2047023996">
                              <w:marLeft w:val="0"/>
                              <w:marRight w:val="0"/>
                              <w:marTop w:val="0"/>
                              <w:marBottom w:val="0"/>
                              <w:divBdr>
                                <w:top w:val="none" w:sz="0" w:space="0" w:color="auto"/>
                                <w:left w:val="none" w:sz="0" w:space="0" w:color="auto"/>
                                <w:bottom w:val="none" w:sz="0" w:space="0" w:color="auto"/>
                                <w:right w:val="none" w:sz="0" w:space="0" w:color="auto"/>
                              </w:divBdr>
                              <w:divsChild>
                                <w:div w:id="1368599428">
                                  <w:marLeft w:val="0"/>
                                  <w:marRight w:val="0"/>
                                  <w:marTop w:val="0"/>
                                  <w:marBottom w:val="0"/>
                                  <w:divBdr>
                                    <w:top w:val="none" w:sz="0" w:space="0" w:color="auto"/>
                                    <w:left w:val="none" w:sz="0" w:space="0" w:color="auto"/>
                                    <w:bottom w:val="none" w:sz="0" w:space="0" w:color="auto"/>
                                    <w:right w:val="none" w:sz="0" w:space="0" w:color="auto"/>
                                  </w:divBdr>
                                  <w:divsChild>
                                    <w:div w:id="1736586996">
                                      <w:marLeft w:val="0"/>
                                      <w:marRight w:val="0"/>
                                      <w:marTop w:val="0"/>
                                      <w:marBottom w:val="0"/>
                                      <w:divBdr>
                                        <w:top w:val="none" w:sz="0" w:space="0" w:color="auto"/>
                                        <w:left w:val="none" w:sz="0" w:space="0" w:color="auto"/>
                                        <w:bottom w:val="none" w:sz="0" w:space="0" w:color="auto"/>
                                        <w:right w:val="none" w:sz="0" w:space="0" w:color="auto"/>
                                      </w:divBdr>
                                      <w:divsChild>
                                        <w:div w:id="1481725310">
                                          <w:marLeft w:val="0"/>
                                          <w:marRight w:val="0"/>
                                          <w:marTop w:val="0"/>
                                          <w:marBottom w:val="0"/>
                                          <w:divBdr>
                                            <w:top w:val="none" w:sz="0" w:space="0" w:color="auto"/>
                                            <w:left w:val="none" w:sz="0" w:space="0" w:color="auto"/>
                                            <w:bottom w:val="none" w:sz="0" w:space="0" w:color="auto"/>
                                            <w:right w:val="none" w:sz="0" w:space="0" w:color="auto"/>
                                          </w:divBdr>
                                          <w:divsChild>
                                            <w:div w:id="1711151638">
                                              <w:marLeft w:val="0"/>
                                              <w:marRight w:val="0"/>
                                              <w:marTop w:val="0"/>
                                              <w:marBottom w:val="0"/>
                                              <w:divBdr>
                                                <w:top w:val="none" w:sz="0" w:space="0" w:color="auto"/>
                                                <w:left w:val="none" w:sz="0" w:space="0" w:color="auto"/>
                                                <w:bottom w:val="none" w:sz="0" w:space="0" w:color="auto"/>
                                                <w:right w:val="none" w:sz="0" w:space="0" w:color="auto"/>
                                              </w:divBdr>
                                              <w:divsChild>
                                                <w:div w:id="8051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92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D5766-290B-4746-A3E5-CE4F5D96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943</Words>
  <Characters>5039</Characters>
  <Application>Microsoft Office Word</Application>
  <DocSecurity>0</DocSecurity>
  <Lines>117</Lines>
  <Paragraphs>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19</cp:revision>
  <cp:lastPrinted>2014-03-28T08:12:00Z</cp:lastPrinted>
  <dcterms:created xsi:type="dcterms:W3CDTF">2017-10-25T14:09:00Z</dcterms:created>
  <dcterms:modified xsi:type="dcterms:W3CDTF">2017-11-06T08:59:00Z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5.8.64.0</vt:lpwstr>
  </property>
  <property fmtid="{D5CDD505-2E9C-101B-9397-08002B2CF9AE}" pid="4" name="Last edited using">
    <vt:lpwstr>LW 5.8.4, Build 20141001</vt:lpwstr>
  </property>
  <property fmtid="{D5CDD505-2E9C-101B-9397-08002B2CF9AE}" pid="5" name="Created using">
    <vt:lpwstr>LW 5.8.2, Build 20120919</vt:lpwstr>
  </property>
  <property fmtid="{D5CDD505-2E9C-101B-9397-08002B2CF9AE}" pid="6" name="LWTemplateID">
    <vt:lpwstr>SJ-019</vt:lpwstr>
  </property>
  <property fmtid="{D5CDD505-2E9C-101B-9397-08002B2CF9AE}" pid="7" name="Part">
    <vt:lpwstr>1</vt:lpwstr>
  </property>
  <property fmtid="{D5CDD505-2E9C-101B-9397-08002B2CF9AE}" pid="8" name="Total parts">
    <vt:lpwstr>1</vt:lpwstr>
  </property>
  <property fmtid="{D5CDD505-2E9C-101B-9397-08002B2CF9AE}" pid="9" name="DQCStatus">
    <vt:lpwstr>Green (DQC version 03)</vt:lpwstr>
  </property>
  <property fmtid="{D5CDD505-2E9C-101B-9397-08002B2CF9AE}" pid="10" name="Level of sensitivity">
    <vt:lpwstr>Standard treatment</vt:lpwstr>
  </property>
</Properties>
</file>