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E455396E-47DA-4FAE-B022-1FB8DCCC39FE" style="width:450.8pt;height:393.2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projet de décision du Comité mixte de l'EEE (joint à la proposition de décision du Conseil) vise à modifier l'annexe XXI (Statistiques) de l'accord EEE en vue d'y intégrer le règlement (UE) 2016/792 du Parlement européen et du Conseil du 11 mai 2016 relatif aux indices des prix à la consommation harmonisés et à l'indice des prix des logements, et abrogeant le règlement (CE) n° 2494/95 du Conseil</w:t>
      </w:r>
      <w:r>
        <w:rPr>
          <w:rStyle w:val="FootnoteReference"/>
          <w:noProof/>
        </w:rPr>
        <w:footnoteReference w:id="1"/>
      </w:r>
      <w:r>
        <w:rPr>
          <w:noProof/>
        </w:rPr>
        <w:t>.</w:t>
      </w:r>
    </w:p>
    <w:p>
      <w:pPr>
        <w:rPr>
          <w:noProof/>
        </w:rPr>
      </w:pPr>
      <w:r>
        <w:rPr>
          <w:noProof/>
        </w:rPr>
        <w:t>Le règlement (UE) 2016/792 crée un cadre commun pour le développement, la production et la diffusion d'indices des prix à la consommation harmonisés (IPCH) et de l'indice des prix des logements (IPL) au niveau de l'Union et au niveau national.</w:t>
      </w:r>
    </w:p>
    <w:p>
      <w:pPr>
        <w:rPr>
          <w:noProof/>
        </w:rPr>
      </w:pPr>
      <w:r>
        <w:rPr>
          <w:noProof/>
        </w:rPr>
        <w:t>Ces indices ne sont pas établis au Liechtenstein, qui demande par conséquent à être dispensé de l'application de ce règlement. En vertu d’une adaptation figurant au point 19a f) de l'annexe XXI de l’accord EEE, le Liechtenstein est actuellement dispensé de la collecte des données demandées au titre du règlement (CE) n° 2494/95 du Conseil du 23 octobre 1995</w:t>
      </w:r>
      <w:r>
        <w:rPr>
          <w:rStyle w:val="FootnoteReference"/>
          <w:noProof/>
        </w:rPr>
        <w:footnoteReference w:id="2"/>
      </w:r>
      <w:r>
        <w:rPr>
          <w:noProof/>
        </w:rPr>
        <w:t>. Il demande donc que cette dispense soit maintenue à l’égard du règlement (UE) 2016/792.</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 xml:space="preserve">Le projet de décision du Comité mixte joint en annexe étend la politique déjà existante de l’UE aux États de l’AELE membres de l’EEE (Norvège, Islande et Liechtenstein). </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 xml:space="preserve">L’acquis de l’Union est étendu aux États de l’AELE membres de l’EEE par son intégration dans l’accord EEE, dans le respect des objectifs et des principes de celui-ci, qui vise à établir un Espace économique européen dynamique et homogène fondé sur des règles communes et des conditions de concurrence égales.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législation à intégrer dans l’accord EEE repose sur l’article 338, paragraphe 1, du traité sur le fonctionnement de l’Union européenne.</w:t>
      </w:r>
    </w:p>
    <w:p>
      <w:pPr>
        <w:rPr>
          <w:noProof/>
        </w:rPr>
      </w:pPr>
      <w:r>
        <w:rPr>
          <w:noProof/>
        </w:rPr>
        <w:t>L'article 1</w:t>
      </w:r>
      <w:r>
        <w:rPr>
          <w:noProof/>
          <w:vertAlign w:val="superscript"/>
        </w:rPr>
        <w:t>er</w:t>
      </w:r>
      <w:r>
        <w:rPr>
          <w:noProof/>
        </w:rPr>
        <w:t>, paragraphe 3, du règlement (CE) nº 2894/94 du Conseil relatif à certaines modalités d'application de l'accord sur l’Espace économique européen</w:t>
      </w:r>
      <w:r>
        <w:rPr>
          <w:rStyle w:val="FootnoteReference"/>
          <w:noProof/>
        </w:rPr>
        <w:footnoteReference w:id="3"/>
      </w:r>
      <w:r>
        <w:rPr>
          <w:noProof/>
        </w:rPr>
        <w:t xml:space="preserve"> prévoit que le Conseil arrête, sur proposition de la Commission, la position à prendre au nom de l'Union à l'égard de ce type de décisions. </w:t>
      </w:r>
    </w:p>
    <w:p>
      <w:pPr>
        <w:rPr>
          <w:noProof/>
        </w:rPr>
      </w:pPr>
      <w:r>
        <w:rPr>
          <w:noProof/>
        </w:rPr>
        <w:t>La Commission, en collaboration avec le SEAE, soumet le projet de décision du Comité mixte de l’EEE au Conseil pour adoption en tant que position de l’Union. Elle espère pouvoir présenter ce document au Comité mixte de l’EEE dès que possible.</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rFonts w:cs="EUAlbertina"/>
          <w:noProof/>
          <w:color w:val="000000"/>
        </w:rPr>
      </w:pPr>
      <w:r>
        <w:rPr>
          <w:noProof/>
        </w:rPr>
        <w:t xml:space="preserve">La proposition respecte le principe de subsidiarité pour la raison exposée ci-après. </w:t>
      </w:r>
    </w:p>
    <w:p>
      <w:pPr>
        <w:rPr>
          <w:rFonts w:cs="EUAlbertina"/>
          <w:noProof/>
          <w:color w:val="000000"/>
          <w:szCs w:val="24"/>
        </w:rPr>
      </w:pPr>
      <w:r>
        <w:rPr>
          <w:noProof/>
          <w:color w:val="000000"/>
        </w:rPr>
        <w:t xml:space="preserve">L’objectif de la présente proposition, qui est de garantir l’homogénéité du marché intérieur, ne peut être atteint de manière suffisante par les États membres, mais peut, en raison de ses effets, l’être mieux au niveau de l’Union. </w:t>
      </w:r>
    </w:p>
    <w:p>
      <w:pPr>
        <w:pBdr>
          <w:top w:val="nil"/>
          <w:left w:val="nil"/>
          <w:bottom w:val="nil"/>
          <w:right w:val="nil"/>
          <w:between w:val="nil"/>
          <w:bar w:val="nil"/>
        </w:pBdr>
        <w:spacing w:before="0" w:after="240"/>
        <w:rPr>
          <w:bCs/>
          <w:noProof/>
          <w:szCs w:val="24"/>
        </w:rPr>
      </w:pPr>
      <w:r>
        <w:rPr>
          <w:noProof/>
        </w:rPr>
        <w:t xml:space="preserve">Le processus d’intégration de l’acquis de l’Union dans l’accord EEE est mené en conformité avec le règlement (CE) n° 2894/94 du Conseil, du 28 novembre 1994, relatif à certaines modalités d'application de l'accord sur l'Espace économique européen, qui confirme l’approche adoptée. </w:t>
      </w:r>
    </w:p>
    <w:p>
      <w:pPr>
        <w:pStyle w:val="ManualHeading2"/>
        <w:rPr>
          <w:rFonts w:eastAsia="Arial Unicode MS"/>
          <w:noProof/>
          <w:u w:color="000000"/>
          <w:bdr w:val="nil"/>
        </w:rPr>
      </w:pPr>
      <w:r>
        <w:rPr>
          <w:noProof/>
        </w:rPr>
        <w:t>•</w:t>
      </w:r>
      <w:r>
        <w:rPr>
          <w:noProof/>
        </w:rPr>
        <w:tab/>
        <w:t>Proportionnalité</w:t>
      </w:r>
    </w:p>
    <w:p>
      <w:pPr>
        <w:rPr>
          <w:rFonts w:cs="EUAlbertina"/>
          <w:noProof/>
          <w:color w:val="000000"/>
          <w:szCs w:val="24"/>
        </w:rPr>
      </w:pPr>
      <w:r>
        <w:rPr>
          <w:noProof/>
          <w:color w:val="000000"/>
        </w:rPr>
        <w:t>Conformément au principe de proportionnalité, la présente proposition n'excède pas ce qui est nécessaire pour atteindre son objectif.</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bCs/>
          <w:noProof/>
          <w:szCs w:val="24"/>
        </w:rPr>
      </w:pPr>
      <w:r>
        <w:rPr>
          <w:noProof/>
        </w:rPr>
        <w:t xml:space="preserve">Conformément à l’article 98 de l’accord EEE, l’instrument retenu est la décision du Comité mixte de l’EEE. Le Comité mixte de l’EEE veille à la mise en œuvre et au fonctionnement effectifs de l’accord EEE. À cette fin, il prend des décisions dans les cas prévus par l'accord EEE.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Obtention et utilisation d'expertise</w:t>
      </w:r>
    </w:p>
    <w:p>
      <w:pPr>
        <w:pStyle w:val="Text1"/>
        <w:rPr>
          <w:noProof/>
        </w:rPr>
      </w:pPr>
      <w:r>
        <w:rPr>
          <w:noProof/>
        </w:rPr>
        <w:t xml:space="preserve">Sans objet </w:t>
      </w:r>
    </w:p>
    <w:p>
      <w:pPr>
        <w:pStyle w:val="ManualHeading2"/>
        <w:rPr>
          <w:rFonts w:eastAsia="Arial Unicode MS"/>
          <w:noProof/>
          <w:u w:color="000000"/>
          <w:bdr w:val="nil"/>
        </w:rPr>
      </w:pPr>
      <w:r>
        <w:rPr>
          <w:noProof/>
        </w:rPr>
        <w:t>•</w:t>
      </w:r>
      <w:r>
        <w:rPr>
          <w:noProof/>
        </w:rPr>
        <w:tab/>
        <w:t>Analyse d'impact</w:t>
      </w:r>
    </w:p>
    <w:p>
      <w:pPr>
        <w:pStyle w:val="Text1"/>
        <w:rPr>
          <w:noProof/>
          <w:szCs w:val="24"/>
        </w:rPr>
      </w:pPr>
      <w:r>
        <w:rPr>
          <w:noProof/>
        </w:rPr>
        <w:t xml:space="preserve">Sans objet </w:t>
      </w:r>
    </w:p>
    <w:p>
      <w:pPr>
        <w:pStyle w:val="ManualHeading2"/>
        <w:rPr>
          <w:noProof/>
        </w:rPr>
      </w:pPr>
      <w:r>
        <w:rPr>
          <w:noProof/>
        </w:rPr>
        <w:t>4.</w:t>
      </w:r>
      <w:r>
        <w:rPr>
          <w:noProof/>
        </w:rPr>
        <w:tab/>
        <w:t>INCIDENCE BUDGÉTAIRE</w:t>
      </w:r>
    </w:p>
    <w:p>
      <w:pPr>
        <w:autoSpaceDE w:val="0"/>
        <w:autoSpaceDN w:val="0"/>
        <w:adjustRightInd w:val="0"/>
        <w:spacing w:before="0" w:after="0"/>
        <w:rPr>
          <w:noProof/>
          <w:szCs w:val="24"/>
        </w:rPr>
      </w:pPr>
      <w:r>
        <w:rPr>
          <w:noProof/>
        </w:rPr>
        <w:t>L’intégration du règlement (UE) 2016/792 dans l’accord EEE n'a aucune incidence budgétaire.</w:t>
      </w:r>
    </w:p>
    <w:p>
      <w:pPr>
        <w:pStyle w:val="ManualHeading1"/>
        <w:rPr>
          <w:noProof/>
        </w:rPr>
      </w:pPr>
      <w:r>
        <w:rPr>
          <w:noProof/>
        </w:rPr>
        <w:t>5.</w:t>
      </w:r>
      <w:r>
        <w:rPr>
          <w:noProof/>
        </w:rPr>
        <w:tab/>
        <w:t>AUTRES ÉLÉMENTS</w:t>
      </w:r>
    </w:p>
    <w:p>
      <w:pPr>
        <w:pStyle w:val="Text1"/>
        <w:rPr>
          <w:noProof/>
        </w:rPr>
      </w:pPr>
      <w:r>
        <w:rPr>
          <w:noProof/>
        </w:rPr>
        <w:t xml:space="preserve">Sans objet </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2017/0281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du ...</w:t>
      </w:r>
      <w:r>
        <w:rPr>
          <w:noProof/>
        </w:rPr>
        <w:br/>
      </w:r>
      <w:r>
        <w:rPr>
          <w:noProof/>
        </w:rPr>
        <w:br/>
        <w:t>relative à la position à prendre, au nom de l'Union européenne,</w:t>
      </w:r>
      <w:r>
        <w:rPr>
          <w:noProof/>
        </w:rPr>
        <w:br/>
        <w:t xml:space="preserve">au sein du Comité mixte de l'EEE en ce qui concerne une modification </w:t>
      </w:r>
      <w:r>
        <w:rPr>
          <w:noProof/>
        </w:rPr>
        <w:br/>
        <w:t>de l'annexe XXI (Statistiques) de l’accord EEE</w:t>
      </w:r>
    </w:p>
    <w:p>
      <w:pPr>
        <w:pStyle w:val="Institutionquiagit"/>
        <w:rPr>
          <w:noProof/>
        </w:rPr>
      </w:pPr>
      <w:r>
        <w:rPr>
          <w:noProof/>
        </w:rPr>
        <w:t>LE CONSEIL DE L'UNION EUROPÉENNE,</w:t>
      </w:r>
    </w:p>
    <w:p>
      <w:pPr>
        <w:rPr>
          <w:noProof/>
        </w:rPr>
      </w:pPr>
      <w:r>
        <w:rPr>
          <w:noProof/>
        </w:rPr>
        <w:t>vu le traité sur le fonctionnement de l'Union européenne, et notamment son article 338, paragraphe 1, en liaison avec l'article 218, paragraphe 9,</w:t>
      </w:r>
    </w:p>
    <w:p>
      <w:pPr>
        <w:rPr>
          <w:noProof/>
        </w:rPr>
      </w:pPr>
      <w:r>
        <w:rPr>
          <w:noProof/>
        </w:rPr>
        <w:t>vu le règlement (CE) n° 2894/94 du Conseil, du 28 novembre 1994, relatif à certaines modalités d’application de l’accord sur l’Espace économique européen</w:t>
      </w:r>
      <w:r>
        <w:rPr>
          <w:rStyle w:val="FootnoteReference"/>
          <w:noProof/>
        </w:rPr>
        <w:footnoteReference w:id="4"/>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5"/>
      </w:r>
      <w:r>
        <w:rPr>
          <w:noProof/>
        </w:rPr>
        <w:t xml:space="preserve"> (ci-après l’«accord EEE») est entré en vigueur le 1</w:t>
      </w:r>
      <w:r>
        <w:rPr>
          <w:noProof/>
          <w:vertAlign w:val="superscript"/>
        </w:rPr>
        <w:t>er</w:t>
      </w:r>
      <w:r>
        <w:rPr>
          <w:noProof/>
        </w:rPr>
        <w:t xml:space="preserve"> janvier 1994.</w:t>
      </w:r>
    </w:p>
    <w:p>
      <w:pPr>
        <w:pStyle w:val="ManualConsidrant"/>
        <w:rPr>
          <w:noProof/>
        </w:rPr>
      </w:pPr>
      <w:r>
        <w:t>(2)</w:t>
      </w:r>
      <w:r>
        <w:tab/>
      </w:r>
      <w:r>
        <w:rPr>
          <w:noProof/>
        </w:rPr>
        <w:t>Conformément à l’article 98 de l’accord EEE, le Comité mixte de l’EEE peut décider de modifier, entre autres, l'annexe XXI (Statistiques) dudit accord.</w:t>
      </w:r>
    </w:p>
    <w:p>
      <w:pPr>
        <w:pStyle w:val="ManualConsidrant"/>
        <w:rPr>
          <w:noProof/>
        </w:rPr>
      </w:pPr>
      <w:r>
        <w:t>(3)</w:t>
      </w:r>
      <w:r>
        <w:tab/>
      </w:r>
      <w:r>
        <w:rPr>
          <w:noProof/>
        </w:rPr>
        <w:t>Le règlement (UE) 2016/792 du Parlement européen et du Conseil doit être intégré dans l'accord EEE</w:t>
      </w:r>
      <w:r>
        <w:rPr>
          <w:rStyle w:val="FootnoteReference"/>
          <w:noProof/>
        </w:rPr>
        <w:footnoteReference w:id="6"/>
      </w:r>
      <w:r>
        <w:rPr>
          <w:noProof/>
        </w:rPr>
        <w:t>.</w:t>
      </w:r>
    </w:p>
    <w:p>
      <w:pPr>
        <w:pStyle w:val="ManualConsidrant"/>
        <w:rPr>
          <w:noProof/>
        </w:rPr>
      </w:pPr>
      <w:r>
        <w:t>(4)</w:t>
      </w:r>
      <w:r>
        <w:tab/>
      </w:r>
      <w:r>
        <w:rPr>
          <w:noProof/>
        </w:rPr>
        <w:t xml:space="preserve">Il convient dès lors de modifier en conséquence l'annexe XXI (Statistiques) de l'accord EEE. </w:t>
      </w:r>
    </w:p>
    <w:p>
      <w:pPr>
        <w:pStyle w:val="ManualConsidrant"/>
        <w:rPr>
          <w:noProof/>
        </w:rPr>
      </w:pPr>
      <w:r>
        <w:t>(5)</w:t>
      </w:r>
      <w:r>
        <w:tab/>
      </w:r>
      <w:r>
        <w:rPr>
          <w:noProof/>
        </w:rPr>
        <w:t>Il convient, par conséquent, que la position de l'Union au sein du Comité mixte de l'EEE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de l'EEE en ce qui concerne la modification qu'il est proposé d'apporter à l'annexe XXI (Statistiques) de l'accord EEE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135 du 24.5.2016, p. 11.</w:t>
      </w:r>
    </w:p>
  </w:footnote>
  <w:footnote w:id="2">
    <w:p>
      <w:pPr>
        <w:pStyle w:val="FootnoteText"/>
        <w:rPr>
          <w:lang w:val="pl-PL"/>
        </w:rPr>
      </w:pPr>
      <w:r>
        <w:rPr>
          <w:rStyle w:val="FootnoteReference"/>
        </w:rPr>
        <w:footnoteRef/>
      </w:r>
      <w:r>
        <w:tab/>
        <w:t>JO L 257 du 27.10.1995, p. 1.</w:t>
      </w:r>
    </w:p>
  </w:footnote>
  <w:footnote w:id="3">
    <w:p>
      <w:pPr>
        <w:pStyle w:val="FootnoteText"/>
        <w:rPr>
          <w:lang w:val="pl-PL"/>
        </w:rPr>
      </w:pPr>
      <w:r>
        <w:rPr>
          <w:rStyle w:val="FootnoteReference"/>
        </w:rPr>
        <w:footnoteRef/>
      </w:r>
      <w:r>
        <w:tab/>
        <w:t>JO L 305 du 30.11.1994, p. 6.</w:t>
      </w:r>
    </w:p>
  </w:footnote>
  <w:footnote w:id="4">
    <w:p>
      <w:pPr>
        <w:pStyle w:val="FootnoteText"/>
      </w:pPr>
      <w:r>
        <w:rPr>
          <w:rStyle w:val="FootnoteReference"/>
        </w:rPr>
        <w:footnoteRef/>
      </w:r>
      <w:r>
        <w:tab/>
        <w:t>JO L 305 du 30.11.1994, p. 6.</w:t>
      </w:r>
    </w:p>
  </w:footnote>
  <w:footnote w:id="5">
    <w:p>
      <w:pPr>
        <w:pStyle w:val="FootnoteText"/>
      </w:pPr>
      <w:r>
        <w:rPr>
          <w:rStyle w:val="FootnoteReference"/>
        </w:rPr>
        <w:footnoteRef/>
      </w:r>
      <w:r>
        <w:tab/>
        <w:t xml:space="preserve">JO L 1 du 3.1.1994, p. 3. </w:t>
      </w:r>
    </w:p>
  </w:footnote>
  <w:footnote w:id="6">
    <w:p>
      <w:pPr>
        <w:pStyle w:val="FootnoteText"/>
      </w:pPr>
      <w:r>
        <w:rPr>
          <w:rStyle w:val="FootnoteReference"/>
        </w:rPr>
        <w:footnoteRef/>
      </w:r>
      <w:r>
        <w:tab/>
        <w:t>Règlement (UE) 2016/792 du Parlement européen et du Conseil du 11 mai 2016 relatif aux indices des prix à la consommation harmonisés et à l'indice des prix des logements, et abrogeant le règlement (CE) n° 2494/95 du Conseil</w:t>
      </w:r>
      <w:r>
        <w:rPr>
          <w:rStyle w:val="FootnoteReference"/>
        </w:rPr>
        <w:footnoteRef/>
      </w:r>
      <w:r>
        <w:t xml:space="preserve"> (JO L 135 du 24.5.2016, p.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DQCDateTime" w:val="2017-11-06 09:53: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455396E-47DA-4FAE-B022-1FB8DCCC39FE"/>
    <w:docVar w:name="LW_COVERPAGE_TYPE" w:val="1"/>
    <w:docVar w:name="LW_CROSSREFERENCE" w:val="&lt;UNUSED&gt;"/>
    <w:docVar w:name="LW_DocType" w:val="COM"/>
    <w:docVar w:name="LW_EMISSION" w:val="6.11.2017"/>
    <w:docVar w:name="LW_EMISSION_ISODATE" w:val="2017-11-0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81"/>
    <w:docVar w:name="LW_REF.II.NEW.CP_YEAR" w:val="2017"/>
    <w:docVar w:name="LW_REF.INST.NEW" w:val="COM"/>
    <w:docVar w:name="LW_REF.INST.NEW_ADOPTED" w:val="final"/>
    <w:docVar w:name="LW_REF.INST.NEW_TEXT" w:val="(2017) 6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du ..._x000b__x000b_relative à la position à prendre, au nom de l'Union européenne,_x000b_au sein du Comité mixte de l'EEE en ce qui concerne une modification _x000b_de l'annexe XXI (Statistiques) de l\u8217?accord EE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fr-FR" w:eastAsia="fr-FR"/>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fr-FR"/>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lang w:eastAsia="en-US" w:bidi="ar-SA"/>
    </w:rPr>
  </w:style>
  <w:style w:type="character" w:customStyle="1" w:styleId="FooterChar">
    <w:name w:val="Footer Char"/>
    <w:link w:val="Footer"/>
    <w:uiPriority w:val="99"/>
    <w:rPr>
      <w:rFonts w:eastAsia="Calibri"/>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rFonts w:eastAsiaTheme="minorHAnsi"/>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rFonts w:eastAsiaTheme="minorHAnsi"/>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rFonts w:eastAsia="Calibri"/>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rFonts w:eastAsia="Calibri"/>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914</Words>
  <Characters>4836</Characters>
  <Application>Microsoft Office Word</Application>
  <DocSecurity>0</DocSecurity>
  <Lines>105</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2014-03-28T08:12:00Z</cp:lastPrinted>
  <dcterms:created xsi:type="dcterms:W3CDTF">2017-10-16T13:03:00Z</dcterms:created>
  <dcterms:modified xsi:type="dcterms:W3CDTF">2017-11-06T08:53:00Z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5.8.4, Build 20150407</vt:lpwstr>
  </property>
  <property fmtid="{D5CDD505-2E9C-101B-9397-08002B2CF9AE}" pid="5" name="Created using">
    <vt:lpwstr>LW 5.8.2, Build 20120919</vt:lpwstr>
  </property>
  <property fmtid="{D5CDD505-2E9C-101B-9397-08002B2CF9AE}" pid="6" name="LWTemplateID">
    <vt:lpwstr>SJ-019</vt:lpwstr>
  </property>
  <property fmtid="{D5CDD505-2E9C-101B-9397-08002B2CF9AE}" pid="7" name="Part">
    <vt:lpwstr>1</vt:lpwstr>
  </property>
  <property fmtid="{D5CDD505-2E9C-101B-9397-08002B2CF9AE}" pid="8" name="Total parts">
    <vt:lpwstr>1</vt:lpwstr>
  </property>
  <property fmtid="{D5CDD505-2E9C-101B-9397-08002B2CF9AE}" pid="9" name="DQCStatus">
    <vt:lpwstr>Green (DQC version 03)</vt:lpwstr>
  </property>
  <property fmtid="{D5CDD505-2E9C-101B-9397-08002B2CF9AE}" pid="10" name="Level of sensitivity">
    <vt:lpwstr>Standard treatment</vt:lpwstr>
  </property>
</Properties>
</file>