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69B0A11B-77AE-4C34-AAD5-035FE568BFA8" style="width:450.7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Calibri"/>
          <w:b/>
          <w:bCs/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Calibri"/>
          <w:b/>
          <w:bCs/>
          <w:noProof/>
          <w:szCs w:val="24"/>
        </w:rPr>
      </w:pPr>
      <w:r>
        <w:rPr>
          <w:b/>
          <w:noProof/>
        </w:rPr>
        <w:t>РЕШЕНИЕ № …/2017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Calibri"/>
          <w:b/>
          <w:bCs/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Calibri"/>
          <w:b/>
          <w:bCs/>
          <w:noProof/>
          <w:szCs w:val="24"/>
        </w:rPr>
      </w:pPr>
      <w:r>
        <w:rPr>
          <w:b/>
          <w:noProof/>
        </w:rPr>
        <w:t>НА КОМИТЕТА НА ПОСЛАНИЦИТЕ АКТБ—ЕС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Calibri"/>
          <w:b/>
          <w:bCs/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Calibri"/>
          <w:b/>
          <w:bCs/>
          <w:noProof/>
          <w:szCs w:val="24"/>
        </w:rPr>
      </w:pPr>
      <w:r>
        <w:rPr>
          <w:b/>
          <w:noProof/>
        </w:rPr>
        <w:t>от .../.../2017 година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Calibri"/>
          <w:b/>
          <w:bCs/>
          <w:noProof/>
          <w:szCs w:val="24"/>
        </w:r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Calibri"/>
          <w:b/>
          <w:bCs/>
          <w:noProof/>
          <w:szCs w:val="24"/>
        </w:rPr>
      </w:pPr>
      <w:r>
        <w:rPr>
          <w:b/>
          <w:noProof/>
        </w:rPr>
        <w:t>по отношение на прилагането на член 68 от Споразумението за партньорство АКТБ—ЕС</w:t>
      </w:r>
    </w:p>
    <w:p>
      <w:pPr>
        <w:pStyle w:val="Institutionquiagit"/>
        <w:rPr>
          <w:noProof/>
        </w:rPr>
      </w:pPr>
      <w:r>
        <w:rPr>
          <w:noProof/>
        </w:rPr>
        <w:t>КОМИТЕТЪТ НА ПОСЛАНИЦИТЕ АКТБ—ЕС,</w:t>
      </w:r>
    </w:p>
    <w:p>
      <w:pPr>
        <w:outlineLvl w:val="0"/>
        <w:rPr>
          <w:noProof/>
        </w:rPr>
      </w:pPr>
      <w:r>
        <w:rPr>
          <w:noProof/>
        </w:rPr>
        <w:t>като взе предвид Споразумението за партньорство между членовете на Групата страни от Африка, Карибите и Тихоокеанския басейн (АКТБ), от една страна, и Европейската общност и нейните държави членки, от друга страна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(наричано по-нататък „Споразумението за партньорство АКТБ—ЕС“), и по-специално член 100 от него, във връзка с член 15, параграф 4 и член 16, параграф 2; </w:t>
      </w:r>
    </w:p>
    <w:p>
      <w:pPr>
        <w:outlineLvl w:val="0"/>
        <w:rPr>
          <w:noProof/>
        </w:rPr>
      </w:pPr>
    </w:p>
    <w:p>
      <w:pPr>
        <w:outlineLvl w:val="0"/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В член 68 от Споразумението за партньорство АКТБ—ЕС се посочва, че се въвежда система за механизъм за допълнителна подкрепа с цел смекчаването на краткосрочните отрицателни ефекти в резултат на външни шокове, засягащи икономиката на държавите от АКТБ. В параграф 4 от този член се посочва, че специфичните условия за механизма за подкрепа са посочени в приложение II към Споразумението.</w:t>
      </w:r>
    </w:p>
    <w:p>
      <w:pPr>
        <w:pStyle w:val="Considrant"/>
        <w:rPr>
          <w:noProof/>
        </w:rPr>
      </w:pPr>
      <w:r>
        <w:rPr>
          <w:noProof/>
        </w:rPr>
        <w:t>Механизмът, определен понастоящем в приложение II към Споразумението за партньорство АКТБ—ЕС, трябва да бъде адаптиран към потребностите на страните и да гарантира гъвкаво и бързо предоставяне на подкрепа.</w:t>
      </w:r>
    </w:p>
    <w:p>
      <w:pPr>
        <w:pStyle w:val="Considrant"/>
        <w:rPr>
          <w:noProof/>
        </w:rPr>
      </w:pPr>
      <w:r>
        <w:rPr>
          <w:noProof/>
        </w:rPr>
        <w:t>В член 100 от Споразумението за партньорство АКТБ—ЕС се посочва, че приложения Iа, Iб, II, IV и VI към него могат да бъдат преразглеждани, адаптирани и/или изменяни от Съвета на министрите АКТБ—ЕС въз основа на препоръка от Комитета АКТБ—ЕС за сътрудничество при финансиране на развитието.</w:t>
      </w:r>
    </w:p>
    <w:p>
      <w:pPr>
        <w:pStyle w:val="Considrant"/>
        <w:rPr>
          <w:noProof/>
        </w:rPr>
      </w:pPr>
      <w:r>
        <w:rPr>
          <w:noProof/>
        </w:rPr>
        <w:t>В член 15, параграф 4 от Споразумението за партньорство АКТБ—ЕС се посочва, че Съветът на министрите АКТБ—ЕС може да делегира правомощия на Комитета на посланиците АКТБ—ЕС.</w:t>
      </w:r>
    </w:p>
    <w:p>
      <w:pPr>
        <w:pStyle w:val="Considrant"/>
        <w:rPr>
          <w:noProof/>
        </w:rPr>
      </w:pPr>
      <w:r>
        <w:rPr>
          <w:noProof/>
        </w:rPr>
        <w:t>В член 16, параграф 2 от Споразумението за партньорство АКТБ—ЕС се посочва, че Комитета на посланиците АКТБ—ЕС осъществява всеки мандат, който му е възложен от Съвета.</w:t>
      </w:r>
    </w:p>
    <w:p>
      <w:pPr>
        <w:pStyle w:val="Considrant"/>
        <w:rPr>
          <w:noProof/>
        </w:rPr>
      </w:pPr>
      <w:r>
        <w:rPr>
          <w:noProof/>
        </w:rPr>
        <w:t>Съветът на министрите АКТБ—ЕС от 5 май 2017 г. възложи на Комитета на посланиците АКТБ—ЕС мандат да приеме решение относно прилагането на член 68 от Споразумението за партньорство АКТБ—ЕС по отношение на външни сътресения и за изменение на приложение II, глава 3.</w:t>
      </w:r>
    </w:p>
    <w:p>
      <w:pPr>
        <w:pStyle w:val="Considrant"/>
        <w:rPr>
          <w:noProof/>
        </w:rPr>
      </w:pPr>
      <w:r>
        <w:rPr>
          <w:noProof/>
        </w:rPr>
        <w:t>Комитетът на посланиците АКТБ—ЕС прие настоящото решение.</w:t>
      </w:r>
    </w:p>
    <w:p>
      <w:pPr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 xml:space="preserve">РЕШИ: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outlineLvl w:val="0"/>
        <w:rPr>
          <w:noProof/>
        </w:rPr>
      </w:pPr>
      <w:r>
        <w:rPr>
          <w:noProof/>
        </w:rPr>
        <w:t>Финансовата подкрепа за държавите от АКТБ в случай на макроикономическа нестабилност в резултат на външни шокове, предвидена в член 68 от Споразумението за партньорство АКТБ—ЕС („Споразумението“), се управлява съгласно разпоредбите на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</w:rPr>
        <w:t>От резерва на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 може да бъде мобилизирана допълнителна подкрепа за непредвидени нужди с цел смекчаване на краткосрочните отрицателни ефекти в резултат на външни шокове, включително ефекта върху приходите от износ, и продължаване на социоикономическите реформи и политики, изложени на риск поради спада в приходите. </w:t>
      </w:r>
    </w:p>
    <w:p>
      <w:pPr>
        <w:pStyle w:val="NumPar1"/>
        <w:rPr>
          <w:noProof/>
        </w:rPr>
      </w:pPr>
      <w:r>
        <w:rPr>
          <w:noProof/>
        </w:rPr>
        <w:t xml:space="preserve">Държавите от АКТБ, засегнати от външни шокове, отправят искане до Европейската комисия за финансова подкрепа за тази цел, което ще бъде разгледано чрез подход, насочен към потребностите и всеки отделен случай, в рамките на многогодишната финансова рамка за сътрудничество по силата на Споразумението. </w:t>
      </w:r>
    </w:p>
    <w:p>
      <w:pPr>
        <w:pStyle w:val="NumPar1"/>
        <w:rPr>
          <w:noProof/>
        </w:rPr>
      </w:pPr>
      <w:r>
        <w:rPr>
          <w:noProof/>
        </w:rPr>
        <w:t xml:space="preserve">Подпомагането се предоставя и прилага в съответствие с процедурите, които позволяват бързи, гъвкави и ефективни действия. Европейската комисия ще докладва периодично на Комитета за сътрудничество АКТБ—ЕС за финансиране на развитието. 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outlineLvl w:val="0"/>
        <w:rPr>
          <w:noProof/>
          <w:szCs w:val="24"/>
        </w:rPr>
      </w:pPr>
      <w:r>
        <w:rPr>
          <w:noProof/>
        </w:rPr>
        <w:t xml:space="preserve">Договарящите страни по споразумението, Европейската комисия и Секретариатът на АКТБ се уведомяват относно практическото прилагане на специфичните условия на член 68. 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outlineLvl w:val="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</w:rPr>
        <w:t>Приложение II, глава 3 от Споразумението за партньорство АКТБ—ЕС се прилага в съответствие с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 5</w:t>
      </w:r>
    </w:p>
    <w:p>
      <w:pPr>
        <w:outlineLvl w:val="0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Настоящото решение влиза в сила в деня на приемането му. </w:t>
      </w:r>
    </w:p>
    <w:p>
      <w:pPr>
        <w:outlineLvl w:val="0"/>
        <w:rPr>
          <w:noProof/>
          <w:color w:val="000000" w:themeColor="text1"/>
        </w:rPr>
      </w:pPr>
    </w:p>
    <w:p>
      <w:pPr>
        <w:pStyle w:val="Fait"/>
        <w:rPr>
          <w:noProof/>
        </w:rPr>
      </w:pPr>
      <w:r>
        <w:rPr>
          <w:noProof/>
        </w:rPr>
        <w:t>Съставено в […] на […]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Комитета на посланиците АКТБ—ЕС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Споразумение (OВ L 317, 15.12.2000 г., стp. 3), изменено със споразумението, подписано в Люксембург на 25 юни 2005 г. (ОВ L 209, 11.8.2005 г., стр. 27) и със споразумението, подписано в Уагадугу на 22 юни 2010 г. (OВ L 287, 4.11.2010 г., стp. 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142D9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F545D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A6E70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2AE07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48C01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5BC57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A8CEB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6825D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0-30 10:28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RRIGENDUM" w:val="&lt;UNUSED&gt;"/>
    <w:docVar w:name="LW_COVERPAGE_EXISTS" w:val="True"/>
    <w:docVar w:name="LW_COVERPAGE_GUID" w:val="69B0A11B-77AE-4C34-AAD5-035FE568BFA8"/>
    <w:docVar w:name="LW_COVERPAGE_TYPE" w:val="1"/>
    <w:docVar w:name="LW_CROSSREFERENCE" w:val="&lt;UNUSED&gt;"/>
    <w:docVar w:name="LW_DocType" w:val="ANNEX"/>
    <w:docVar w:name="LW_EMISSION" w:val="6.11.2017"/>
    <w:docVar w:name="LW_EMISSION_ISODATE" w:val="2017-11-06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5?\u1072? \u1087?\u1086?\u1089?\u1083?\u1072?\u1085?\u1080?\u1094?\u1080?\u1090?\u1077? \u1040?\u1050?\u1058?\u1041?\u8212?\u1045?\u1057? \u1074?\u1098?\u1074? \u1074?\u1088?\u1098?\u1079?\u1082?\u1072? \u1089? \u1087?\u1088?\u1080?\u1083?\u1072?\u1075?\u1072?\u1085?\u1077?\u1090?\u1086? \u1085?\u1072? \u1095?\u1083?\u1077?\u1085? 68 \u1086?\u1090? \u1057?\u1087?\u1086?\u1088?\u1072?\u1079?\u1091?\u1084?\u1077?\u1085?\u1080?\u1077?\u1090?\u1086? \u1079?\u1072? \u1087?\u1072?\u1088?\u1090?\u1085?\u1100?\u1086?\u1088?\u1089?\u1090?\u1074?\u1086? \u1040?\u1050?\u1058?\u1041?\u8212?\u1045?\u1057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5?\u1072? \u1087?\u1086?\u1089?\u1083?\u1072?\u1085?\u1080?\u1094?\u1080?\u1090?\u1077? \u1040?\u1050?\u1058?\u1041?\u8212?\u1045?\u1057? \u1074?\u1098?\u1074? \u1074?\u1088?\u1098?\u1079?\u1082?\u1072? \u1089? \u1087?\u1088?\u1080?\u1083?\u1072?\u1075?\u1072?\u1085?\u1077?\u1090?\u1086? \u1085?\u1072? \u1095?\u1083?\u1077?\u1085? 68 \u1086?\u1090? \u1057?\u1087?\u1086?\u1088?\u1072?\u1079?\u1091?\u1084?\u1077?\u1085?\u1080?\u1077?\u1090?\u1086? \u1079?\u1072? \u1087?\u1072?\u1088?\u1090?\u1085?\u1100?\u1086?\u1088?\u1089?\u1090?\u1074?\u1086? \u1040?\u1050?\u1058?\u1041?\u8212?\u1045?\u1057?"/>
    <w:docVar w:name="LW_PART_NBR" w:val="1"/>
    <w:docVar w:name="LW_PART_NBR_TOTAL" w:val="1"/>
    <w:docVar w:name="LW_REF.INST.NEW" w:val="COM"/>
    <w:docVar w:name="LW_REF.INST.NEW_ADOPTED" w:val="final"/>
    <w:docVar w:name="LW_REF.INST.NEW_TEXT" w:val="(2017) 64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_x000b_\u1056?\u1045?\u1064?\u1045?\u1053?\u1048?\u1045? \u1053?\u1040? \u1057?\u1066?\u1042?\u1045?\u1058?\u1040?"/>
    <w:docVar w:name="LW_TYPEACTEPRINCIPAL.CP" w:val="\u1055?\u1088?\u1077?\u1076?\u1083?\u1086?\u1078?\u1077?\u1085?\u1080?\u1077? \u1079?\u1072?_x000b_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qFormat/>
    <w:pPr>
      <w:suppressAutoHyphens/>
      <w:spacing w:before="0" w:after="0"/>
      <w:ind w:left="720"/>
      <w:jc w:val="left"/>
    </w:pPr>
    <w:rPr>
      <w:rFonts w:eastAsia="MS Mincho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qFormat/>
    <w:pPr>
      <w:suppressAutoHyphens/>
      <w:spacing w:before="0" w:after="0"/>
      <w:ind w:left="720"/>
      <w:jc w:val="left"/>
    </w:pPr>
    <w:rPr>
      <w:rFonts w:eastAsia="MS Mincho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5C8A-5550-437B-BB06-8488519E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568</Words>
  <Characters>3156</Characters>
  <Application>Microsoft Office Word</Application>
  <DocSecurity>0</DocSecurity>
  <Lines>80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Kerry (DEVCO)</dc:creator>
  <cp:lastModifiedBy>DIGIT/A3</cp:lastModifiedBy>
  <cp:revision>8</cp:revision>
  <cp:lastPrinted>2017-09-29T11:24:00Z</cp:lastPrinted>
  <dcterms:created xsi:type="dcterms:W3CDTF">2017-10-27T08:45:00Z</dcterms:created>
  <dcterms:modified xsi:type="dcterms:W3CDTF">2017-10-30T09:28:00Z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5.8.4, Build 20141001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DQCStatus">
    <vt:lpwstr>Green (DQC version 03)</vt:lpwstr>
  </property>
  <property fmtid="{D5CDD505-2E9C-101B-9397-08002B2CF9AE}" pid="12" name="Level of sensitivity">
    <vt:lpwstr>Standard treatment</vt:lpwstr>
  </property>
</Properties>
</file>