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2FB287C-4502-4295-897B-2F5F7E0BE268"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да се заеме от името на Съюза в рамките на Комитета на посланиците АКТБ—ЕС, във връзка с предвиденото приемане на решение на Комитета на посланиците относно прилагането на член 68 от Споразумението за партньорство АКТБ—ЕС.</w:t>
      </w:r>
    </w:p>
    <w:p>
      <w:pPr>
        <w:pStyle w:val="ManualHeading1"/>
        <w:rPr>
          <w:rFonts w:eastAsia="Arial Unicode MS"/>
          <w:noProof/>
        </w:rPr>
      </w:pPr>
      <w:r>
        <w:t>2.</w:t>
      </w:r>
      <w:r>
        <w:tab/>
      </w:r>
      <w:r>
        <w:rPr>
          <w:noProof/>
        </w:rPr>
        <w:t>Контекст на предложението</w:t>
      </w:r>
    </w:p>
    <w:p>
      <w:pPr>
        <w:pStyle w:val="ManualHeading2"/>
        <w:rPr>
          <w:noProof/>
        </w:rPr>
      </w:pPr>
      <w:r>
        <w:t>2.1.</w:t>
      </w:r>
      <w:r>
        <w:tab/>
      </w:r>
      <w:r>
        <w:rPr>
          <w:noProof/>
        </w:rPr>
        <w:t>Споразумението за партньорство АКТБ—ЕС (Споразумението от Котону)</w:t>
      </w:r>
    </w:p>
    <w:p>
      <w:pPr>
        <w:rPr>
          <w:noProof/>
          <w:szCs w:val="24"/>
        </w:rPr>
      </w:pPr>
      <w:r>
        <w:rPr>
          <w:noProof/>
        </w:rPr>
        <w:t>Целта на Споразумението за партньорство АКТБ—ЕС</w:t>
      </w:r>
      <w:r>
        <w:rPr>
          <w:rStyle w:val="FootnoteReference"/>
          <w:noProof/>
        </w:rPr>
        <w:footnoteReference w:id="1"/>
      </w:r>
      <w:r>
        <w:rPr>
          <w:noProof/>
        </w:rPr>
        <w:t xml:space="preserve"> („Споразумението“) е установяването на асоциация между Европейския съюз и държавите от АКТБ. Споразумението влезе в сила на 1.4.2003 г.</w:t>
      </w:r>
    </w:p>
    <w:p>
      <w:pPr>
        <w:tabs>
          <w:tab w:val="left" w:pos="0"/>
        </w:tabs>
        <w:rPr>
          <w:noProof/>
          <w:szCs w:val="24"/>
        </w:rPr>
      </w:pPr>
      <w:r>
        <w:rPr>
          <w:noProof/>
        </w:rPr>
        <w:t>В член 100 от Споразумението за партньорство АКТБ—ЕС се посочва, че приложения Iа, Iб, II, III, IV и VI към него могат да бъдат преразглеждани, адаптирани и/или изменяни от Съвета на министрите АКТБ—ЕС въз основа на препоръка от Комитета АКТБ—ЕС за сътрудничество за финансиране на развитието.</w:t>
      </w:r>
    </w:p>
    <w:p>
      <w:pPr>
        <w:tabs>
          <w:tab w:val="left" w:pos="0"/>
        </w:tabs>
        <w:rPr>
          <w:noProof/>
          <w:szCs w:val="24"/>
        </w:rPr>
      </w:pPr>
      <w:r>
        <w:rPr>
          <w:noProof/>
        </w:rPr>
        <w:t>В член 15, параграф 4 от Споразумението за партньорство АКТБ—ЕС се посочва, че Съветът на министрите АКТБ—ЕС може да делегира правомощия на Комитета на посланиците АКТБ—ЕС.</w:t>
      </w:r>
    </w:p>
    <w:p>
      <w:pPr>
        <w:tabs>
          <w:tab w:val="left" w:pos="0"/>
        </w:tabs>
        <w:rPr>
          <w:noProof/>
        </w:rPr>
      </w:pPr>
      <w:r>
        <w:rPr>
          <w:noProof/>
        </w:rPr>
        <w:t>В Дакар по време на съвместното заседание на Съвета на министрите на 6 май 2017 г. Съветът на министрите АКТБ—ЕС взе решение да предостави правомощия за делегиране на Комитета на посланиците АКТБ—ЕС с цел вземането на решение относно прилагането на член 68 от Споразумението за партньорство АКТБ—ЕС преди 31 декември 2017 г.</w:t>
      </w:r>
    </w:p>
    <w:p>
      <w:pPr>
        <w:pStyle w:val="ManualHeading2"/>
        <w:rPr>
          <w:noProof/>
        </w:rPr>
      </w:pPr>
      <w:r>
        <w:t>2.2.</w:t>
      </w:r>
      <w:r>
        <w:tab/>
      </w:r>
      <w:r>
        <w:rPr>
          <w:noProof/>
        </w:rPr>
        <w:t>Комитетът на посланиците АКТБ—ЕС</w:t>
      </w:r>
    </w:p>
    <w:p>
      <w:pPr>
        <w:rPr>
          <w:noProof/>
          <w:szCs w:val="24"/>
        </w:rPr>
      </w:pPr>
      <w:r>
        <w:rPr>
          <w:noProof/>
        </w:rPr>
        <w:t>Комитетът на посланиците АКТБ—ЕС може да взема решения, които са правно обвързващи за страните. Комитетът на посланиците се състои, от една страна, от постоянните представители на всяка държава членка на Eвропейския съюз и от представител на Комисията и, от друга, от ръководителя на мисията на всяка от държавите от АКТБ към Eвропейския съюз. Постът на председател на Комитета на посланиците се заема последователно от постоянния представител на държавата членка, определена от Общността, и ръководителя на мисията, представляващ държавите от АКТБ и определен от тях. Комитетът подпомага Съвета на министрите при изпълнението на неговите задачи и осъществява всеки мандат, който му е възложен от Съвета. В този контекст той наблюдава прилагането на настоящото споразумение и напредъка за осъществяване на целите, предвидени в него. Комитетът на посланиците заседава редовно, и по-специално за подготовката на сесиите на Съвета, както и когато се окаже необходимо.</w:t>
      </w:r>
    </w:p>
    <w:p>
      <w:pPr>
        <w:pStyle w:val="ManualHeading2"/>
        <w:rPr>
          <w:noProof/>
        </w:rPr>
      </w:pPr>
      <w:r>
        <w:lastRenderedPageBreak/>
        <w:t>2.3.</w:t>
      </w:r>
      <w:r>
        <w:tab/>
      </w:r>
      <w:r>
        <w:rPr>
          <w:noProof/>
        </w:rPr>
        <w:t>Предвиденият акт на Комитета на посланиците АКТБ—ЕС</w:t>
      </w:r>
    </w:p>
    <w:p>
      <w:pPr>
        <w:tabs>
          <w:tab w:val="left" w:pos="0"/>
        </w:tabs>
        <w:rPr>
          <w:rFonts w:eastAsia="Arial Unicode MS"/>
          <w:noProof/>
        </w:rPr>
      </w:pPr>
      <w:r>
        <w:rPr>
          <w:noProof/>
        </w:rPr>
        <w:t>Преди 31.12.2017 г. Комитета на посланиците АКТБ—ЕС следва да приеме решение относно прилагането на член 68 от Споразумението за партньорство АКТБ—ЕС („предвидения акт“).</w:t>
      </w:r>
    </w:p>
    <w:p>
      <w:pPr>
        <w:rPr>
          <w:rFonts w:eastAsia="Arial Unicode MS"/>
          <w:noProof/>
        </w:rPr>
      </w:pPr>
      <w:r>
        <w:rPr>
          <w:noProof/>
        </w:rPr>
        <w:t>Решението ще се прилага към приложение II, глава 3 и има за цел подобряване на функционирането на системата за финансиране на подкрепата в случай на външни сътресения.</w:t>
      </w:r>
    </w:p>
    <w:p>
      <w:pPr>
        <w:rPr>
          <w:rFonts w:eastAsia="Arial Unicode MS"/>
          <w:noProof/>
        </w:rPr>
      </w:pPr>
      <w:r>
        <w:rPr>
          <w:noProof/>
        </w:rPr>
        <w:t xml:space="preserve">Предвиденият акт ще стане обвързващ за страните в съответствие с член 15, параграф 3 от Споразумението, в който се предвижда, че Съветът на министрите АКТБ—ЕС може да взема решения, които са обвързващи за страните, и с член 15, параграф 4 от Споразумението, който гласи: „Съветът на министрите АКТБ—ЕС може да делегира правомощия на Комитета на посланиците АКТБ—ЕС“. </w:t>
      </w:r>
    </w:p>
    <w:p>
      <w:pPr>
        <w:pStyle w:val="ManualHeading1"/>
        <w:rPr>
          <w:rFonts w:eastAsia="Arial Unicode MS"/>
          <w:noProof/>
        </w:rPr>
      </w:pPr>
      <w:r>
        <w:t>3.</w:t>
      </w:r>
      <w:r>
        <w:tab/>
      </w:r>
      <w:r>
        <w:rPr>
          <w:noProof/>
        </w:rPr>
        <w:t>Позиция, която трябва да се заеме от името на Съюза</w:t>
      </w:r>
    </w:p>
    <w:p>
      <w:pPr>
        <w:autoSpaceDE w:val="0"/>
        <w:autoSpaceDN w:val="0"/>
        <w:adjustRightInd w:val="0"/>
        <w:spacing w:after="0"/>
        <w:rPr>
          <w:noProof/>
          <w:szCs w:val="24"/>
        </w:rPr>
      </w:pPr>
      <w:r>
        <w:rPr>
          <w:noProof/>
        </w:rPr>
        <w:t>Съгласно член 68 от Споразумението за партньорство АКТБ—ЕС „</w:t>
      </w:r>
      <w:r>
        <w:rPr>
          <w:i/>
          <w:noProof/>
        </w:rPr>
        <w:t>страните признават, че макроикономическата нестабилност в резултат на външни сътресения може да въздейства отрицателно на развитието на държавите от АКТБ и да застраши постигането на изискванията им по отношение на развитието. Ето защо в рамките на многогодишната финансова рамка за сътрудничество по настоящото споразумение се създава система за допълнителна подкрепа с цел смекчаването на краткосрочни отрицателни ефекти в резултат на външни сътресения, включително ефекта върху приходите от износ.</w:t>
      </w:r>
      <w:r>
        <w:rPr>
          <w:noProof/>
        </w:rPr>
        <w:t>“</w:t>
      </w:r>
    </w:p>
    <w:p>
      <w:pPr>
        <w:autoSpaceDE w:val="0"/>
        <w:autoSpaceDN w:val="0"/>
        <w:adjustRightInd w:val="0"/>
        <w:spacing w:after="0"/>
        <w:rPr>
          <w:noProof/>
          <w:szCs w:val="24"/>
        </w:rPr>
      </w:pPr>
      <w:r>
        <w:rPr>
          <w:noProof/>
        </w:rPr>
        <w:t>В приложение II, глава 3 към Споразумението за партньорство АКТБ—ЕС са установени реда и условията относно финансирането на краткосрочни флуктуации в печалбите от износ (FLEX). Това приложение бе изменено с Решение 1/2008 на Съвета АКТБ—ЕО от 13.6.2008 г.</w:t>
      </w:r>
      <w:r>
        <w:rPr>
          <w:rStyle w:val="FootnoteReference"/>
          <w:noProof/>
        </w:rPr>
        <w:footnoteReference w:id="2"/>
      </w:r>
      <w:r>
        <w:rPr>
          <w:noProof/>
        </w:rPr>
        <w:t xml:space="preserve">. </w:t>
      </w:r>
    </w:p>
    <w:p>
      <w:pPr>
        <w:autoSpaceDE w:val="0"/>
        <w:autoSpaceDN w:val="0"/>
        <w:adjustRightInd w:val="0"/>
        <w:spacing w:after="0"/>
        <w:rPr>
          <w:noProof/>
          <w:szCs w:val="24"/>
        </w:rPr>
      </w:pPr>
      <w:r>
        <w:rPr>
          <w:noProof/>
        </w:rPr>
        <w:t xml:space="preserve">Развиващите се държави са подложени на значителни и редовни външни сътресения с отрицателни ефекти, които водят до високи разходи за производството в краткосрочен план и до загуба на благосъстояние, както и до продължително забавяне на растежа, което не е свързано само с флуктуации в печалбите от износ. Тези външни сътресения може да са свързани със световното икономическо развитие, по-специално със спад на световния растеж, както и с природни бедствия. </w:t>
      </w:r>
    </w:p>
    <w:p>
      <w:pPr>
        <w:autoSpaceDE w:val="0"/>
        <w:autoSpaceDN w:val="0"/>
        <w:adjustRightInd w:val="0"/>
        <w:spacing w:after="0"/>
        <w:rPr>
          <w:noProof/>
          <w:szCs w:val="24"/>
        </w:rPr>
      </w:pPr>
      <w:r>
        <w:rPr>
          <w:noProof/>
        </w:rPr>
        <w:t>Въз основа на извлечения опит от механизмите FLEX, включително специфичното финансиране след икономическата и финансовата криза от 2008 г. (ad hoc механизма FLEX, свързан с уязвимостта) и в съответствие със Споразумението за партньорство АКТБ—ЕС, бе разработен съответно нов подход за подкрепа за държавите, за да могат да поемат сътресения с макроикономическо отражение, при който се взема предвид също така фискалното пространство — макроикономическият капацитет на правителството да реагира на външни сътресения.</w:t>
      </w:r>
    </w:p>
    <w:p>
      <w:pPr>
        <w:autoSpaceDE w:val="0"/>
        <w:autoSpaceDN w:val="0"/>
        <w:adjustRightInd w:val="0"/>
        <w:spacing w:after="0"/>
        <w:rPr>
          <w:noProof/>
          <w:szCs w:val="24"/>
        </w:rPr>
      </w:pPr>
      <w:r>
        <w:rPr>
          <w:noProof/>
        </w:rPr>
        <w:t>Поради това наличието на хармонизирано третиране на исканията в рамките на единен пакет, предназначен за непредвидени нужди, ще бъде най-добрия начин за осигуряване на необходимата гъвкавост за адаптиране на отговора на Комисията за всеки отделен случай. Затова с държавите от АКТБ бе постигнато споразумение за включване на подкрепата при макроикономически сътресения във финансовия пакет за непредвидени нужди на 11</w:t>
      </w:r>
      <w:r>
        <w:rPr>
          <w:noProof/>
          <w:vertAlign w:val="superscript"/>
        </w:rPr>
        <w:t>-ия</w:t>
      </w:r>
      <w:r>
        <w:rPr>
          <w:noProof/>
        </w:rPr>
        <w:t xml:space="preserve"> ЕФР.</w:t>
      </w:r>
    </w:p>
    <w:p>
      <w:pPr>
        <w:rPr>
          <w:rFonts w:asciiTheme="majorBidi" w:eastAsia="Times New Roman" w:hAnsiTheme="majorBidi" w:cstheme="majorBidi"/>
          <w:noProof/>
          <w:szCs w:val="24"/>
        </w:rPr>
      </w:pPr>
      <w:r>
        <w:rPr>
          <w:noProof/>
        </w:rPr>
        <w:lastRenderedPageBreak/>
        <w:t xml:space="preserve">Целта на предвидения акт е по този начин на определени държави от АКТБ </w:t>
      </w:r>
      <w:r>
        <w:rPr>
          <w:rFonts w:asciiTheme="majorBidi" w:hAnsiTheme="majorBidi" w:cstheme="majorBidi"/>
          <w:noProof/>
        </w:rPr>
        <w:t>да се предостави</w:t>
      </w:r>
      <w:r>
        <w:rPr>
          <w:noProof/>
        </w:rPr>
        <w:t xml:space="preserve"> </w:t>
      </w:r>
      <w:r>
        <w:rPr>
          <w:rFonts w:asciiTheme="majorBidi" w:hAnsiTheme="majorBidi" w:cstheme="majorBidi"/>
          <w:noProof/>
        </w:rPr>
        <w:t>подкрепа в случай на външни сътресения съгласно член 68 от</w:t>
      </w:r>
      <w:r>
        <w:rPr>
          <w:noProof/>
        </w:rPr>
        <w:t xml:space="preserve"> Споразумението за партньорство АКТБ—ЕС </w:t>
      </w:r>
      <w:r>
        <w:rPr>
          <w:rFonts w:asciiTheme="majorBidi" w:hAnsiTheme="majorBidi" w:cstheme="majorBidi"/>
          <w:noProof/>
        </w:rPr>
        <w:t>. Тази подкрепа е обхваната от единен пакет, предназначен за непредвидени нужди.</w:t>
      </w:r>
    </w:p>
    <w:p>
      <w:pPr>
        <w:rPr>
          <w:rFonts w:asciiTheme="majorBidi" w:eastAsia="Times New Roman" w:hAnsiTheme="majorBidi" w:cstheme="majorBidi"/>
          <w:noProof/>
          <w:szCs w:val="24"/>
        </w:rPr>
      </w:pPr>
      <w:r>
        <w:rPr>
          <w:rFonts w:asciiTheme="majorBidi" w:hAnsiTheme="majorBidi" w:cstheme="majorBidi"/>
          <w:noProof/>
        </w:rPr>
        <w:t>С цел прилагане на описания по-горе нов подход следва да бъде прието правнообвързващо решение от страна на органите за вземане на решения.</w:t>
      </w:r>
    </w:p>
    <w:p>
      <w:pPr>
        <w:rPr>
          <w:noProof/>
        </w:rPr>
      </w:pPr>
      <w:r>
        <w:rPr>
          <w:noProof/>
        </w:rPr>
        <w:t xml:space="preserve">Съветът на министрите АКТБ—ЕС от 5 май 2017 г. реши, </w:t>
      </w:r>
      <w:r>
        <w:rPr>
          <w:rFonts w:asciiTheme="majorBidi" w:hAnsiTheme="majorBidi" w:cstheme="majorBidi"/>
          <w:noProof/>
        </w:rPr>
        <w:t>че всяко предложение относно подкрепа в случай на външни сътресения, предвидена в член 68 от</w:t>
      </w:r>
      <w:r>
        <w:rPr>
          <w:noProof/>
        </w:rPr>
        <w:t xml:space="preserve"> Споразумението за партньорство АКТБ—ЕС, </w:t>
      </w:r>
      <w:r>
        <w:rPr>
          <w:rFonts w:asciiTheme="majorBidi" w:hAnsiTheme="majorBidi" w:cstheme="majorBidi"/>
          <w:noProof/>
        </w:rPr>
        <w:t>следва да бъде обхванато от пакета, предназначен за непредвидени нужди</w:t>
      </w:r>
      <w:r>
        <w:rPr>
          <w:noProof/>
        </w:rPr>
        <w:t xml:space="preserve">, и </w:t>
      </w:r>
      <w:r>
        <w:rPr>
          <w:rFonts w:asciiTheme="majorBidi" w:hAnsiTheme="majorBidi" w:cstheme="majorBidi"/>
          <w:noProof/>
        </w:rPr>
        <w:t>предостави правомощия за делегиране</w:t>
      </w:r>
      <w:r>
        <w:rPr>
          <w:noProof/>
        </w:rPr>
        <w:t xml:space="preserve"> на Комитета на посланиците АКТБ—ЕС да приеме решение до 31 декември 2017 г., което ще се прилага по отношение на приложение II, глава 3 към Споразумението за партньорство АКТБ—ЕС.</w:t>
      </w:r>
    </w:p>
    <w:p>
      <w:pPr>
        <w:rPr>
          <w:rFonts w:asciiTheme="majorBidi" w:eastAsia="Times New Roman" w:hAnsiTheme="majorBidi" w:cstheme="majorBidi"/>
          <w:noProof/>
          <w:szCs w:val="24"/>
        </w:rPr>
      </w:pPr>
      <w:r>
        <w:rPr>
          <w:rFonts w:asciiTheme="majorBidi" w:hAnsiTheme="majorBidi" w:cstheme="majorBidi"/>
          <w:noProof/>
        </w:rPr>
        <w:t>Затова Комисията предлага на Съвета да приеме настоящото решение.</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rPr>
      </w:pPr>
      <w:r>
        <w:rPr>
          <w:noProof/>
        </w:rPr>
        <w:t>Комитета на посланиците АКТБ—ЕС е орган, създаден със споразумение, а именно Споразумението от Котону.</w:t>
      </w:r>
    </w:p>
    <w:p>
      <w:pPr>
        <w:rPr>
          <w:noProof/>
        </w:rPr>
      </w:pPr>
      <w:r>
        <w:rPr>
          <w:noProof/>
        </w:rPr>
        <w:t>Актът, който Комитетът на посланиците АКТБ—ЕС има за задача да приеме, представлява акт с правно действие. Предвиденият акт ще бъде задължителен съгласно международното право в съответствие с член 15, параграфи 3 и 4 от Споразумението от Котону.</w:t>
      </w:r>
    </w:p>
    <w:p>
      <w:pPr>
        <w:rPr>
          <w:noProof/>
        </w:rPr>
      </w:pPr>
      <w:r>
        <w:rPr>
          <w:noProof/>
        </w:rPr>
        <w:t>С предвидения акт не се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i/>
          <w:noProof/>
        </w:rPr>
      </w:pPr>
      <w:r>
        <w:rPr>
          <w:noProof/>
        </w:rPr>
        <w:t>Основната цел и съдържание на предвидения акт са свързани със „сътрудничество за развитие“. Поради това материалноправното основание за предложеното решение е член 209, параграф 2 от ДФЕС.</w:t>
      </w:r>
    </w:p>
    <w:p>
      <w:pPr>
        <w:rPr>
          <w:noProof/>
        </w:rPr>
      </w:pP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209, параграф 2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Комитета на посланиците АКТБ—ЕС ще се прилага за приложение ІІ към Споразумението от Котону, е целесъобразно след приемането му това решение да бъде публикувано в </w:t>
      </w:r>
      <w:r>
        <w:rPr>
          <w:i/>
          <w:noProof/>
        </w:rPr>
        <w:t>Официален вестник на Европейския съюз</w:t>
      </w:r>
      <w:r>
        <w:rPr>
          <w:noProof/>
        </w:rPr>
        <w:t>.</w:t>
      </w:r>
    </w:p>
    <w:p>
      <w:pPr>
        <w:autoSpaceDE w:val="0"/>
        <w:autoSpaceDN w:val="0"/>
        <w:adjustRightInd w:val="0"/>
        <w:spacing w:after="0"/>
        <w:rPr>
          <w:noProof/>
          <w:szCs w:val="24"/>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на посланиците АКТБ—ЕС във връзка с прилагането на член 68 от Споразумението за партньорство АКТБ—ЕС</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209, параграф 2 от него във връзка с член 218, параграф 9 от него,</w:t>
      </w:r>
    </w:p>
    <w:p>
      <w:pPr>
        <w:rPr>
          <w:noProof/>
        </w:rPr>
      </w:pPr>
      <w:r>
        <w:rPr>
          <w:noProof/>
        </w:rPr>
        <w:t>като взе предвид Споразумението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(наричано по-нататък „Споразумението за партньорство АКТБ—ЕС“)</w:t>
      </w:r>
      <w:r>
        <w:rPr>
          <w:rStyle w:val="FootnoteReference"/>
          <w:noProof/>
        </w:rPr>
        <w:footnoteReference w:id="4"/>
      </w:r>
      <w:r>
        <w:rPr>
          <w:noProof/>
        </w:rPr>
        <w:t>,</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Споразумение за партньорство между държавите от Африка, Карибите и Тихоокеанския басейн (АКТБ), от една страна, и Европейската общност и нейните държави членки, от друга страна (Споразумението за партньорство АКТБ—ЕС), бе подписано в Котону на 23 юни 2000 г. Споразумението партньорство АКТБ—ЕС влезе в сила на 1 април 2003 г.</w:t>
      </w:r>
    </w:p>
    <w:p>
      <w:pPr>
        <w:pStyle w:val="ManualConsidrant"/>
        <w:rPr>
          <w:noProof/>
        </w:rPr>
      </w:pPr>
      <w:r>
        <w:t>(2)</w:t>
      </w:r>
      <w:r>
        <w:tab/>
      </w:r>
      <w:r>
        <w:rPr>
          <w:noProof/>
        </w:rPr>
        <w:t>По силата на член 100 от Споразумението за партньорство АКТБ—ЕС приложения Iа, Iб, II, III, IV и VI към него могат да бъдат преразглеждани, адаптирани и/или изменяни от Съвета на министрите АКТБ—ЕС въз основа на препоръка от Комитета АКТБ—ЕС за сътрудничество за финансиране на развитието.</w:t>
      </w:r>
    </w:p>
    <w:p>
      <w:pPr>
        <w:pStyle w:val="ManualConsidrant"/>
        <w:rPr>
          <w:noProof/>
        </w:rPr>
      </w:pPr>
      <w:r>
        <w:t>(3)</w:t>
      </w:r>
      <w:r>
        <w:tab/>
      </w:r>
      <w:r>
        <w:rPr>
          <w:noProof/>
        </w:rPr>
        <w:t>По силата на член 15, параграф 4 от Споразумението за партньорство АКТБ—ЕС Съветът на министрите АКТБ—ЕС може да делегира правомощия на Комитета на посланиците АКТБ—ЕС.</w:t>
      </w:r>
    </w:p>
    <w:p>
      <w:pPr>
        <w:pStyle w:val="ManualConsidrant"/>
        <w:rPr>
          <w:noProof/>
        </w:rPr>
      </w:pPr>
      <w:r>
        <w:t>(4)</w:t>
      </w:r>
      <w:r>
        <w:tab/>
      </w:r>
      <w:r>
        <w:rPr>
          <w:noProof/>
        </w:rPr>
        <w:t>В Дакар по време на съвместното заседание на Съвета на министрите на 6 май 2017 г. Съветът на министрите АКТБ—ЕС взе решение да предостави правомощия за делегиране на Комитета на посланиците АКТБ—ЕС с цел вземането на решение относно прилагането на член 68 от Споразумението за партньорство АКТБ—ЕС преди 31 декември 2017 г.</w:t>
      </w:r>
    </w:p>
    <w:p>
      <w:pPr>
        <w:pStyle w:val="ManualConsidrant"/>
        <w:rPr>
          <w:noProof/>
        </w:rPr>
      </w:pPr>
      <w:r>
        <w:t>(5)</w:t>
      </w:r>
      <w:r>
        <w:tab/>
      </w:r>
      <w:r>
        <w:rPr>
          <w:noProof/>
        </w:rPr>
        <w:t>Целесъобразно е да се определи позицията, която да се заеме от името на Съюза в рамките на Комитета на посланиците АКТБ—ЕС, тъй като решението ще има задължителна правна сила за Съюза.</w:t>
      </w:r>
    </w:p>
    <w:p>
      <w:pPr>
        <w:pStyle w:val="ManualConsidrant"/>
        <w:rPr>
          <w:noProof/>
        </w:rPr>
      </w:pPr>
      <w:r>
        <w:lastRenderedPageBreak/>
        <w:t>(6)</w:t>
      </w:r>
      <w:r>
        <w:tab/>
      </w:r>
      <w:r>
        <w:rPr>
          <w:noProof/>
        </w:rPr>
        <w:t>Решението ще се прилага към приложение II, глава 3 от Споразумението за партньорство АКТБ—ЕС и има за цел да се подобри функционирането на системата за финансиране на подкрепата в случай на външни сътресения.</w:t>
      </w: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rPr>
          <w:noProof/>
        </w:rPr>
      </w:pPr>
      <w:r>
        <w:rPr>
          <w:noProof/>
        </w:rPr>
        <w:t>1.</w:t>
      </w:r>
      <w:r>
        <w:rPr>
          <w:noProof/>
        </w:rPr>
        <w:tab/>
        <w:t>Позицията, която трябва да се заеме от името на Съюза в рамките на Комитета на посланиците АКТБ—ЕС във връзка с прилагането на член 68 от Споразумението за партньорство АКТБ—ЕС, се основава на проекта на акта на Комитета на посланиците АКТБ—ЕС, приложен към настоящото решение.</w:t>
      </w:r>
    </w:p>
    <w:p>
      <w:pPr>
        <w:pStyle w:val="ManualNumPar2"/>
        <w:rPr>
          <w:noProof/>
        </w:rPr>
      </w:pPr>
      <w:r>
        <w:rPr>
          <w:noProof/>
        </w:rPr>
        <w:t xml:space="preserve">2. </w:t>
      </w:r>
      <w:r>
        <w:rPr>
          <w:noProof/>
        </w:rPr>
        <w:tab/>
        <w:t>Незначителни промени в проекта на решението могат да бъдат одобрени от представителите на Съюза в Комитета на посланиците АКТБ—ЕС, без да е необходимо допълнително решение на Съвета.</w:t>
      </w:r>
    </w:p>
    <w:p>
      <w:pPr>
        <w:pStyle w:val="Titrearticle"/>
        <w:keepNext w:val="0"/>
        <w:rPr>
          <w:noProof/>
        </w:rPr>
      </w:pPr>
      <w:r>
        <w:rPr>
          <w:noProof/>
        </w:rPr>
        <w:t>Член 2</w:t>
      </w:r>
    </w:p>
    <w:p>
      <w:pPr>
        <w:keepLines/>
        <w:rPr>
          <w:noProof/>
        </w:rPr>
      </w:pPr>
      <w:r>
        <w:rPr>
          <w:noProof/>
        </w:rPr>
        <w:t xml:space="preserve">След приемането му решението на Комитета на посланиците АКТБ—ЕС се публикува в </w:t>
      </w:r>
      <w:r>
        <w:rPr>
          <w:i/>
          <w:noProof/>
        </w:rPr>
        <w:t>Официален вестник на Европейския съюз</w:t>
      </w:r>
      <w:r>
        <w:rPr>
          <w:noProof/>
        </w:rPr>
        <w:t>.</w:t>
      </w:r>
    </w:p>
    <w:p>
      <w:pPr>
        <w:pStyle w:val="Titrearticle"/>
        <w:keepNext w:val="0"/>
        <w:rPr>
          <w:noProof/>
        </w:rPr>
      </w:pPr>
      <w:r>
        <w:rPr>
          <w:noProof/>
        </w:rPr>
        <w:t>Член 3</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19 декември 2002 г. за сключване на Споразумение за партньорство между държавите от Африка, Карибите и Тихоокеанския басейн, от една страна, и Европейската общност и нейните държави-членки, от друга, подписано в Котону на 23 юни 2000 г. (OВ L 65, 8.3.2003 г., стр. 27).</w:t>
      </w:r>
    </w:p>
  </w:footnote>
  <w:footnote w:id="2">
    <w:p>
      <w:pPr>
        <w:pStyle w:val="FootnoteText"/>
      </w:pPr>
      <w:r>
        <w:rPr>
          <w:rStyle w:val="FootnoteReference"/>
        </w:rPr>
        <w:footnoteRef/>
      </w:r>
      <w:r>
        <w:tab/>
        <w:t>ОВ L 171, 1.7.2008 г., стр. 63.</w:t>
      </w:r>
    </w:p>
  </w:footnote>
  <w:footnote w:id="3">
    <w:p>
      <w:pPr>
        <w:pStyle w:val="FootnoteText"/>
      </w:pPr>
      <w:r>
        <w:rPr>
          <w:rStyle w:val="FootnoteReference"/>
        </w:rPr>
        <w:footnoteRef/>
      </w:r>
      <w:r>
        <w:tab/>
        <w:t xml:space="preserve">Решение на Съда от 7 октомври 2014 г., Германия/Съвет, C-399/12, ECLI:EU:C:2014:2258, т. 61—64. </w:t>
      </w:r>
    </w:p>
  </w:footnote>
  <w:footnote w:id="4">
    <w:p>
      <w:pPr>
        <w:pStyle w:val="FootnoteText"/>
        <w:rPr>
          <w:sz w:val="18"/>
        </w:rPr>
      </w:pPr>
      <w:r>
        <w:rPr>
          <w:rStyle w:val="FootnoteReference"/>
        </w:rPr>
        <w:footnoteRef/>
      </w:r>
      <w:r>
        <w:tab/>
      </w:r>
      <w:r>
        <w:rPr>
          <w:sz w:val="18"/>
        </w:rPr>
        <w:t>Споразумение (OВ L 317, 15.12.2000 г., стp. 3), изменено със споразумението, подписано в Люксембург на 25 юни 2005 г. (ОВ L 209, 11.8.2005 г., стр. 27) и със споразумението, подписано в Уагадугу на 22 юни 2010 г. (OВ L 287, 4.11.2010 г., стp.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542A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B0BB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8AD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0E6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FB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CCE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74A6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61E6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270077"/>
    <w:multiLevelType w:val="multilevel"/>
    <w:tmpl w:val="0EFA05DC"/>
    <w:styleLink w:val="Liste3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747"/>
        </w:tabs>
        <w:ind w:left="1747" w:hanging="667"/>
      </w:pPr>
      <w:rPr>
        <w:position w:val="0"/>
        <w:sz w:val="28"/>
        <w:szCs w:val="28"/>
        <w:lang w:val="en-US"/>
      </w:rPr>
    </w:lvl>
    <w:lvl w:ilvl="2">
      <w:start w:val="1"/>
      <w:numFmt w:val="bullet"/>
      <w:lvlText w:val="▪"/>
      <w:lvlJc w:val="left"/>
      <w:pPr>
        <w:tabs>
          <w:tab w:val="num" w:pos="2467"/>
        </w:tabs>
        <w:ind w:left="2467" w:hanging="667"/>
      </w:pPr>
      <w:rPr>
        <w:position w:val="0"/>
        <w:sz w:val="28"/>
        <w:szCs w:val="28"/>
        <w:lang w:val="en-US"/>
      </w:rPr>
    </w:lvl>
    <w:lvl w:ilvl="3">
      <w:start w:val="1"/>
      <w:numFmt w:val="bullet"/>
      <w:lvlText w:val="•"/>
      <w:lvlJc w:val="left"/>
      <w:pPr>
        <w:tabs>
          <w:tab w:val="num" w:pos="3187"/>
        </w:tabs>
        <w:ind w:left="3187" w:hanging="667"/>
      </w:pPr>
      <w:rPr>
        <w:position w:val="0"/>
        <w:sz w:val="28"/>
        <w:szCs w:val="28"/>
        <w:lang w:val="en-US"/>
      </w:rPr>
    </w:lvl>
    <w:lvl w:ilvl="4">
      <w:start w:val="1"/>
      <w:numFmt w:val="bullet"/>
      <w:lvlText w:val="o"/>
      <w:lvlJc w:val="left"/>
      <w:pPr>
        <w:tabs>
          <w:tab w:val="num" w:pos="3907"/>
        </w:tabs>
        <w:ind w:left="3907" w:hanging="667"/>
      </w:pPr>
      <w:rPr>
        <w:position w:val="0"/>
        <w:sz w:val="28"/>
        <w:szCs w:val="28"/>
        <w:lang w:val="en-US"/>
      </w:rPr>
    </w:lvl>
    <w:lvl w:ilvl="5">
      <w:start w:val="1"/>
      <w:numFmt w:val="bullet"/>
      <w:lvlText w:val="▪"/>
      <w:lvlJc w:val="left"/>
      <w:pPr>
        <w:tabs>
          <w:tab w:val="num" w:pos="4627"/>
        </w:tabs>
        <w:ind w:left="4627" w:hanging="667"/>
      </w:pPr>
      <w:rPr>
        <w:position w:val="0"/>
        <w:sz w:val="28"/>
        <w:szCs w:val="28"/>
        <w:lang w:val="en-US"/>
      </w:rPr>
    </w:lvl>
    <w:lvl w:ilvl="6">
      <w:start w:val="1"/>
      <w:numFmt w:val="bullet"/>
      <w:lvlText w:val="•"/>
      <w:lvlJc w:val="left"/>
      <w:pPr>
        <w:tabs>
          <w:tab w:val="num" w:pos="5347"/>
        </w:tabs>
        <w:ind w:left="5347" w:hanging="667"/>
      </w:pPr>
      <w:rPr>
        <w:position w:val="0"/>
        <w:sz w:val="28"/>
        <w:szCs w:val="28"/>
        <w:lang w:val="en-US"/>
      </w:rPr>
    </w:lvl>
    <w:lvl w:ilvl="7">
      <w:start w:val="1"/>
      <w:numFmt w:val="bullet"/>
      <w:lvlText w:val="o"/>
      <w:lvlJc w:val="left"/>
      <w:pPr>
        <w:tabs>
          <w:tab w:val="num" w:pos="6067"/>
        </w:tabs>
        <w:ind w:left="6067" w:hanging="667"/>
      </w:pPr>
      <w:rPr>
        <w:position w:val="0"/>
        <w:sz w:val="28"/>
        <w:szCs w:val="28"/>
        <w:lang w:val="en-US"/>
      </w:rPr>
    </w:lvl>
    <w:lvl w:ilvl="8">
      <w:start w:val="1"/>
      <w:numFmt w:val="bullet"/>
      <w:lvlText w:val="▪"/>
      <w:lvlJc w:val="left"/>
      <w:pPr>
        <w:tabs>
          <w:tab w:val="num" w:pos="6787"/>
        </w:tabs>
        <w:ind w:left="6787" w:hanging="667"/>
      </w:pPr>
      <w:rPr>
        <w:position w:val="0"/>
        <w:sz w:val="28"/>
        <w:szCs w:val="28"/>
        <w:lang w:val="en-US"/>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0"/>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0:26: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2FB287C-4502-4295-897B-2F5F7E0BE268"/>
    <w:docVar w:name="LW_COVERPAGE_TYPE" w:val="1"/>
    <w:docVar w:name="LW_CROSSREFERENCE" w:val="&lt;UNUSED&gt;"/>
    <w:docVar w:name="LW_DocType" w:val="COM"/>
    <w:docVar w:name="LW_EMISSION" w:val="6.11.2017"/>
    <w:docVar w:name="LW_EMISSION_ISODATE" w:val="2017-11-0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6"/>
    <w:docVar w:name="LW_REF.II.NEW.CP_YEAR" w:val="2017"/>
    <w:docVar w:name="LW_REF.INST.NEW" w:val="COM"/>
    <w:docVar w:name="LW_REF.INST.NEW_ADOPTED" w:val="final"/>
    <w:docVar w:name="LW_REF.INST.NEW_TEXT" w:val="(2017)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5?\u1072? \u1087?\u1086?\u1089?\u1083?\u1072?\u1085?\u1080?\u1094?\u1080?\u1090?\u1077? \u1040?\u1050?\u1058?\u1041?\u8212?\u1045?\u1057? \u1074?\u1098?\u1074? \u1074?\u1088?\u1098?\u1079?\u1082?\u1072? \u1089? \u1087?\u1088?\u1080?\u1083?\u1072?\u1075?\u1072?\u1085?\u1077?\u1090?\u1086? \u1085?\u1072? \u1095?\u1083?\u1077?\u1085? 68 \u1086?\u1090? \u1057?\u1087?\u1086?\u1088?\u1072?\u1079?\u1091?\u1084?\u1077?\u1085?\u1080?\u1077?\u1090?\u1086? \u1079?\u1072? \u1087?\u1072?\u1088?\u1090?\u1085?\u1100?\u1086?\u1088?\u1089?\u1090?\u1074?\u1086? \u1040?\u1050?\u1058?\u1041?\u8212?\u1045?\u105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rPr>
  </w:style>
  <w:style w:type="numbering" w:customStyle="1" w:styleId="Liste31">
    <w:name w:val="Liste 31"/>
    <w:basedOn w:val="NoList"/>
    <w:pPr>
      <w:numPr>
        <w:numId w:val="11"/>
      </w:numPr>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orpsA">
    <w:name w:val="Corps A"/>
    <w:pPr>
      <w:pBdr>
        <w:top w:val="nil"/>
        <w:left w:val="nil"/>
        <w:bottom w:val="nil"/>
        <w:right w:val="nil"/>
        <w:between w:val="nil"/>
        <w:bar w:val="nil"/>
      </w:pBdr>
      <w:spacing w:after="0"/>
    </w:pPr>
    <w:rPr>
      <w:rFonts w:ascii="Calibri" w:eastAsia="Calibri" w:hAnsi="Calibri" w:cs="Calibri"/>
      <w:color w:val="000000"/>
      <w:u w:color="000000"/>
      <w:bdr w:val="nil"/>
    </w:rPr>
  </w:style>
  <w:style w:type="numbering" w:customStyle="1" w:styleId="Liste31">
    <w:name w:val="Liste 31"/>
    <w:basedOn w:val="NoList"/>
    <w:pPr>
      <w:numPr>
        <w:numId w:val="11"/>
      </w:numPr>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EBB1-1515-46EE-9A96-20863FEF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1858</Words>
  <Characters>10261</Characters>
  <Application>Microsoft Office Word</Application>
  <DocSecurity>0</DocSecurity>
  <Lines>201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2017-09-28T11:13:00Z</cp:lastPrinted>
  <dcterms:created xsi:type="dcterms:W3CDTF">2017-10-27T09:20:00Z</dcterms:created>
  <dcterms:modified xsi:type="dcterms:W3CDTF">2017-10-30T09:26:00Z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